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B841" w14:textId="77777777" w:rsidR="000020CE" w:rsidRDefault="000020CE" w:rsidP="000020CE">
      <w:pPr>
        <w:rPr>
          <w:rFonts w:ascii="Arial" w:hAnsi="Arial" w:cs="Arial"/>
          <w:b/>
          <w:noProof/>
        </w:rPr>
      </w:pPr>
    </w:p>
    <w:p w14:paraId="58B35DEB" w14:textId="77777777" w:rsidR="000020CE" w:rsidRDefault="000020CE" w:rsidP="000020CE">
      <w:pPr>
        <w:rPr>
          <w:rFonts w:ascii="Arial" w:hAnsi="Arial" w:cs="Arial"/>
          <w:b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7"/>
        <w:gridCol w:w="786"/>
        <w:gridCol w:w="7013"/>
      </w:tblGrid>
      <w:tr w:rsidR="000020CE" w14:paraId="3627FBED" w14:textId="77777777" w:rsidTr="00814072">
        <w:tc>
          <w:tcPr>
            <w:tcW w:w="1257" w:type="dxa"/>
          </w:tcPr>
          <w:p w14:paraId="7426E512" w14:textId="77777777" w:rsidR="000020CE" w:rsidRPr="00A26145" w:rsidRDefault="000020CE" w:rsidP="00814072">
            <w:pPr>
              <w:rPr>
                <w:rFonts w:ascii="Arial" w:hAnsi="Arial" w:cs="Arial"/>
                <w:b/>
              </w:rPr>
            </w:pPr>
            <w:proofErr w:type="spellStart"/>
            <w:r w:rsidRPr="00A26145">
              <w:rPr>
                <w:rFonts w:ascii="Arial" w:hAnsi="Arial" w:cs="Arial"/>
                <w:b/>
              </w:rPr>
              <w:t>Category</w:t>
            </w:r>
            <w:proofErr w:type="spellEnd"/>
          </w:p>
        </w:tc>
        <w:tc>
          <w:tcPr>
            <w:tcW w:w="801" w:type="dxa"/>
          </w:tcPr>
          <w:p w14:paraId="132EE88A" w14:textId="77777777" w:rsidR="000020CE" w:rsidRPr="00A26145" w:rsidRDefault="000020CE" w:rsidP="00814072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14:paraId="099BB97F" w14:textId="77777777" w:rsidR="000020CE" w:rsidRPr="00A26145" w:rsidRDefault="000020CE" w:rsidP="00814072">
            <w:pPr>
              <w:rPr>
                <w:rFonts w:ascii="Arial" w:hAnsi="Arial" w:cs="Arial"/>
                <w:b/>
              </w:rPr>
            </w:pPr>
            <w:r w:rsidRPr="00A26145">
              <w:rPr>
                <w:rFonts w:ascii="Arial" w:hAnsi="Arial" w:cs="Arial"/>
                <w:b/>
              </w:rPr>
              <w:t>Defin</w:t>
            </w:r>
            <w:r>
              <w:rPr>
                <w:rFonts w:ascii="Arial" w:hAnsi="Arial" w:cs="Arial"/>
                <w:b/>
              </w:rPr>
              <w:t>i</w:t>
            </w:r>
            <w:r w:rsidRPr="00A26145">
              <w:rPr>
                <w:rFonts w:ascii="Arial" w:hAnsi="Arial" w:cs="Arial"/>
                <w:b/>
              </w:rPr>
              <w:t>tion</w:t>
            </w:r>
          </w:p>
        </w:tc>
      </w:tr>
      <w:tr w:rsidR="000020CE" w:rsidRPr="00464B61" w14:paraId="6BBDF2AA" w14:textId="77777777" w:rsidTr="00814072">
        <w:trPr>
          <w:trHeight w:val="499"/>
        </w:trPr>
        <w:tc>
          <w:tcPr>
            <w:tcW w:w="1257" w:type="dxa"/>
            <w:vAlign w:val="center"/>
          </w:tcPr>
          <w:p w14:paraId="36F8952E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0000"/>
          </w:tcPr>
          <w:p w14:paraId="797FD6A1" w14:textId="77777777" w:rsidR="000020CE" w:rsidRPr="00A26145" w:rsidRDefault="000020CE" w:rsidP="00814072">
            <w:pPr>
              <w:rPr>
                <w:rFonts w:ascii="Arial" w:hAnsi="Arial" w:cs="Arial"/>
                <w:b/>
                <w:color w:val="FF0000"/>
                <w:sz w:val="20"/>
                <w:szCs w:val="20"/>
                <w:highlight w:val="red"/>
              </w:rPr>
            </w:pPr>
          </w:p>
        </w:tc>
        <w:tc>
          <w:tcPr>
            <w:tcW w:w="7164" w:type="dxa"/>
            <w:vAlign w:val="center"/>
          </w:tcPr>
          <w:p w14:paraId="3859E549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Where it is reasonably certain that CA was caused by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anaesthesia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 or other factors under the control of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anaesthetist</w:t>
            </w:r>
            <w:proofErr w:type="spellEnd"/>
          </w:p>
        </w:tc>
      </w:tr>
      <w:tr w:rsidR="000020CE" w:rsidRPr="00464B61" w14:paraId="1BBEA5A9" w14:textId="77777777" w:rsidTr="00814072">
        <w:trPr>
          <w:trHeight w:val="472"/>
        </w:trPr>
        <w:tc>
          <w:tcPr>
            <w:tcW w:w="1257" w:type="dxa"/>
            <w:vAlign w:val="center"/>
          </w:tcPr>
          <w:p w14:paraId="71135918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FFFF00"/>
          </w:tcPr>
          <w:p w14:paraId="0E4DD8F2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164" w:type="dxa"/>
            <w:vAlign w:val="center"/>
          </w:tcPr>
          <w:p w14:paraId="5B886CB1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Where there is some doubt whether CA was entirely attributable to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anaesthesia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 or other factors under the control of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anaesthetist</w:t>
            </w:r>
            <w:proofErr w:type="spellEnd"/>
          </w:p>
        </w:tc>
      </w:tr>
      <w:tr w:rsidR="000020CE" w:rsidRPr="00464B61" w14:paraId="36B02374" w14:textId="77777777" w:rsidTr="00814072">
        <w:tc>
          <w:tcPr>
            <w:tcW w:w="1257" w:type="dxa"/>
            <w:vAlign w:val="center"/>
          </w:tcPr>
          <w:p w14:paraId="7BE5F252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00"/>
          </w:tcPr>
          <w:p w14:paraId="3F8E4141" w14:textId="77777777" w:rsidR="000020CE" w:rsidRPr="00A26145" w:rsidRDefault="000020CE" w:rsidP="00814072">
            <w:pPr>
              <w:rPr>
                <w:rFonts w:ascii="Arial" w:hAnsi="Arial" w:cs="Arial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7164" w:type="dxa"/>
            <w:vAlign w:val="center"/>
          </w:tcPr>
          <w:p w14:paraId="4F6A320E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Where CA was caused by both surgical and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anaesthesia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 factors</w:t>
            </w:r>
          </w:p>
          <w:p w14:paraId="380F1BF4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20CE" w:rsidRPr="00464B61" w14:paraId="057C62A3" w14:textId="77777777" w:rsidTr="00814072">
        <w:tc>
          <w:tcPr>
            <w:tcW w:w="1257" w:type="dxa"/>
            <w:vAlign w:val="center"/>
          </w:tcPr>
          <w:p w14:paraId="1E4CDB61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1" w:type="dxa"/>
            <w:shd w:val="clear" w:color="auto" w:fill="00FA00"/>
          </w:tcPr>
          <w:p w14:paraId="0588E199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4" w:type="dxa"/>
            <w:vAlign w:val="center"/>
          </w:tcPr>
          <w:p w14:paraId="6F435763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CA where the administration of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anaesthesia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 is not contributory and surgical or other factors are implicated</w:t>
            </w:r>
          </w:p>
        </w:tc>
      </w:tr>
      <w:tr w:rsidR="000020CE" w:rsidRPr="00464B61" w14:paraId="6CBE1A6B" w14:textId="77777777" w:rsidTr="00814072">
        <w:tc>
          <w:tcPr>
            <w:tcW w:w="1257" w:type="dxa"/>
            <w:vAlign w:val="center"/>
          </w:tcPr>
          <w:p w14:paraId="0FE0A976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1" w:type="dxa"/>
            <w:shd w:val="clear" w:color="auto" w:fill="00FA00"/>
          </w:tcPr>
          <w:p w14:paraId="38D1C7B8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4" w:type="dxa"/>
            <w:vAlign w:val="center"/>
          </w:tcPr>
          <w:p w14:paraId="62E7ABFE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Inevitable CA, which would have occurred irrespective of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anaesthesia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 or surgical procedures</w:t>
            </w:r>
          </w:p>
        </w:tc>
      </w:tr>
      <w:tr w:rsidR="000020CE" w:rsidRPr="00A26145" w14:paraId="7E446070" w14:textId="77777777" w:rsidTr="00814072">
        <w:tc>
          <w:tcPr>
            <w:tcW w:w="1257" w:type="dxa"/>
            <w:vAlign w:val="center"/>
          </w:tcPr>
          <w:p w14:paraId="54087155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A261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01" w:type="dxa"/>
            <w:shd w:val="clear" w:color="auto" w:fill="00FA00"/>
          </w:tcPr>
          <w:p w14:paraId="62F0AA76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4" w:type="dxa"/>
            <w:vAlign w:val="center"/>
          </w:tcPr>
          <w:p w14:paraId="45C84FE0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Incidental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 </w:t>
            </w: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which could not reasonably be expected to have been foreseen by those looking after the patient,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 xml:space="preserve">was not related to the indication for surgery and was not due to factors under the control of the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anaesthetist</w:t>
            </w:r>
            <w:proofErr w:type="spellEnd"/>
          </w:p>
          <w:p w14:paraId="30AD2A81" w14:textId="77777777" w:rsidR="000020CE" w:rsidRPr="00A26145" w:rsidRDefault="000020CE" w:rsidP="008140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09BA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09BA">
              <w:rPr>
                <w:rFonts w:ascii="Arial" w:hAnsi="Arial" w:cs="Arial"/>
                <w:sz w:val="20"/>
                <w:szCs w:val="20"/>
              </w:rPr>
              <w:t>surgeon</w:t>
            </w:r>
            <w:proofErr w:type="spellEnd"/>
            <w:r w:rsidRPr="005309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0"/>
      <w:tr w:rsidR="000020CE" w:rsidRPr="00464B61" w14:paraId="5FFC9878" w14:textId="77777777" w:rsidTr="00814072">
        <w:trPr>
          <w:trHeight w:val="508"/>
        </w:trPr>
        <w:tc>
          <w:tcPr>
            <w:tcW w:w="1257" w:type="dxa"/>
            <w:vAlign w:val="center"/>
          </w:tcPr>
          <w:p w14:paraId="2034B721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01" w:type="dxa"/>
            <w:shd w:val="clear" w:color="auto" w:fill="00FA00"/>
          </w:tcPr>
          <w:p w14:paraId="21622C01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4" w:type="dxa"/>
            <w:vAlign w:val="center"/>
          </w:tcPr>
          <w:p w14:paraId="4E3EF2FC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Those that cannot be assessed despite considerable data but where the information is conflicting or key data are missing</w:t>
            </w:r>
          </w:p>
        </w:tc>
      </w:tr>
      <w:tr w:rsidR="000020CE" w:rsidRPr="00464B61" w14:paraId="3F360037" w14:textId="77777777" w:rsidTr="00814072">
        <w:tc>
          <w:tcPr>
            <w:tcW w:w="1257" w:type="dxa"/>
            <w:vAlign w:val="center"/>
          </w:tcPr>
          <w:p w14:paraId="78721526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614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01" w:type="dxa"/>
            <w:shd w:val="clear" w:color="auto" w:fill="00FA00"/>
          </w:tcPr>
          <w:p w14:paraId="4BA23FAD" w14:textId="77777777" w:rsidR="000020CE" w:rsidRPr="00A26145" w:rsidRDefault="000020CE" w:rsidP="008140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4" w:type="dxa"/>
            <w:vAlign w:val="center"/>
          </w:tcPr>
          <w:p w14:paraId="2A71A6D7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9BA">
              <w:rPr>
                <w:rFonts w:ascii="Arial" w:hAnsi="Arial" w:cs="Arial"/>
                <w:sz w:val="20"/>
                <w:szCs w:val="20"/>
                <w:lang w:val="en-US"/>
              </w:rPr>
              <w:t>Cases that cannot be assessed because of inadequate data</w:t>
            </w:r>
          </w:p>
          <w:p w14:paraId="651A5B86" w14:textId="77777777" w:rsidR="000020CE" w:rsidRPr="005309BA" w:rsidRDefault="000020CE" w:rsidP="008140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5B32456" w14:textId="77777777" w:rsidR="000020CE" w:rsidRPr="005309BA" w:rsidRDefault="000020CE" w:rsidP="000020CE">
      <w:pPr>
        <w:rPr>
          <w:rFonts w:ascii="Arial" w:hAnsi="Arial" w:cs="Arial"/>
          <w:b/>
          <w:lang w:val="en-US"/>
        </w:rPr>
      </w:pPr>
    </w:p>
    <w:p w14:paraId="1485AF5E" w14:textId="4D8A2AEE" w:rsidR="000020CE" w:rsidRPr="005309BA" w:rsidRDefault="00464B61" w:rsidP="000020C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Supplement </w:t>
      </w:r>
      <w:r w:rsidR="000020CE" w:rsidRPr="005309BA">
        <w:rPr>
          <w:rFonts w:ascii="Arial" w:hAnsi="Arial" w:cs="Arial"/>
          <w:b/>
          <w:lang w:val="en-US"/>
        </w:rPr>
        <w:t>Table 1</w:t>
      </w:r>
    </w:p>
    <w:p w14:paraId="67A55E7F" w14:textId="77777777" w:rsidR="000020CE" w:rsidRPr="005309BA" w:rsidRDefault="000020CE" w:rsidP="000020CE">
      <w:pPr>
        <w:rPr>
          <w:rFonts w:ascii="Arial" w:hAnsi="Arial" w:cs="Arial"/>
          <w:lang w:val="en-US"/>
        </w:rPr>
      </w:pPr>
      <w:proofErr w:type="spellStart"/>
      <w:r w:rsidRPr="005309BA">
        <w:rPr>
          <w:rFonts w:ascii="Arial" w:hAnsi="Arial" w:cs="Arial"/>
          <w:lang w:val="en-US"/>
        </w:rPr>
        <w:t>Categorisation</w:t>
      </w:r>
      <w:proofErr w:type="spellEnd"/>
      <w:r w:rsidRPr="005309BA">
        <w:rPr>
          <w:rFonts w:ascii="Arial" w:hAnsi="Arial" w:cs="Arial"/>
          <w:lang w:val="en-US"/>
        </w:rPr>
        <w:t xml:space="preserve"> of cardiac arrest (CA) modified from the Australian system of classification by State-Based </w:t>
      </w:r>
      <w:proofErr w:type="spellStart"/>
      <w:r w:rsidRPr="005309BA">
        <w:rPr>
          <w:rFonts w:ascii="Arial" w:hAnsi="Arial" w:cs="Arial"/>
          <w:lang w:val="en-US"/>
        </w:rPr>
        <w:t>Anaesthesia</w:t>
      </w:r>
      <w:proofErr w:type="spellEnd"/>
      <w:r w:rsidRPr="005309BA">
        <w:rPr>
          <w:rFonts w:ascii="Arial" w:hAnsi="Arial" w:cs="Arial"/>
          <w:lang w:val="en-US"/>
        </w:rPr>
        <w:t xml:space="preserve"> Mortality Committees.</w:t>
      </w:r>
    </w:p>
    <w:p w14:paraId="4E271490" w14:textId="77777777" w:rsidR="000020CE" w:rsidRPr="005309BA" w:rsidRDefault="000020CE" w:rsidP="000020CE">
      <w:pPr>
        <w:rPr>
          <w:rFonts w:ascii="Arial" w:hAnsi="Arial" w:cs="Arial"/>
          <w:lang w:val="en-US"/>
        </w:rPr>
      </w:pPr>
      <w:r w:rsidRPr="005309BA">
        <w:rPr>
          <w:rFonts w:ascii="Arial" w:hAnsi="Arial" w:cs="Arial"/>
          <w:lang w:val="en-US"/>
        </w:rPr>
        <w:t xml:space="preserve">Red category – </w:t>
      </w:r>
      <w:proofErr w:type="spellStart"/>
      <w:r w:rsidRPr="005309BA">
        <w:rPr>
          <w:rFonts w:ascii="Arial" w:hAnsi="Arial" w:cs="Arial"/>
          <w:lang w:val="en-US"/>
        </w:rPr>
        <w:t>anaesthesia</w:t>
      </w:r>
      <w:proofErr w:type="spellEnd"/>
      <w:r w:rsidRPr="005309BA">
        <w:rPr>
          <w:rFonts w:ascii="Arial" w:hAnsi="Arial" w:cs="Arial"/>
          <w:lang w:val="en-US"/>
        </w:rPr>
        <w:t xml:space="preserve"> related CA; </w:t>
      </w:r>
    </w:p>
    <w:p w14:paraId="4C4CBDC4" w14:textId="77777777" w:rsidR="000020CE" w:rsidRPr="005309BA" w:rsidRDefault="000020CE" w:rsidP="000020CE">
      <w:pPr>
        <w:rPr>
          <w:rFonts w:ascii="Arial" w:hAnsi="Arial" w:cs="Arial"/>
          <w:lang w:val="en-US"/>
        </w:rPr>
      </w:pPr>
      <w:r w:rsidRPr="005309BA">
        <w:rPr>
          <w:rFonts w:ascii="Arial" w:hAnsi="Arial" w:cs="Arial"/>
          <w:lang w:val="en-US"/>
        </w:rPr>
        <w:t xml:space="preserve">Yellow category – </w:t>
      </w:r>
      <w:proofErr w:type="spellStart"/>
      <w:r w:rsidRPr="005309BA">
        <w:rPr>
          <w:rFonts w:ascii="Arial" w:hAnsi="Arial" w:cs="Arial"/>
          <w:lang w:val="en-US"/>
        </w:rPr>
        <w:t>anaesthesia</w:t>
      </w:r>
      <w:proofErr w:type="spellEnd"/>
      <w:r w:rsidRPr="005309BA">
        <w:rPr>
          <w:rFonts w:ascii="Arial" w:hAnsi="Arial" w:cs="Arial"/>
          <w:lang w:val="en-US"/>
        </w:rPr>
        <w:t xml:space="preserve"> contributory CA; </w:t>
      </w:r>
    </w:p>
    <w:p w14:paraId="3718DFCC" w14:textId="77777777" w:rsidR="000020CE" w:rsidRPr="005309BA" w:rsidRDefault="000020CE" w:rsidP="000020CE">
      <w:pPr>
        <w:rPr>
          <w:rFonts w:ascii="Arial" w:hAnsi="Arial" w:cs="Arial"/>
          <w:lang w:val="en-US"/>
        </w:rPr>
      </w:pPr>
      <w:r w:rsidRPr="005309BA">
        <w:rPr>
          <w:rFonts w:ascii="Arial" w:hAnsi="Arial" w:cs="Arial"/>
          <w:lang w:val="en-US"/>
        </w:rPr>
        <w:t xml:space="preserve">Green category – CA unrelated to </w:t>
      </w:r>
      <w:proofErr w:type="spellStart"/>
      <w:r w:rsidRPr="005309BA">
        <w:rPr>
          <w:rFonts w:ascii="Arial" w:hAnsi="Arial" w:cs="Arial"/>
          <w:lang w:val="en-US"/>
        </w:rPr>
        <w:t>anaesthesia</w:t>
      </w:r>
      <w:proofErr w:type="spellEnd"/>
    </w:p>
    <w:p w14:paraId="504E558C" w14:textId="77777777" w:rsidR="00AF793E" w:rsidRPr="000020CE" w:rsidRDefault="00994694">
      <w:pPr>
        <w:rPr>
          <w:lang w:val="en-US"/>
        </w:rPr>
      </w:pPr>
    </w:p>
    <w:sectPr w:rsidR="00AF793E" w:rsidRPr="000020CE" w:rsidSect="002469D4">
      <w:pgSz w:w="11900" w:h="16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E"/>
    <w:rsid w:val="000020CE"/>
    <w:rsid w:val="000138E8"/>
    <w:rsid w:val="00044245"/>
    <w:rsid w:val="00092714"/>
    <w:rsid w:val="000F0F41"/>
    <w:rsid w:val="000F17B6"/>
    <w:rsid w:val="00110838"/>
    <w:rsid w:val="0018781A"/>
    <w:rsid w:val="00196B81"/>
    <w:rsid w:val="002469D4"/>
    <w:rsid w:val="002B05C4"/>
    <w:rsid w:val="00312B51"/>
    <w:rsid w:val="003268B9"/>
    <w:rsid w:val="00385229"/>
    <w:rsid w:val="003C5DE8"/>
    <w:rsid w:val="003E325F"/>
    <w:rsid w:val="00462727"/>
    <w:rsid w:val="00464B61"/>
    <w:rsid w:val="004E14EF"/>
    <w:rsid w:val="00562633"/>
    <w:rsid w:val="00631CE1"/>
    <w:rsid w:val="00646549"/>
    <w:rsid w:val="00731590"/>
    <w:rsid w:val="007545D5"/>
    <w:rsid w:val="007B0C5D"/>
    <w:rsid w:val="00815641"/>
    <w:rsid w:val="008C778A"/>
    <w:rsid w:val="009539DE"/>
    <w:rsid w:val="00970A23"/>
    <w:rsid w:val="00975C6A"/>
    <w:rsid w:val="00984F34"/>
    <w:rsid w:val="009915F7"/>
    <w:rsid w:val="00994694"/>
    <w:rsid w:val="00A1028E"/>
    <w:rsid w:val="00A5323C"/>
    <w:rsid w:val="00B01764"/>
    <w:rsid w:val="00B83282"/>
    <w:rsid w:val="00BC2ECC"/>
    <w:rsid w:val="00CD0596"/>
    <w:rsid w:val="00CE0ECA"/>
    <w:rsid w:val="00D159AC"/>
    <w:rsid w:val="00DD2FC0"/>
    <w:rsid w:val="00F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6B4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020C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20CE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Hohn</dc:creator>
  <cp:keywords/>
  <dc:description/>
  <cp:lastModifiedBy>Andreas Hohn</cp:lastModifiedBy>
  <cp:revision>3</cp:revision>
  <dcterms:created xsi:type="dcterms:W3CDTF">2017-05-01T09:26:00Z</dcterms:created>
  <dcterms:modified xsi:type="dcterms:W3CDTF">2017-05-01T11:51:00Z</dcterms:modified>
</cp:coreProperties>
</file>