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6" w:rsidRDefault="00E9167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Supplement 1.</w:t>
      </w:r>
    </w:p>
    <w:p w:rsidR="00E91676" w:rsidRDefault="00E91676">
      <w:pPr>
        <w:spacing w:line="480" w:lineRule="auto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</w:rPr>
        <w:t>The diagnosis of comorbidities was defined using ICD-9 codes, which included hepatitis B virus infection (HBV, ICD-9 codes 070.2, 070.3, or 070.4), hepatitis C virus infection (HCV, ICD-9 codes 070.7-070.9, 070.41,070.42, 070.44, 070.45, 070.51, 070.52, 070.54, 070.55, or V02.62), chronic liver disease and cirrhosis (ICD-9 codes 571.2, 571.5, 571.6), drug-induced liver injury (ICD-9 codes 570, 573.3, 573.8, 573.9), non-alcoholic fatty liver disease (NAFLD, ICD-9 codes:571.8, 571.9), acquired immune deficiency syndrome (AIDS, ICD-9 codes 042), coronary artery disease (CAD, ICD-9 codes: 410-414), hemorrhagic stroke (ICD-9 codes 430-432), cerebral infarction (ICD-9 codes 430-438), peripheral artery occlusive disease (PAOD, ICD-9 codes 443.9), deep vein thrombosis (DVT, ICD-9 codes 451-453), arterial embolism and thrombosis (ICD-9 codes 444), hypertension (ICD-9 codes 401), hyperlipidemia (ICD-9 codes272), heart failure (ICD-9 codes 272), diabetes (ICD-9 codes 249, 250, a181, A181), chronic obstructive pulmonary disease (COPD, ICD-9 codes 491, 492), osteoporosis (ICD-9 codes 733.0), arthritis and arthropathy (ICD-9 codes 715, 713.8, 716.4-716.9), other disorder of joints (ICD-9 codes 719), epistaxis (ICD-9 codes 784.7), hematuria (ICD-9 codes 599.7, 791.2), depression (ICD-9 codes 311, 296.2, 296.3, 300.4), anxiety (ICD-9 codes 300.0, 300.2, 300.3, 308.3), bipolar disorder (ICD-9 codes 296.0, 296.1, 296.4, 296.5, 296.6, 296.7, 296.8).</w:t>
      </w:r>
    </w:p>
    <w:p w:rsidR="00E91676" w:rsidRDefault="00E91676">
      <w:pPr>
        <w:rPr>
          <w:rFonts w:ascii="Times New Roman" w:hAnsi="Times New Roman" w:cs="Times New Roman"/>
        </w:rPr>
      </w:pPr>
      <w:bookmarkStart w:id="0" w:name="_GoBack"/>
      <w:bookmarkEnd w:id="0"/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Supplement Table 1.</w:t>
      </w:r>
    </w:p>
    <w:p w:rsidR="00E91676" w:rsidRDefault="00E91676">
      <w:pPr>
        <w:rPr>
          <w:rFonts w:ascii="Times New Roman" w:hAnsi="Times New Roman" w:cs="Times New Roman"/>
          <w:b/>
          <w:bCs/>
          <w:color w:val="000000"/>
          <w:kern w:val="0"/>
        </w:rPr>
      </w:pPr>
    </w:p>
    <w:tbl>
      <w:tblPr>
        <w:tblW w:w="74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3"/>
        <w:gridCol w:w="1711"/>
        <w:gridCol w:w="1711"/>
        <w:gridCol w:w="2374"/>
      </w:tblGrid>
      <w:tr w:rsidR="00E91676">
        <w:trPr>
          <w:trHeight w:val="340"/>
        </w:trPr>
        <w:tc>
          <w:tcPr>
            <w:tcW w:w="1683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PWH with prophylaxis</w:t>
            </w:r>
          </w:p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(N=42)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PWH without prophylaxis</w:t>
            </w:r>
          </w:p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(N=329)</w:t>
            </w:r>
          </w:p>
        </w:tc>
        <w:tc>
          <w:tcPr>
            <w:tcW w:w="2374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Adjusted hazard ratio</w:t>
            </w:r>
          </w:p>
        </w:tc>
      </w:tr>
      <w:tr w:rsidR="00E91676">
        <w:trPr>
          <w:trHeight w:val="340"/>
        </w:trPr>
        <w:tc>
          <w:tcPr>
            <w:tcW w:w="1683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Comorbidities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 (%)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N(%)</w:t>
            </w:r>
          </w:p>
        </w:tc>
        <w:tc>
          <w:tcPr>
            <w:tcW w:w="2374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HR (95% CI)</w:t>
            </w:r>
          </w:p>
        </w:tc>
      </w:tr>
      <w:tr w:rsidR="00E91676">
        <w:trPr>
          <w:trHeight w:val="340"/>
        </w:trPr>
        <w:tc>
          <w:tcPr>
            <w:tcW w:w="1683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Hemorrhagic stroke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 (6.25)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 (93.75)</w:t>
            </w:r>
          </w:p>
        </w:tc>
        <w:tc>
          <w:tcPr>
            <w:tcW w:w="2374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0.53 (0.07-3.95)</w:t>
            </w:r>
            <w:r>
              <w:rPr>
                <w:rFonts w:ascii="Times New Roman" w:hAnsi="Times New Roman" w:cs="Times New Roman"/>
                <w:color w:val="000000"/>
                <w:kern w:val="0"/>
                <w:vertAlign w:val="superscript"/>
              </w:rPr>
              <w:t>a</w:t>
            </w:r>
          </w:p>
        </w:tc>
      </w:tr>
      <w:tr w:rsidR="00E91676">
        <w:trPr>
          <w:trHeight w:val="340"/>
        </w:trPr>
        <w:tc>
          <w:tcPr>
            <w:tcW w:w="1683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Arthritis/ arthropathy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 (17.37)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138 (82.63)</w:t>
            </w:r>
          </w:p>
        </w:tc>
        <w:tc>
          <w:tcPr>
            <w:tcW w:w="2374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0.88 (0.55-1.40)</w:t>
            </w:r>
            <w:r>
              <w:rPr>
                <w:rFonts w:ascii="Times New Roman" w:hAnsi="Times New Roman" w:cs="Times New Roman"/>
                <w:color w:val="000000"/>
                <w:kern w:val="0"/>
                <w:vertAlign w:val="superscript"/>
              </w:rPr>
              <w:t>b</w:t>
            </w:r>
          </w:p>
        </w:tc>
      </w:tr>
      <w:tr w:rsidR="00E91676">
        <w:trPr>
          <w:trHeight w:val="340"/>
        </w:trPr>
        <w:tc>
          <w:tcPr>
            <w:tcW w:w="1683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Knee &amp; hip replacement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 (26.83)</w:t>
            </w:r>
          </w:p>
        </w:tc>
        <w:tc>
          <w:tcPr>
            <w:tcW w:w="1711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 (73.17)</w:t>
            </w:r>
          </w:p>
        </w:tc>
        <w:tc>
          <w:tcPr>
            <w:tcW w:w="2374" w:type="dxa"/>
          </w:tcPr>
          <w:p w:rsidR="00E91676" w:rsidRDefault="00E91676">
            <w:pPr>
              <w:spacing w:line="48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1.18 (0.89-1.55)</w:t>
            </w:r>
            <w:r>
              <w:rPr>
                <w:rFonts w:ascii="Times New Roman" w:hAnsi="Times New Roman" w:cs="Times New Roman"/>
                <w:color w:val="000000"/>
                <w:kern w:val="0"/>
                <w:vertAlign w:val="superscript"/>
              </w:rPr>
              <w:t>c</w:t>
            </w:r>
          </w:p>
        </w:tc>
      </w:tr>
    </w:tbl>
    <w:p w:rsidR="00E91676" w:rsidRDefault="00E91676">
      <w:pPr>
        <w:widowControl/>
        <w:spacing w:line="480" w:lineRule="auto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vertAlign w:val="superscript"/>
        </w:rPr>
        <w:t>a</w:t>
      </w:r>
      <w:r>
        <w:rPr>
          <w:rFonts w:ascii="Times New Roman" w:hAnsi="Times New Roman" w:cs="Times New Roman"/>
          <w:color w:val="000000"/>
          <w:kern w:val="0"/>
        </w:rPr>
        <w:t xml:space="preserve">Adjusted for hypertension, coronary artery disease, hyperlipidemia, diabetes, </w:t>
      </w:r>
    </w:p>
    <w:p w:rsidR="00E91676" w:rsidRDefault="00E91676">
      <w:pPr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atrial fibrillation, COPD, NAFLD, PAOD</w:t>
      </w:r>
    </w:p>
    <w:p w:rsidR="00E91676" w:rsidRDefault="00E91676">
      <w:pPr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vertAlign w:val="superscript"/>
        </w:rPr>
        <w:t>b</w:t>
      </w:r>
      <w:r>
        <w:rPr>
          <w:rFonts w:ascii="Times New Roman" w:hAnsi="Times New Roman" w:cs="Times New Roman"/>
          <w:color w:val="000000"/>
          <w:kern w:val="0"/>
        </w:rPr>
        <w:t>Adjusted for diabetes, other disorders of joints, osteoporosis, hip and knee replacement, COPD, NAFLD</w:t>
      </w:r>
    </w:p>
    <w:p w:rsidR="00E91676" w:rsidRDefault="00E91676">
      <w:pPr>
        <w:widowControl/>
        <w:spacing w:line="480" w:lineRule="auto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vertAlign w:val="superscript"/>
        </w:rPr>
        <w:t>c</w:t>
      </w:r>
      <w:r>
        <w:rPr>
          <w:rFonts w:ascii="Times New Roman" w:hAnsi="Times New Roman" w:cs="Times New Roman"/>
          <w:color w:val="000000"/>
          <w:kern w:val="0"/>
        </w:rPr>
        <w:t xml:space="preserve">Adjusted for diabetes, arthritis/arthropathy, other disorders of joints, osteoporosis, </w:t>
      </w:r>
    </w:p>
    <w:p w:rsidR="00E91676" w:rsidRDefault="00E91676">
      <w:pPr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</w:rPr>
        <w:t>COPD, NAFLD</w:t>
      </w: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 Table 2.</w:t>
      </w:r>
      <w:r>
        <w:rPr>
          <w:rFonts w:ascii="Times New Roman" w:hAnsi="Times New Roman" w:cs="Times New Roman"/>
        </w:rPr>
        <w:t xml:space="preserve"> Cox proportional hazard ratio of major comorbidities among 159 unemployed persons with hemophilia and 636 age-, gender-, and employment-matched persons in the general population</w:t>
      </w:r>
    </w:p>
    <w:p w:rsidR="00E91676" w:rsidRDefault="00E91676">
      <w:pPr>
        <w:rPr>
          <w:rFonts w:ascii="Times New Roman" w:hAnsi="Times New Roman" w:cs="Times New Roman"/>
        </w:rPr>
      </w:pPr>
    </w:p>
    <w:tbl>
      <w:tblPr>
        <w:tblW w:w="78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1"/>
        <w:gridCol w:w="1420"/>
        <w:gridCol w:w="1843"/>
        <w:gridCol w:w="1843"/>
        <w:gridCol w:w="1134"/>
      </w:tblGrid>
      <w:tr w:rsidR="00E91676">
        <w:trPr>
          <w:trHeight w:val="34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Hemophilia nonworkers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Non-hemophilia nonworkers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Crude hazard ratio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91676">
        <w:trPr>
          <w:trHeight w:val="34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Comorbidities</w:t>
            </w: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N(%)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E91676">
        <w:trPr>
          <w:trHeight w:val="36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Hemorrhagic stroke</w:t>
            </w: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17 (4.29)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15 (0.97)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2.75 (1.39-5.43)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0.0037</w:t>
            </w:r>
          </w:p>
        </w:tc>
      </w:tr>
      <w:tr w:rsidR="00E91676">
        <w:trPr>
          <w:trHeight w:val="36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14 (3.54)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18 (1.16)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0.85 (0.21-3.38)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0.8154</w:t>
            </w:r>
          </w:p>
        </w:tc>
      </w:tr>
      <w:tr w:rsidR="00E91676">
        <w:trPr>
          <w:trHeight w:val="36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Arthritis/ arthropathy</w:t>
            </w: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189 (48.71)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190 (12.25)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4.21 (3.22-5.49)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&lt;.0001</w:t>
            </w:r>
          </w:p>
        </w:tc>
      </w:tr>
      <w:tr w:rsidR="00E91676">
        <w:trPr>
          <w:trHeight w:val="340"/>
        </w:trPr>
        <w:tc>
          <w:tcPr>
            <w:tcW w:w="1631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Other disorders of joints</w:t>
            </w:r>
          </w:p>
        </w:tc>
        <w:tc>
          <w:tcPr>
            <w:tcW w:w="1420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106 (27.11)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theme="minorBidi"/>
              </w:rPr>
              <w:t>162 (10.44)</w:t>
            </w:r>
          </w:p>
        </w:tc>
        <w:tc>
          <w:tcPr>
            <w:tcW w:w="1843" w:type="dxa"/>
          </w:tcPr>
          <w:p w:rsidR="00E91676" w:rsidRDefault="00E91676">
            <w:pPr>
              <w:spacing w:line="48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4.18 (3.02-5.78)</w:t>
            </w:r>
          </w:p>
        </w:tc>
        <w:tc>
          <w:tcPr>
            <w:tcW w:w="1134" w:type="dxa"/>
          </w:tcPr>
          <w:p w:rsidR="00E91676" w:rsidRDefault="00E9167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&lt;.0001</w:t>
            </w:r>
          </w:p>
        </w:tc>
      </w:tr>
    </w:tbl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p w:rsidR="00E91676" w:rsidRDefault="00E91676">
      <w:pPr>
        <w:rPr>
          <w:rFonts w:ascii="Times New Roman" w:hAnsi="Times New Roman" w:cs="Times New Roman"/>
        </w:rPr>
      </w:pPr>
    </w:p>
    <w:sectPr w:rsidR="00E91676" w:rsidSect="00E916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76"/>
    <w:rsid w:val="00E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PMingLiU" w:hAnsi="Calibri" w:cs="Calibri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367</Words>
  <Characters>2278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Williamchu</dc:creator>
  <cp:keywords/>
  <dc:description/>
  <cp:lastModifiedBy>TEESLWW</cp:lastModifiedBy>
  <cp:revision>2</cp:revision>
  <dcterms:created xsi:type="dcterms:W3CDTF">2017-06-23T07:08:00Z</dcterms:created>
  <dcterms:modified xsi:type="dcterms:W3CDTF">2018-01-19T06:14:00Z</dcterms:modified>
</cp:coreProperties>
</file>