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93" w:rsidRDefault="00A27393">
      <w:pPr>
        <w:pStyle w:val="a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Additional file 1. Intervention details according to STRICTA 2010 checklist</w:t>
      </w:r>
    </w:p>
    <w:p w:rsidR="00A27393" w:rsidRDefault="00A27393">
      <w:pPr>
        <w:pStyle w:val="a"/>
        <w:spacing w:line="240" w:lineRule="auto"/>
        <w:rPr>
          <w:rFonts w:ascii="Times New Roman" w:hAnsi="Times New Roman" w:cs="Times New Roman"/>
          <w:lang w:val="en-GB"/>
        </w:rPr>
      </w:pPr>
    </w:p>
    <w:tbl>
      <w:tblPr>
        <w:tblW w:w="5000" w:type="pct"/>
        <w:tblInd w:w="-106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1394"/>
        <w:gridCol w:w="4289"/>
        <w:gridCol w:w="3559"/>
      </w:tblGrid>
      <w:tr w:rsidR="00A27393">
        <w:trPr>
          <w:trHeight w:val="87"/>
        </w:trPr>
        <w:tc>
          <w:tcPr>
            <w:tcW w:w="1361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lang w:val="en-GB"/>
              </w:rPr>
            </w:pPr>
            <w:r>
              <w:rPr>
                <w:rFonts w:ascii="Times New Roman" w:eastAsia="Batang" w:hAnsi="Times New Roman" w:cs="Times New Roman"/>
                <w:b/>
                <w:bCs/>
                <w:shd w:val="clear" w:color="auto" w:fill="FFFFFF"/>
                <w:lang w:val="en-GB"/>
              </w:rPr>
              <w:t xml:space="preserve">Item </w:t>
            </w: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 xml:space="preserve">Detail 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lang w:val="en-GB"/>
              </w:rPr>
              <w:t xml:space="preserve">Contents </w:t>
            </w:r>
          </w:p>
        </w:tc>
      </w:tr>
      <w:tr w:rsidR="00A27393">
        <w:trPr>
          <w:cantSplit/>
          <w:trHeight w:val="253"/>
        </w:trPr>
        <w:tc>
          <w:tcPr>
            <w:tcW w:w="1361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lang w:val="en-GB"/>
              </w:rPr>
            </w:pPr>
            <w:r>
              <w:rPr>
                <w:rFonts w:ascii="Times New Roman" w:eastAsia="Batang" w:hAnsi="Times New Roman" w:cs="Times New Roman"/>
                <w:b/>
                <w:bCs/>
                <w:shd w:val="clear" w:color="auto" w:fill="FFFFFF"/>
                <w:lang w:val="en-GB"/>
              </w:rPr>
              <w:t>Moxibustion rationale</w:t>
            </w: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 xml:space="preserve">(a) Style of acupuncture 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lang w:val="en-GB"/>
              </w:rPr>
              <w:t>(a) Traditional Korean medical moxibustion</w:t>
            </w:r>
          </w:p>
        </w:tc>
      </w:tr>
      <w:tr w:rsidR="00A27393">
        <w:trPr>
          <w:cantSplit/>
          <w:trHeight w:val="253"/>
        </w:trPr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(b) Reasoning for treatment provided, based on historical context, literature sources, and consensus methods, with references where appropriate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napToGrid w:val="0"/>
              <w:spacing w:after="0" w:line="240" w:lineRule="auto"/>
              <w:ind w:right="-6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(b) Literature review, textbook and experts’ consensus</w:t>
            </w:r>
          </w:p>
        </w:tc>
      </w:tr>
      <w:tr w:rsidR="00A27393">
        <w:trPr>
          <w:cantSplit/>
          <w:trHeight w:val="253"/>
        </w:trPr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(c) Extent to which treatment was varied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lang w:val="en-GB"/>
              </w:rPr>
              <w:t>(c) Fixed acupoints, individualized sessions</w:t>
            </w:r>
          </w:p>
        </w:tc>
      </w:tr>
      <w:tr w:rsidR="00A27393">
        <w:trPr>
          <w:cantSplit/>
          <w:trHeight w:val="253"/>
        </w:trPr>
        <w:tc>
          <w:tcPr>
            <w:tcW w:w="1361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lang w:val="en-GB"/>
              </w:rPr>
            </w:pPr>
            <w:r>
              <w:rPr>
                <w:rFonts w:ascii="Times New Roman" w:eastAsia="Batang" w:hAnsi="Times New Roman" w:cs="Times New Roman"/>
                <w:b/>
                <w:bCs/>
                <w:shd w:val="clear" w:color="auto" w:fill="FFFFFF"/>
                <w:lang w:val="en-GB"/>
              </w:rPr>
              <w:t>Details of moxibustion</w:t>
            </w: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(a) Number of moxibustion performed per subject per session (mean and range where relevant)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lang w:val="en-GB"/>
              </w:rPr>
              <w:t>(a) 1 to 7 pieces</w:t>
            </w:r>
          </w:p>
        </w:tc>
      </w:tr>
      <w:tr w:rsidR="00A27393">
        <w:trPr>
          <w:cantSplit/>
          <w:trHeight w:val="253"/>
        </w:trPr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(b) Names (or location if no standard name) of points used (uni/bilateral)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 xml:space="preserve">(b) </w:t>
            </w:r>
            <w:r>
              <w:rPr>
                <w:rFonts w:ascii="Times New Roman" w:eastAsia="Batang" w:hAnsi="Times New Roman" w:cs="Times New Roman"/>
                <w:lang w:val="en-GB"/>
              </w:rPr>
              <w:t>Median CV4, Bilateral SP6, Bilateral LR3</w:t>
            </w:r>
          </w:p>
        </w:tc>
      </w:tr>
      <w:tr w:rsidR="00A27393">
        <w:trPr>
          <w:cantSplit/>
          <w:trHeight w:val="253"/>
        </w:trPr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(c) Depth of insertion, based on a specified unit of measurement, or on a particular tissue level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 xml:space="preserve">(c) </w:t>
            </w:r>
            <w:r>
              <w:rPr>
                <w:rFonts w:ascii="Times New Roman" w:eastAsia="Batang" w:hAnsi="Times New Roman" w:cs="Times New Roman"/>
                <w:lang w:val="en-GB"/>
              </w:rPr>
              <w:t>N-A</w:t>
            </w:r>
          </w:p>
        </w:tc>
      </w:tr>
      <w:tr w:rsidR="00A27393">
        <w:trPr>
          <w:cantSplit/>
          <w:trHeight w:val="253"/>
        </w:trPr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(d) Response south (eg. De qi or muscle twitch response)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 xml:space="preserve">(d) </w:t>
            </w:r>
            <w:r>
              <w:rPr>
                <w:rFonts w:ascii="Times New Roman" w:eastAsia="Batang" w:hAnsi="Times New Roman" w:cs="Times New Roman"/>
                <w:lang w:val="en-GB"/>
              </w:rPr>
              <w:t>Warm sensation</w:t>
            </w:r>
          </w:p>
        </w:tc>
      </w:tr>
      <w:tr w:rsidR="00A27393">
        <w:trPr>
          <w:cantSplit/>
          <w:trHeight w:val="98"/>
        </w:trPr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(e) Needle stimulation (eg. Manual, electrical)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 xml:space="preserve">(e) </w:t>
            </w:r>
            <w:r>
              <w:rPr>
                <w:rFonts w:ascii="Times New Roman" w:eastAsia="Batang" w:hAnsi="Times New Roman" w:cs="Times New Roman"/>
                <w:lang w:val="en-GB"/>
              </w:rPr>
              <w:t>N-A</w:t>
            </w:r>
          </w:p>
        </w:tc>
      </w:tr>
      <w:tr w:rsidR="00A27393">
        <w:trPr>
          <w:cantSplit/>
          <w:trHeight w:val="37"/>
        </w:trPr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(f) Moxibustion retention time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 xml:space="preserve">(f) </w:t>
            </w:r>
            <w:r>
              <w:rPr>
                <w:rFonts w:ascii="Times New Roman" w:eastAsia="Batang" w:hAnsi="Times New Roman" w:cs="Times New Roman"/>
                <w:lang w:val="en-GB"/>
              </w:rPr>
              <w:t xml:space="preserve">Total 30 minutes </w:t>
            </w:r>
          </w:p>
        </w:tc>
      </w:tr>
      <w:tr w:rsidR="00A27393">
        <w:trPr>
          <w:cantSplit/>
          <w:trHeight w:val="253"/>
        </w:trPr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(g) Moxibustion type (diameter, length, and manufacturer or material)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 xml:space="preserve">(g) mini-moxa of </w:t>
            </w:r>
            <w:r>
              <w:rPr>
                <w:rFonts w:ascii="Times New Roman" w:eastAsia="Batang" w:hAnsi="Times New Roman" w:cs="Times New Roman"/>
                <w:lang w:val="en-GB"/>
              </w:rPr>
              <w:t>5*5*15 mm; moxa cone of 20*20*10 mm</w:t>
            </w:r>
          </w:p>
        </w:tc>
      </w:tr>
      <w:tr w:rsidR="00A27393">
        <w:trPr>
          <w:cantSplit/>
          <w:trHeight w:val="92"/>
        </w:trPr>
        <w:tc>
          <w:tcPr>
            <w:tcW w:w="1361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lang w:val="en-GB"/>
              </w:rPr>
            </w:pPr>
            <w:r>
              <w:rPr>
                <w:rFonts w:ascii="Times New Roman" w:eastAsia="Batang" w:hAnsi="Times New Roman" w:cs="Times New Roman"/>
                <w:b/>
                <w:bCs/>
                <w:shd w:val="clear" w:color="auto" w:fill="FFFFFF"/>
                <w:lang w:val="en-GB"/>
              </w:rPr>
              <w:t>Treatment regimen</w:t>
            </w: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(a) Number of treatment sessions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 xml:space="preserve">(a) </w:t>
            </w:r>
            <w:r>
              <w:rPr>
                <w:rFonts w:ascii="Times New Roman" w:eastAsia="Batang" w:hAnsi="Times New Roman" w:cs="Times New Roman"/>
                <w:lang w:val="en-GB"/>
              </w:rPr>
              <w:t>8-12 sessions</w:t>
            </w:r>
          </w:p>
        </w:tc>
      </w:tr>
      <w:tr w:rsidR="00A27393">
        <w:trPr>
          <w:cantSplit/>
          <w:trHeight w:val="253"/>
        </w:trPr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(b) Frequency and duration of treatment sessions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 xml:space="preserve">(b) </w:t>
            </w:r>
            <w:r>
              <w:rPr>
                <w:rFonts w:ascii="Times New Roman" w:eastAsia="Batang" w:hAnsi="Times New Roman" w:cs="Times New Roman"/>
                <w:lang w:val="en-GB"/>
              </w:rPr>
              <w:t>2-3 times per week; For 4 weeks</w:t>
            </w:r>
          </w:p>
        </w:tc>
      </w:tr>
      <w:tr w:rsidR="00A27393">
        <w:trPr>
          <w:cantSplit/>
          <w:trHeight w:val="253"/>
        </w:trPr>
        <w:tc>
          <w:tcPr>
            <w:tcW w:w="1361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lang w:val="en-GB"/>
              </w:rPr>
            </w:pPr>
            <w:r>
              <w:rPr>
                <w:rFonts w:ascii="Times New Roman" w:eastAsia="Batang" w:hAnsi="Times New Roman" w:cs="Times New Roman"/>
                <w:b/>
                <w:bCs/>
                <w:shd w:val="clear" w:color="auto" w:fill="FFFFFF"/>
                <w:lang w:val="en-GB"/>
              </w:rPr>
              <w:t>Other components of treatment</w:t>
            </w: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(a) Details of other interventions administered to the moxibustion group (eg, acupuncture, cupping, herbs, exercises, lifestyle advice)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 xml:space="preserve">(a) </w:t>
            </w:r>
            <w:r>
              <w:rPr>
                <w:rFonts w:ascii="Times New Roman" w:eastAsia="Batang" w:hAnsi="Times New Roman" w:cs="Times New Roman"/>
                <w:lang w:val="en-GB"/>
              </w:rPr>
              <w:t>Lifestyle advice</w:t>
            </w:r>
          </w:p>
        </w:tc>
      </w:tr>
      <w:tr w:rsidR="00A27393">
        <w:trPr>
          <w:cantSplit/>
          <w:trHeight w:val="253"/>
        </w:trPr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(b) Setting and context of treatment, including instructions to practitioners, and information and explanations to patients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 xml:space="preserve">(b) </w:t>
            </w:r>
            <w:r>
              <w:rPr>
                <w:rFonts w:ascii="Times New Roman" w:eastAsia="Batang" w:hAnsi="Times New Roman" w:cs="Times New Roman"/>
                <w:lang w:val="en-GB"/>
              </w:rPr>
              <w:t xml:space="preserve">Unnecessary conversation was prohibited. </w:t>
            </w:r>
          </w:p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lang w:val="en-GB"/>
              </w:rPr>
              <w:t xml:space="preserve">Lifestyle advice was offered according to OAB guideline </w:t>
            </w:r>
          </w:p>
        </w:tc>
      </w:tr>
      <w:tr w:rsidR="00A27393">
        <w:trPr>
          <w:trHeight w:val="253"/>
        </w:trPr>
        <w:tc>
          <w:tcPr>
            <w:tcW w:w="1361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lang w:val="en-GB"/>
              </w:rPr>
            </w:pPr>
            <w:r>
              <w:rPr>
                <w:rFonts w:ascii="Times New Roman" w:eastAsia="Batang" w:hAnsi="Times New Roman" w:cs="Times New Roman"/>
                <w:b/>
                <w:bCs/>
                <w:shd w:val="clear" w:color="auto" w:fill="FFFFFF"/>
                <w:lang w:val="en-GB"/>
              </w:rPr>
              <w:t>Practitioner background</w:t>
            </w: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(a)Description of participating acupuncturists (qualification or professional affiliation, years in acupuncture practice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 xml:space="preserve">(a) </w:t>
            </w:r>
            <w:r>
              <w:rPr>
                <w:rFonts w:ascii="Times New Roman" w:eastAsia="Batang" w:hAnsi="Times New Roman" w:cs="Times New Roman"/>
                <w:lang w:val="en-GB"/>
              </w:rPr>
              <w:t xml:space="preserve">Traditional Korean Medical Doctor who has more than 2-year clinical experience performed the intervention under supervision of Korean internal medicine professor who has more than 10-year clinical experience </w:t>
            </w:r>
          </w:p>
        </w:tc>
      </w:tr>
      <w:tr w:rsidR="00A27393">
        <w:trPr>
          <w:cantSplit/>
          <w:trHeight w:val="253"/>
        </w:trPr>
        <w:tc>
          <w:tcPr>
            <w:tcW w:w="1361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lang w:val="en-GB"/>
              </w:rPr>
            </w:pPr>
            <w:r>
              <w:rPr>
                <w:rFonts w:ascii="Times New Roman" w:eastAsia="Batang" w:hAnsi="Times New Roman" w:cs="Times New Roman"/>
                <w:b/>
                <w:bCs/>
                <w:shd w:val="clear" w:color="auto" w:fill="FFFFFF"/>
                <w:lang w:val="en-GB"/>
              </w:rPr>
              <w:t>Control or comparator interventions</w:t>
            </w: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(a) Rationale for the control or comparator in the context of the research question, with sources that justify this choice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 xml:space="preserve">(a) </w:t>
            </w:r>
            <w:r>
              <w:rPr>
                <w:rFonts w:ascii="Times New Roman" w:eastAsia="Batang" w:hAnsi="Times New Roman" w:cs="Times New Roman"/>
                <w:lang w:val="en-GB"/>
              </w:rPr>
              <w:t>Watchful waiting is recommended for OAB patients. We tried to manage their symptoms as well as to set control group for comparison with moxibustion.</w:t>
            </w:r>
          </w:p>
        </w:tc>
      </w:tr>
      <w:tr w:rsidR="00A27393">
        <w:trPr>
          <w:cantSplit/>
          <w:trHeight w:val="253"/>
        </w:trPr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theme="minorBidi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>(b) Precise description of the control or comparator. If sham acupuncture or any other type of acupuncture-like control is used, provide details as for Items 1 to 3 above.</w:t>
            </w: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FFFFFF"/>
          </w:tcPr>
          <w:p w:rsidR="00A27393" w:rsidRDefault="00A273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lang w:val="en-GB"/>
              </w:rPr>
            </w:pPr>
            <w:r>
              <w:rPr>
                <w:rFonts w:ascii="Times New Roman" w:eastAsia="Batang" w:hAnsi="Times New Roman" w:cs="Times New Roman"/>
                <w:shd w:val="clear" w:color="auto" w:fill="FFFFFF"/>
                <w:lang w:val="en-GB"/>
              </w:rPr>
              <w:t xml:space="preserve">(b) </w:t>
            </w:r>
            <w:r>
              <w:rPr>
                <w:rFonts w:ascii="Times New Roman" w:eastAsia="Batang" w:hAnsi="Times New Roman" w:cs="Times New Roman"/>
                <w:lang w:val="en-GB"/>
              </w:rPr>
              <w:t xml:space="preserve">Control group will be treated with the moxibustion after 4 weeks from randomization. </w:t>
            </w:r>
          </w:p>
        </w:tc>
      </w:tr>
    </w:tbl>
    <w:p w:rsidR="00A27393" w:rsidRDefault="00A27393">
      <w:pPr>
        <w:widowControl/>
        <w:rPr>
          <w:rFonts w:ascii="Times New Roman" w:eastAsia="Batang" w:hAnsi="Times New Roman" w:cstheme="minorBidi"/>
          <w:lang w:val="en-GB"/>
        </w:rPr>
      </w:pPr>
    </w:p>
    <w:p w:rsidR="00A27393" w:rsidRDefault="00A27393">
      <w:pPr>
        <w:widowControl/>
        <w:rPr>
          <w:rFonts w:ascii="Times New Roman" w:eastAsia="Batang" w:hAnsi="Times New Roman" w:cs="Times New Roman"/>
          <w:lang w:val="en-GB"/>
        </w:rPr>
      </w:pPr>
      <w:r>
        <w:rPr>
          <w:rFonts w:ascii="Times New Roman" w:eastAsia="Batang" w:hAnsi="Times New Roman" w:cs="Times New Roman"/>
          <w:lang w:val="en-GB"/>
        </w:rPr>
        <w:t>N-A, not-applicable; OAB, overactive bladder</w:t>
      </w:r>
      <w:bookmarkStart w:id="0" w:name="_GoBack"/>
      <w:bookmarkEnd w:id="0"/>
    </w:p>
    <w:p w:rsidR="00A27393" w:rsidRDefault="00A27393">
      <w:pPr>
        <w:pStyle w:val="a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Batang" w:hAnsi="Times New Roman" w:cstheme="minorBidi"/>
          <w:lang w:val="en-GB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Additional file 2. Effects of treatment with moxibustion (PP analysis)</w:t>
      </w:r>
    </w:p>
    <w:p w:rsidR="00A27393" w:rsidRDefault="00A27393">
      <w:pPr>
        <w:pStyle w:val="a"/>
        <w:spacing w:line="240" w:lineRule="auto"/>
        <w:rPr>
          <w:rFonts w:ascii="Times New Roman" w:hAnsi="Times New Roman" w:cs="Times New Roman"/>
          <w:lang w:val="en-GB"/>
        </w:rPr>
      </w:pPr>
    </w:p>
    <w:tbl>
      <w:tblPr>
        <w:tblW w:w="14202" w:type="dxa"/>
        <w:tblInd w:w="-10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799"/>
        <w:gridCol w:w="696"/>
        <w:gridCol w:w="1114"/>
        <w:gridCol w:w="1113"/>
        <w:gridCol w:w="1212"/>
        <w:gridCol w:w="1738"/>
        <w:gridCol w:w="274"/>
        <w:gridCol w:w="1114"/>
        <w:gridCol w:w="1218"/>
        <w:gridCol w:w="1744"/>
        <w:gridCol w:w="230"/>
        <w:gridCol w:w="1212"/>
        <w:gridCol w:w="1738"/>
      </w:tblGrid>
      <w:tr w:rsidR="00A27393">
        <w:trPr>
          <w:trHeight w:val="189"/>
        </w:trPr>
        <w:tc>
          <w:tcPr>
            <w:tcW w:w="799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77" w:type="dxa"/>
            <w:gridSpan w:val="4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Changes between baseline (T1) and T2</w:t>
            </w: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76" w:type="dxa"/>
            <w:gridSpan w:val="3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Changes between T2 and T3</w:t>
            </w:r>
          </w:p>
        </w:tc>
        <w:tc>
          <w:tcPr>
            <w:tcW w:w="230" w:type="dxa"/>
            <w:tcBorders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50" w:type="dxa"/>
            <w:gridSpan w:val="2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Changes between T1 and T3</w:t>
            </w:r>
          </w:p>
        </w:tc>
      </w:tr>
      <w:tr w:rsidR="00A27393">
        <w:trPr>
          <w:trHeight w:val="189"/>
        </w:trPr>
        <w:tc>
          <w:tcPr>
            <w:tcW w:w="799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After 4-wks 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Mean change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(p-value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 xml:space="preserve"> 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MD [95% CI],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(p-value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 xml:space="preserve"> b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)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Hedge’s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After 8-wks 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Mean change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(p-value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 xml:space="preserve"> 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1744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MD [95% CI], 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(p-value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 xml:space="preserve"> b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)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Hedge’s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Mean change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(p-value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 xml:space="preserve"> 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MD [95% CI], 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(p-value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 xml:space="preserve"> b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)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Hedge’s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</w:tr>
      <w:tr w:rsidR="00A27393">
        <w:trPr>
          <w:cantSplit/>
          <w:trHeight w:val="212"/>
        </w:trPr>
        <w:tc>
          <w:tcPr>
            <w:tcW w:w="799" w:type="dxa"/>
            <w:vMerge w:val="restart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OAB-V8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Gr. A</w:t>
            </w:r>
          </w:p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(n=14)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14.57±6.79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11.07±5.68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-3.50±7.07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(p=.1670)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2.70 [-1.72, 7.12]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(p=.4282)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8.57±4.55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-2.50±4.50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(p=.3213)</w:t>
            </w:r>
          </w:p>
        </w:tc>
        <w:tc>
          <w:tcPr>
            <w:tcW w:w="1744" w:type="dxa"/>
            <w:tcBorders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-4.50 [-11.07, 2.07]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(p=.2404)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-6.00±6.25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(p=.0140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-1.80 [-8.22, 4.62]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(p=.9298)</w:t>
            </w:r>
          </w:p>
        </w:tc>
      </w:tr>
      <w:tr w:rsidR="00A27393">
        <w:trPr>
          <w:cantSplit/>
          <w:trHeight w:val="212"/>
        </w:trPr>
        <w:tc>
          <w:tcPr>
            <w:tcW w:w="799" w:type="dxa"/>
            <w:vMerge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ind w:left="14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Gr. B</w:t>
            </w:r>
          </w:p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(n=10)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16.00±8.63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15.20±8.19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-0.80±2.97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(p=.8203)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-0.453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8.20±6.44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-7.00±8.78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(p=.0340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0.659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-7.80±8.97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(p=.0253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0.232</w:t>
            </w:r>
          </w:p>
        </w:tc>
      </w:tr>
      <w:tr w:rsidR="00A27393">
        <w:trPr>
          <w:cantSplit/>
          <w:trHeight w:val="212"/>
        </w:trPr>
        <w:tc>
          <w:tcPr>
            <w:tcW w:w="799" w:type="dxa"/>
            <w:vMerge w:val="restart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OAB</w:t>
            </w:r>
          </w:p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SS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Gr. A</w:t>
            </w:r>
          </w:p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(n=14)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7.14±3.03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4.14±2.44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-3.00±2.00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(p=.0275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3.2 [1.63, 4.77]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(p=.0005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4.57±3.11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0.43±2.24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(p=.7267)</w:t>
            </w:r>
          </w:p>
        </w:tc>
        <w:tc>
          <w:tcPr>
            <w:tcW w:w="1744" w:type="dxa"/>
            <w:tcBorders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-3.02 [-5.07, -0.99]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(p=.0052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-2.57±3.23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(p=.0461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0.17 [-2.65, 2.99]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(p=.9056)</w:t>
            </w:r>
          </w:p>
        </w:tc>
      </w:tr>
      <w:tr w:rsidR="00A27393">
        <w:trPr>
          <w:cantSplit/>
          <w:trHeight w:val="212"/>
        </w:trPr>
        <w:tc>
          <w:tcPr>
            <w:tcW w:w="799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ind w:left="14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Gr. B</w:t>
            </w:r>
          </w:p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(n=10)</w:t>
            </w:r>
          </w:p>
        </w:tc>
        <w:tc>
          <w:tcPr>
            <w:tcW w:w="111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6.20±2.90</w:t>
            </w:r>
          </w:p>
        </w:tc>
        <w:tc>
          <w:tcPr>
            <w:tcW w:w="111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6.40±2.76</w:t>
            </w:r>
          </w:p>
        </w:tc>
        <w:tc>
          <w:tcPr>
            <w:tcW w:w="121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0.20±1.55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(p=.8188)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-1.689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3.80±2.30</w:t>
            </w:r>
          </w:p>
        </w:tc>
        <w:tc>
          <w:tcPr>
            <w:tcW w:w="12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-2.60±2.55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(p=.0263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1.233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-2.40±3.37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(p=.0419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-0.050</w:t>
            </w:r>
          </w:p>
        </w:tc>
      </w:tr>
      <w:tr w:rsidR="00A27393">
        <w:trPr>
          <w:cantSplit/>
          <w:trHeight w:val="212"/>
        </w:trPr>
        <w:tc>
          <w:tcPr>
            <w:tcW w:w="799" w:type="dxa"/>
            <w:vMerge w:val="restart"/>
            <w:tcBorders>
              <w:top w:val="single" w:sz="4" w:space="0" w:color="00000A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VAS</w:t>
            </w:r>
          </w:p>
        </w:tc>
        <w:tc>
          <w:tcPr>
            <w:tcW w:w="696" w:type="dxa"/>
            <w:tcBorders>
              <w:top w:val="single" w:sz="4" w:space="0" w:color="00000A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Gr. A</w:t>
            </w:r>
          </w:p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(n=14)</w:t>
            </w:r>
          </w:p>
        </w:tc>
        <w:tc>
          <w:tcPr>
            <w:tcW w:w="1114" w:type="dxa"/>
            <w:tcBorders>
              <w:top w:val="single" w:sz="4" w:space="0" w:color="00000A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57.93±19.55</w:t>
            </w:r>
          </w:p>
        </w:tc>
        <w:tc>
          <w:tcPr>
            <w:tcW w:w="1113" w:type="dxa"/>
            <w:tcBorders>
              <w:top w:val="single" w:sz="4" w:space="0" w:color="00000A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33.43±23.93</w:t>
            </w:r>
          </w:p>
        </w:tc>
        <w:tc>
          <w:tcPr>
            <w:tcW w:w="1212" w:type="dxa"/>
            <w:tcBorders>
              <w:top w:val="single" w:sz="4" w:space="0" w:color="00000A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-24.50±24.73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(p=.0035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20.10 [-0.15, 40.35]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(p=.0350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27.71±22.79</w:t>
            </w:r>
          </w:p>
        </w:tc>
        <w:tc>
          <w:tcPr>
            <w:tcW w:w="1218" w:type="dxa"/>
            <w:tcBorders>
              <w:top w:val="single" w:sz="4" w:space="0" w:color="00000A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-5.71±15.10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(p=6126)</w:t>
            </w:r>
          </w:p>
        </w:tc>
        <w:tc>
          <w:tcPr>
            <w:tcW w:w="1744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-11.59 [-26.82, 3.65]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(p=.1429)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-30.21±19.45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(p=.0011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8.51 [-10.66, 27.69]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(p=.3193)</w:t>
            </w:r>
          </w:p>
        </w:tc>
      </w:tr>
      <w:tr w:rsidR="00A27393">
        <w:trPr>
          <w:cantSplit/>
          <w:trHeight w:val="212"/>
        </w:trPr>
        <w:tc>
          <w:tcPr>
            <w:tcW w:w="799" w:type="dxa"/>
            <w:vMerge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ind w:left="14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Gr. B</w:t>
            </w:r>
          </w:p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(n=10)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60.30±24.05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55.90±19.78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-4.40±21.81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(p=.4494)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-0.823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38.60±24.70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-17.30±20.99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(p=.1303)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0.631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-21.70±25.93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(p=.0637)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-0.368</w:t>
            </w:r>
          </w:p>
        </w:tc>
      </w:tr>
      <w:tr w:rsidR="00A27393">
        <w:trPr>
          <w:cantSplit/>
          <w:trHeight w:val="212"/>
        </w:trPr>
        <w:tc>
          <w:tcPr>
            <w:tcW w:w="799" w:type="dxa"/>
            <w:vMerge w:val="restart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DITI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Gr. A</w:t>
            </w:r>
          </w:p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(n=14)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29.89±3.30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28.50±1.60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-1.39±3.68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(p=.6132)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1.40 [-0.89, 3.69]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(p=.3798)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28.73±0.99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0.24±1.08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(p=.9085)</w:t>
            </w:r>
          </w:p>
        </w:tc>
        <w:tc>
          <w:tcPr>
            <w:tcW w:w="1744" w:type="dxa"/>
            <w:tcBorders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-0.73 [-1.67, 0.21]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(p=.0404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-1.15±3.05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(p=.8542)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0.67 [-1.29, 2.64]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(p=.9533)</w:t>
            </w:r>
          </w:p>
        </w:tc>
      </w:tr>
      <w:tr w:rsidR="00A27393">
        <w:trPr>
          <w:cantSplit/>
          <w:trHeight w:val="47"/>
        </w:trPr>
        <w:tc>
          <w:tcPr>
            <w:tcW w:w="799" w:type="dxa"/>
            <w:vMerge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ind w:left="14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Gr. B</w:t>
            </w:r>
          </w:p>
          <w:p w:rsidR="00A27393" w:rsidRDefault="00A27393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(n=10)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29.01±1.32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29.02±1.33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0.01±1.50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(p=.7054)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-0.453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28.53±0.94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-0.50±1.11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p=.1735)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0.654</w:t>
            </w:r>
          </w:p>
        </w:tc>
        <w:tc>
          <w:tcPr>
            <w:tcW w:w="230" w:type="dxa"/>
            <w:tcBorders>
              <w:top w:val="nil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-0.48±1.48</w:t>
            </w:r>
          </w:p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(p=.0000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</w:tcPr>
          <w:p w:rsidR="00A27393" w:rsidRDefault="00A27393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-0.256</w:t>
            </w:r>
          </w:p>
        </w:tc>
      </w:tr>
    </w:tbl>
    <w:p w:rsidR="00A27393" w:rsidRDefault="00A27393">
      <w:pPr>
        <w:widowControl/>
        <w:rPr>
          <w:rFonts w:ascii="Times New Roman" w:eastAsia="Batang" w:hAnsi="Times New Roman" w:cstheme="minorBidi"/>
          <w:lang w:val="en-GB"/>
        </w:rPr>
      </w:pPr>
    </w:p>
    <w:p w:rsidR="00A27393" w:rsidRDefault="00A27393">
      <w:pPr>
        <w:widowControl/>
        <w:rPr>
          <w:rFonts w:ascii="Arial" w:hAnsi="Arial" w:cs="Arial"/>
          <w:lang w:val="en-GB"/>
        </w:rPr>
      </w:pPr>
      <w:r>
        <w:rPr>
          <w:rFonts w:ascii="Times New Roman" w:eastAsia="Batang" w:hAnsi="Times New Roman" w:cs="Times New Roman"/>
          <w:lang w:val="en-GB"/>
        </w:rPr>
        <w:t>OAB-V8, OAB-validated 8-question awareness tool; OABSS, overactive bladder symptom scores; VAS, visual analog scale; DITI, Digital Infrared Thermal Imaging; MD, mean difference; T1, baseline; T2, 4-weeks after baseline; T3, 8-weeks after baseline; data are presented as mean</w:t>
      </w:r>
      <w:r>
        <w:rPr>
          <w:rFonts w:ascii="Times New Roman" w:hAnsi="Times New Roman" w:cs="Times New Roman"/>
          <w:lang w:val="en-GB"/>
        </w:rPr>
        <w:t>±</w:t>
      </w:r>
      <w:r>
        <w:rPr>
          <w:rFonts w:ascii="Times New Roman" w:eastAsia="Batang" w:hAnsi="Times New Roman" w:cs="Times New Roman"/>
          <w:lang w:val="en-GB"/>
        </w:rPr>
        <w:t xml:space="preserve">standard deviation, mean difference (95% CI), or Hedge’s </w:t>
      </w:r>
      <w:r>
        <w:rPr>
          <w:rFonts w:ascii="Times New Roman" w:eastAsia="Batang" w:hAnsi="Times New Roman" w:cs="Times New Roman"/>
          <w:i/>
          <w:iCs/>
          <w:lang w:val="en-GB"/>
        </w:rPr>
        <w:t>g</w:t>
      </w:r>
      <w:r>
        <w:rPr>
          <w:rFonts w:ascii="Times New Roman" w:eastAsia="Batang" w:hAnsi="Times New Roman" w:cs="Times New Roman"/>
          <w:lang w:val="en-GB"/>
        </w:rPr>
        <w:t xml:space="preserve"> (</w:t>
      </w:r>
      <w:r>
        <w:rPr>
          <w:rFonts w:ascii="Times New Roman" w:hAnsi="Times New Roman" w:cs="Times New Roman"/>
          <w:lang w:val="en-GB"/>
        </w:rPr>
        <w:t xml:space="preserve">0.2, small; 0.5, medium; 0.8, large; 1.2, very large; 2.0, huge); </w:t>
      </w:r>
      <w:r>
        <w:rPr>
          <w:rFonts w:ascii="Times New Roman" w:eastAsia="Batang" w:hAnsi="Times New Roman" w:cs="Times New Roman"/>
          <w:vertAlign w:val="superscript"/>
          <w:lang w:val="en-GB"/>
        </w:rPr>
        <w:t xml:space="preserve">a </w:t>
      </w:r>
      <w:r>
        <w:rPr>
          <w:rFonts w:ascii="Times New Roman" w:eastAsia="Batang" w:hAnsi="Times New Roman" w:cs="Times New Roman"/>
          <w:lang w:val="en-GB"/>
        </w:rPr>
        <w:t xml:space="preserve">, Wilcoxon signed rank test within each group; </w:t>
      </w:r>
      <w:r>
        <w:rPr>
          <w:rFonts w:ascii="Times New Roman" w:eastAsia="Batang" w:hAnsi="Times New Roman" w:cs="Times New Roman"/>
          <w:vertAlign w:val="superscript"/>
          <w:lang w:val="en-GB"/>
        </w:rPr>
        <w:t>b</w:t>
      </w:r>
      <w:r>
        <w:rPr>
          <w:rFonts w:ascii="Times New Roman" w:eastAsia="Batang" w:hAnsi="Times New Roman" w:cs="Times New Roman"/>
          <w:lang w:val="en-GB"/>
        </w:rPr>
        <w:t>, Mann–Whitney U test between two groups for the changes;</w:t>
      </w:r>
    </w:p>
    <w:p w:rsidR="00A27393" w:rsidRDefault="00A27393">
      <w:pPr>
        <w:widowControl/>
        <w:rPr>
          <w:rFonts w:ascii="Times New Roman" w:hAnsi="Times New Roman" w:cs="Times New Roman"/>
          <w:lang w:val="en-GB"/>
        </w:rPr>
      </w:pPr>
    </w:p>
    <w:sectPr w:rsidR="00A27393" w:rsidSect="00A27393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93" w:rsidRDefault="00A27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A27393" w:rsidRDefault="00A27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????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lim">
    <w:altName w:val="±¼¸²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93" w:rsidRDefault="00A27393">
    <w:pPr>
      <w:pStyle w:val="Footer"/>
      <w:jc w:val="center"/>
      <w:rPr>
        <w:rFonts w:ascii="Times New Roman" w:hAnsi="Times New Roman" w:cs="Times New Roman"/>
      </w:rPr>
    </w:pPr>
    <w:fldSimple w:instr="PAGE">
      <w:r>
        <w:rPr>
          <w:noProof/>
        </w:rPr>
        <w:t>2</w:t>
      </w:r>
    </w:fldSimple>
  </w:p>
  <w:p w:rsidR="00A27393" w:rsidRDefault="00A27393">
    <w:pPr>
      <w:pStyle w:val="Footer"/>
      <w:rPr>
        <w:rFonts w:ascii="Times New Roman" w:hAnsi="Times New Roman" w:cs="Times New Roman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93" w:rsidRDefault="00A27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A27393" w:rsidRDefault="00A27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embedSystemFonts/>
  <w:bordersDoNotSurroundHeader/>
  <w:bordersDoNotSurroundFooter/>
  <w:defaultTabStop w:val="800"/>
  <w:doNotHyphenateCaps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93"/>
    <w:rsid w:val="00A2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60" w:line="259" w:lineRule="auto"/>
    </w:pPr>
    <w:rPr>
      <w:rFonts w:ascii="Malgun Gothic" w:eastAsia="Malgun Gothic" w:hAnsi="Malgun Gothic" w:cs="Malgun Gothic"/>
      <w:color w:val="00000A"/>
      <w:sz w:val="20"/>
      <w:szCs w:val="20"/>
      <w:lang w:eastAsia="ko-K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uiPriority w:val="99"/>
    <w:pPr>
      <w:snapToGrid w:val="0"/>
      <w:spacing w:after="0" w:line="384" w:lineRule="auto"/>
      <w:textAlignment w:val="baseline"/>
    </w:pPr>
    <w:rPr>
      <w:rFonts w:ascii="????" w:eastAsia="Gulim" w:hAnsi="????" w:cs="????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Malgun Gothic" w:eastAsia="Malgun Gothic" w:hAnsi="Malgun Gothic" w:cs="Malgun Gothic"/>
      <w:color w:val="00000A"/>
      <w:kern w:val="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Malgun Gothic" w:eastAsia="Malgun Gothic" w:hAnsi="Malgun Gothic" w:cs="Malgun Gothic"/>
      <w:color w:val="00000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837</Words>
  <Characters>3936</Characters>
  <Application>Microsoft Office Outlook</Application>
  <DocSecurity>0</DocSecurity>
  <Lines>0</Lines>
  <Paragraphs>0</Paragraphs>
  <ScaleCrop>false</ScaleCrop>
  <Company>thomson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file 1</dc:title>
  <dc:subject/>
  <dc:creator>ncrc</dc:creator>
  <cp:keywords/>
  <dc:description/>
  <cp:lastModifiedBy>TEESLWW</cp:lastModifiedBy>
  <cp:revision>2</cp:revision>
  <dcterms:created xsi:type="dcterms:W3CDTF">2018-08-07T07:01:00Z</dcterms:created>
  <dcterms:modified xsi:type="dcterms:W3CDTF">2018-08-07T07:01:00Z</dcterms:modified>
</cp:coreProperties>
</file>