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F0032" w14:textId="77777777" w:rsidR="00657DB9" w:rsidRDefault="00657DB9" w:rsidP="00657DB9">
      <w:r w:rsidRPr="00C85354">
        <w:rPr>
          <w:b/>
        </w:rPr>
        <w:t>Appendix</w:t>
      </w:r>
    </w:p>
    <w:p w14:paraId="691764D0" w14:textId="77777777" w:rsidR="00657DB9" w:rsidRDefault="00657DB9" w:rsidP="00657DB9">
      <w:pPr>
        <w:spacing w:line="240" w:lineRule="auto"/>
        <w:rPr>
          <w:b/>
        </w:rPr>
      </w:pPr>
      <w:bookmarkStart w:id="0" w:name="_Toc430618498"/>
      <w:r w:rsidRPr="00C85354">
        <w:rPr>
          <w:b/>
        </w:rPr>
        <w:t>Full description of criteria for selection of potential post-</w:t>
      </w:r>
      <w:r>
        <w:rPr>
          <w:b/>
        </w:rPr>
        <w:t>IGIV</w:t>
      </w:r>
      <w:r w:rsidRPr="00C85354">
        <w:rPr>
          <w:b/>
        </w:rPr>
        <w:t xml:space="preserve"> acute </w:t>
      </w:r>
      <w:bookmarkEnd w:id="0"/>
      <w:r>
        <w:rPr>
          <w:b/>
        </w:rPr>
        <w:t>ischemic stroke (AIS) cases.</w:t>
      </w:r>
    </w:p>
    <w:p w14:paraId="418379EC" w14:textId="77777777" w:rsidR="00657DB9" w:rsidRDefault="00657DB9" w:rsidP="00657DB9">
      <w:pPr>
        <w:ind w:firstLine="720"/>
      </w:pPr>
      <w:r>
        <w:t>The study population consisted of new IGIV users who initiated treatment from January 1, 2006, through December 31, 2012. New IGIV users were defined as those with an IGIV treatment preceded by a period of 183 days of medical and pharmaceutical insurance coverage, during which no Ig treatments were observed. The first such IGIV treatment date was designated the patient’s new use date. For the parent study on IGIV and thromboembolic event (TEE) risk, the arterial TEE endpoint included cases of acute myocardial infarction (AMI) and acute ischemic stroke (AIS).</w:t>
      </w:r>
    </w:p>
    <w:p w14:paraId="6BE91DF6" w14:textId="77777777" w:rsidR="00657DB9" w:rsidRDefault="00657DB9" w:rsidP="00657DB9">
      <w:pPr>
        <w:ind w:firstLine="720"/>
      </w:pPr>
      <w:r>
        <w:t>Patients were followed from the IGIV new use date until the first occurrence of an inpatient arterial TEE diagnosis during a post-IGIV risk or control period, loss of health plan enrollment, or the end of the study period (December 31, 2012). For the arterial TEE endpoint, the risk period was defined as days 0-2 following an IGIV treatment, and the control period as days 14-27 following an IGIV treatment.</w:t>
      </w:r>
    </w:p>
    <w:p w14:paraId="692F4E4A" w14:textId="77777777" w:rsidR="00657DB9" w:rsidRDefault="00657DB9" w:rsidP="00657DB9">
      <w:pPr>
        <w:ind w:firstLine="720"/>
      </w:pPr>
      <w:r>
        <w:t>After identifying patients with a qualifying post-IGIV inpatient arterial TEE diagnosis, we applied the following exclusion criteria. A patient was excluded if (a) an inpatient encounter with an arterial TEE diagnosis was observed in the prior 30 days, (b) no medical procedure or diagnosis constituting a potential IGIV indication was observed in the prior 183 days, (c) the patient received IGIV within 20 days of a prior or subsequent IGIV treatment episode, or the end of the study period (to ensure that a control period was observable for the patient), or (d) the proximate IGIV treatment episode included an administration of a subcutaneous or intramuscular IG product or multiple branded IGIV products on or before the TEE admission date.</w:t>
      </w:r>
    </w:p>
    <w:p w14:paraId="56DB6AB0" w14:textId="77777777" w:rsidR="00657DB9" w:rsidRDefault="00657DB9" w:rsidP="00657DB9">
      <w:pPr>
        <w:ind w:firstLine="720"/>
      </w:pPr>
      <w:r>
        <w:t xml:space="preserve">In this </w:t>
      </w:r>
      <w:proofErr w:type="gramStart"/>
      <w:r>
        <w:t>manuscript</w:t>
      </w:r>
      <w:proofErr w:type="gramEnd"/>
      <w:r>
        <w:t xml:space="preserve"> we report on the positive predictive value (PPV) associated with AIS diagnoses. PPVs for AMI diagnoses codes are reported separately. </w:t>
      </w:r>
    </w:p>
    <w:p w14:paraId="3A98BACE" w14:textId="77777777" w:rsidR="00657DB9" w:rsidRDefault="00657DB9" w:rsidP="00657DB9">
      <w:pPr>
        <w:spacing w:after="0" w:line="480" w:lineRule="auto"/>
        <w:ind w:firstLine="720"/>
      </w:pPr>
      <w:r>
        <w:t>For additional details, please see the protocol for the parent study, available online at</w:t>
      </w:r>
      <w:r w:rsidRPr="00DC3A91">
        <w:t xml:space="preserve"> </w:t>
      </w:r>
      <w:hyperlink r:id="rId4" w:history="1">
        <w:r w:rsidRPr="00303C1A">
          <w:rPr>
            <w:rStyle w:val="Hyperlink"/>
          </w:rPr>
          <w:t>https://www.sentinelsystem.org/sites/default/files/Drugs/Assessments/Mini-Sentinel_Thromboembolic-Events-After-Immunoglobulin-Administration-Protocol_0.pdf</w:t>
        </w:r>
      </w:hyperlink>
      <w:r>
        <w:t xml:space="preserve">  .</w:t>
      </w:r>
    </w:p>
    <w:p w14:paraId="104334A6" w14:textId="77777777" w:rsidR="00657DB9" w:rsidRDefault="00657DB9" w:rsidP="00657DB9">
      <w:pPr>
        <w:spacing w:after="0" w:line="480" w:lineRule="auto"/>
        <w:ind w:firstLine="720"/>
      </w:pPr>
    </w:p>
    <w:p w14:paraId="7D47868A" w14:textId="77777777" w:rsidR="00657DB9" w:rsidRDefault="00657DB9" w:rsidP="00657DB9">
      <w:r>
        <w:br w:type="page"/>
      </w:r>
    </w:p>
    <w:p w14:paraId="3C014BDA" w14:textId="77777777" w:rsidR="00657DB9" w:rsidRDefault="00657DB9" w:rsidP="00657DB9">
      <w:pPr>
        <w:spacing w:after="0" w:line="240" w:lineRule="auto"/>
        <w:rPr>
          <w:b/>
        </w:rPr>
      </w:pPr>
      <w:r>
        <w:rPr>
          <w:b/>
        </w:rPr>
        <w:lastRenderedPageBreak/>
        <w:t xml:space="preserve">Appendix Table A1. </w:t>
      </w:r>
      <w:r w:rsidRPr="00245FD8">
        <w:rPr>
          <w:b/>
        </w:rPr>
        <w:t xml:space="preserve">Reasons charts </w:t>
      </w:r>
      <w:r>
        <w:rPr>
          <w:b/>
        </w:rPr>
        <w:t>could</w:t>
      </w:r>
      <w:r w:rsidRPr="00245FD8">
        <w:rPr>
          <w:b/>
        </w:rPr>
        <w:t xml:space="preserve"> not be obtained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0"/>
        <w:gridCol w:w="1147"/>
      </w:tblGrid>
      <w:tr w:rsidR="00657DB9" w14:paraId="4DEAB690" w14:textId="77777777" w:rsidTr="004B1E94">
        <w:trPr>
          <w:cantSplit/>
          <w:tblHeader/>
        </w:trPr>
        <w:tc>
          <w:tcPr>
            <w:tcW w:w="6910" w:type="dxa"/>
            <w:tcBorders>
              <w:bottom w:val="single" w:sz="4" w:space="0" w:color="auto"/>
              <w:right w:val="nil"/>
            </w:tcBorders>
            <w:shd w:val="clear" w:color="auto" w:fill="auto"/>
            <w:tcMar>
              <w:left w:w="60" w:type="dxa"/>
              <w:right w:w="60" w:type="dxa"/>
            </w:tcMar>
            <w:vAlign w:val="bottom"/>
          </w:tcPr>
          <w:p w14:paraId="18C7BD72" w14:textId="77777777" w:rsidR="00657DB9" w:rsidRDefault="00657DB9" w:rsidP="004B1E94">
            <w:pPr>
              <w:keepNext/>
              <w:adjustRightInd w:val="0"/>
              <w:spacing w:after="0"/>
              <w:rPr>
                <w:b/>
                <w:bCs/>
                <w:color w:val="000000"/>
              </w:rPr>
            </w:pPr>
            <w:r>
              <w:rPr>
                <w:b/>
                <w:bCs/>
                <w:color w:val="000000"/>
              </w:rPr>
              <w:t>Reason</w:t>
            </w:r>
          </w:p>
        </w:tc>
        <w:tc>
          <w:tcPr>
            <w:tcW w:w="1147" w:type="dxa"/>
            <w:tcBorders>
              <w:left w:val="nil"/>
              <w:bottom w:val="single" w:sz="4" w:space="0" w:color="auto"/>
            </w:tcBorders>
            <w:shd w:val="clear" w:color="auto" w:fill="auto"/>
            <w:tcMar>
              <w:left w:w="60" w:type="dxa"/>
              <w:right w:w="60" w:type="dxa"/>
            </w:tcMar>
            <w:vAlign w:val="bottom"/>
          </w:tcPr>
          <w:p w14:paraId="41BB6A53" w14:textId="77777777" w:rsidR="00657DB9" w:rsidRDefault="00657DB9" w:rsidP="004B1E94">
            <w:pPr>
              <w:keepNext/>
              <w:adjustRightInd w:val="0"/>
              <w:spacing w:after="0"/>
              <w:jc w:val="right"/>
              <w:rPr>
                <w:b/>
                <w:bCs/>
                <w:color w:val="000000"/>
              </w:rPr>
            </w:pPr>
            <w:r>
              <w:rPr>
                <w:b/>
                <w:bCs/>
                <w:color w:val="000000"/>
              </w:rPr>
              <w:t>Frequency</w:t>
            </w:r>
          </w:p>
        </w:tc>
      </w:tr>
      <w:tr w:rsidR="00657DB9" w14:paraId="263A0D92" w14:textId="77777777" w:rsidTr="004B1E94">
        <w:trPr>
          <w:cantSplit/>
        </w:trPr>
        <w:tc>
          <w:tcPr>
            <w:tcW w:w="6910" w:type="dxa"/>
            <w:tcBorders>
              <w:bottom w:val="nil"/>
              <w:right w:val="nil"/>
            </w:tcBorders>
            <w:shd w:val="clear" w:color="auto" w:fill="auto"/>
            <w:tcMar>
              <w:left w:w="60" w:type="dxa"/>
              <w:right w:w="60" w:type="dxa"/>
            </w:tcMar>
          </w:tcPr>
          <w:p w14:paraId="406A85EF" w14:textId="77777777" w:rsidR="00657DB9" w:rsidRPr="00A90119" w:rsidRDefault="00657DB9" w:rsidP="004B1E94">
            <w:pPr>
              <w:keepNext/>
              <w:adjustRightInd w:val="0"/>
              <w:spacing w:after="0"/>
              <w:rPr>
                <w:bCs/>
                <w:color w:val="000000"/>
              </w:rPr>
            </w:pPr>
            <w:r w:rsidRPr="00A90119">
              <w:rPr>
                <w:bCs/>
                <w:color w:val="000000"/>
              </w:rPr>
              <w:t>Chart not obtained, or obtained after deadline for chart review</w:t>
            </w:r>
          </w:p>
        </w:tc>
        <w:tc>
          <w:tcPr>
            <w:tcW w:w="1147" w:type="dxa"/>
            <w:tcBorders>
              <w:left w:val="nil"/>
              <w:bottom w:val="nil"/>
            </w:tcBorders>
            <w:shd w:val="clear" w:color="auto" w:fill="auto"/>
            <w:tcMar>
              <w:left w:w="60" w:type="dxa"/>
              <w:right w:w="60" w:type="dxa"/>
            </w:tcMar>
          </w:tcPr>
          <w:p w14:paraId="51A0F093" w14:textId="77777777" w:rsidR="00657DB9" w:rsidRDefault="00657DB9" w:rsidP="004B1E94">
            <w:pPr>
              <w:keepNext/>
              <w:adjustRightInd w:val="0"/>
              <w:spacing w:after="0"/>
              <w:jc w:val="right"/>
              <w:rPr>
                <w:color w:val="000000"/>
              </w:rPr>
            </w:pPr>
            <w:r>
              <w:rPr>
                <w:color w:val="000000"/>
              </w:rPr>
              <w:t>3</w:t>
            </w:r>
          </w:p>
        </w:tc>
      </w:tr>
      <w:tr w:rsidR="00657DB9" w14:paraId="6F46A7DF" w14:textId="77777777" w:rsidTr="004B1E94">
        <w:trPr>
          <w:cantSplit/>
        </w:trPr>
        <w:tc>
          <w:tcPr>
            <w:tcW w:w="6910" w:type="dxa"/>
            <w:tcBorders>
              <w:top w:val="nil"/>
              <w:bottom w:val="nil"/>
              <w:right w:val="nil"/>
            </w:tcBorders>
            <w:shd w:val="clear" w:color="auto" w:fill="auto"/>
            <w:tcMar>
              <w:left w:w="60" w:type="dxa"/>
              <w:right w:w="60" w:type="dxa"/>
            </w:tcMar>
          </w:tcPr>
          <w:p w14:paraId="1C276F89" w14:textId="77777777" w:rsidR="00657DB9" w:rsidRPr="00A90119" w:rsidRDefault="00657DB9" w:rsidP="004B1E94">
            <w:pPr>
              <w:keepNext/>
              <w:adjustRightInd w:val="0"/>
              <w:spacing w:after="0"/>
              <w:rPr>
                <w:bCs/>
                <w:color w:val="000000"/>
              </w:rPr>
            </w:pPr>
            <w:r w:rsidRPr="00A90119">
              <w:rPr>
                <w:bCs/>
                <w:color w:val="000000"/>
              </w:rPr>
              <w:t>Chart not retrieved due to high cost</w:t>
            </w:r>
          </w:p>
        </w:tc>
        <w:tc>
          <w:tcPr>
            <w:tcW w:w="1147" w:type="dxa"/>
            <w:tcBorders>
              <w:top w:val="nil"/>
              <w:left w:val="nil"/>
              <w:bottom w:val="nil"/>
            </w:tcBorders>
            <w:shd w:val="clear" w:color="auto" w:fill="auto"/>
            <w:tcMar>
              <w:left w:w="60" w:type="dxa"/>
              <w:right w:w="60" w:type="dxa"/>
            </w:tcMar>
          </w:tcPr>
          <w:p w14:paraId="2FEE97EA" w14:textId="77777777" w:rsidR="00657DB9" w:rsidRDefault="00657DB9" w:rsidP="004B1E94">
            <w:pPr>
              <w:keepNext/>
              <w:adjustRightInd w:val="0"/>
              <w:spacing w:after="0"/>
              <w:jc w:val="right"/>
              <w:rPr>
                <w:color w:val="000000"/>
              </w:rPr>
            </w:pPr>
            <w:r>
              <w:rPr>
                <w:color w:val="000000"/>
              </w:rPr>
              <w:t>4</w:t>
            </w:r>
          </w:p>
        </w:tc>
      </w:tr>
      <w:tr w:rsidR="00657DB9" w14:paraId="63C40F79" w14:textId="77777777" w:rsidTr="004B1E94">
        <w:trPr>
          <w:cantSplit/>
        </w:trPr>
        <w:tc>
          <w:tcPr>
            <w:tcW w:w="6910" w:type="dxa"/>
            <w:tcBorders>
              <w:top w:val="nil"/>
              <w:bottom w:val="nil"/>
              <w:right w:val="nil"/>
            </w:tcBorders>
            <w:shd w:val="clear" w:color="auto" w:fill="auto"/>
            <w:tcMar>
              <w:left w:w="60" w:type="dxa"/>
              <w:right w:w="60" w:type="dxa"/>
            </w:tcMar>
          </w:tcPr>
          <w:p w14:paraId="04A31B3D" w14:textId="77777777" w:rsidR="00657DB9" w:rsidRPr="00A90119" w:rsidRDefault="00657DB9" w:rsidP="004B1E94">
            <w:pPr>
              <w:keepNext/>
              <w:adjustRightInd w:val="0"/>
              <w:spacing w:after="0"/>
              <w:rPr>
                <w:bCs/>
                <w:color w:val="000000"/>
              </w:rPr>
            </w:pPr>
            <w:r w:rsidRPr="00A90119">
              <w:rPr>
                <w:bCs/>
                <w:color w:val="000000"/>
              </w:rPr>
              <w:t>Data partner or vendor unable to locate chart corresponding to requested encounter</w:t>
            </w:r>
          </w:p>
        </w:tc>
        <w:tc>
          <w:tcPr>
            <w:tcW w:w="1147" w:type="dxa"/>
            <w:tcBorders>
              <w:top w:val="nil"/>
              <w:left w:val="nil"/>
              <w:bottom w:val="nil"/>
            </w:tcBorders>
            <w:shd w:val="clear" w:color="auto" w:fill="auto"/>
            <w:tcMar>
              <w:left w:w="60" w:type="dxa"/>
              <w:right w:w="60" w:type="dxa"/>
            </w:tcMar>
          </w:tcPr>
          <w:p w14:paraId="0058A524" w14:textId="77777777" w:rsidR="00657DB9" w:rsidRDefault="00657DB9" w:rsidP="004B1E94">
            <w:pPr>
              <w:keepNext/>
              <w:adjustRightInd w:val="0"/>
              <w:spacing w:after="0"/>
              <w:jc w:val="right"/>
              <w:rPr>
                <w:color w:val="000000"/>
              </w:rPr>
            </w:pPr>
            <w:r>
              <w:rPr>
                <w:color w:val="000000"/>
              </w:rPr>
              <w:t>13</w:t>
            </w:r>
          </w:p>
        </w:tc>
      </w:tr>
      <w:tr w:rsidR="00657DB9" w14:paraId="7F37028F" w14:textId="77777777" w:rsidTr="004B1E94">
        <w:trPr>
          <w:cantSplit/>
        </w:trPr>
        <w:tc>
          <w:tcPr>
            <w:tcW w:w="6910" w:type="dxa"/>
            <w:tcBorders>
              <w:top w:val="nil"/>
              <w:bottom w:val="nil"/>
              <w:right w:val="nil"/>
            </w:tcBorders>
            <w:shd w:val="clear" w:color="auto" w:fill="auto"/>
            <w:tcMar>
              <w:left w:w="60" w:type="dxa"/>
              <w:right w:w="60" w:type="dxa"/>
            </w:tcMar>
          </w:tcPr>
          <w:p w14:paraId="7392740A" w14:textId="77777777" w:rsidR="00657DB9" w:rsidRPr="00A90119" w:rsidRDefault="00657DB9" w:rsidP="004B1E94">
            <w:pPr>
              <w:keepNext/>
              <w:adjustRightInd w:val="0"/>
              <w:spacing w:after="0"/>
              <w:rPr>
                <w:bCs/>
                <w:color w:val="000000"/>
              </w:rPr>
            </w:pPr>
            <w:r w:rsidRPr="00A90119">
              <w:rPr>
                <w:bCs/>
                <w:color w:val="000000"/>
              </w:rPr>
              <w:t>Data partner unable to identify patient</w:t>
            </w:r>
          </w:p>
        </w:tc>
        <w:tc>
          <w:tcPr>
            <w:tcW w:w="1147" w:type="dxa"/>
            <w:tcBorders>
              <w:top w:val="nil"/>
              <w:left w:val="nil"/>
              <w:bottom w:val="nil"/>
            </w:tcBorders>
            <w:shd w:val="clear" w:color="auto" w:fill="auto"/>
            <w:tcMar>
              <w:left w:w="60" w:type="dxa"/>
              <w:right w:w="60" w:type="dxa"/>
            </w:tcMar>
          </w:tcPr>
          <w:p w14:paraId="547A9F1D" w14:textId="77777777" w:rsidR="00657DB9" w:rsidRDefault="00657DB9" w:rsidP="004B1E94">
            <w:pPr>
              <w:keepNext/>
              <w:adjustRightInd w:val="0"/>
              <w:spacing w:after="0"/>
              <w:jc w:val="right"/>
              <w:rPr>
                <w:color w:val="000000"/>
              </w:rPr>
            </w:pPr>
            <w:r>
              <w:rPr>
                <w:color w:val="000000"/>
              </w:rPr>
              <w:t>1</w:t>
            </w:r>
          </w:p>
        </w:tc>
      </w:tr>
      <w:tr w:rsidR="00657DB9" w14:paraId="448FE9FA" w14:textId="77777777" w:rsidTr="004B1E94">
        <w:trPr>
          <w:cantSplit/>
        </w:trPr>
        <w:tc>
          <w:tcPr>
            <w:tcW w:w="6910" w:type="dxa"/>
            <w:tcBorders>
              <w:top w:val="nil"/>
              <w:bottom w:val="nil"/>
              <w:right w:val="nil"/>
            </w:tcBorders>
            <w:shd w:val="clear" w:color="auto" w:fill="auto"/>
            <w:tcMar>
              <w:left w:w="60" w:type="dxa"/>
              <w:right w:w="60" w:type="dxa"/>
            </w:tcMar>
          </w:tcPr>
          <w:p w14:paraId="7C6A1EC8" w14:textId="77777777" w:rsidR="00657DB9" w:rsidRPr="00A90119" w:rsidRDefault="00657DB9" w:rsidP="004B1E94">
            <w:pPr>
              <w:keepNext/>
              <w:adjustRightInd w:val="0"/>
              <w:spacing w:after="0"/>
              <w:rPr>
                <w:bCs/>
                <w:color w:val="000000"/>
              </w:rPr>
            </w:pPr>
            <w:r w:rsidRPr="00A90119">
              <w:rPr>
                <w:bCs/>
                <w:color w:val="000000"/>
              </w:rPr>
              <w:t>Data partner unable to map treatment record in SDD to provider name/identifiers needed for chart request</w:t>
            </w:r>
          </w:p>
        </w:tc>
        <w:tc>
          <w:tcPr>
            <w:tcW w:w="1147" w:type="dxa"/>
            <w:tcBorders>
              <w:top w:val="nil"/>
              <w:left w:val="nil"/>
              <w:bottom w:val="nil"/>
            </w:tcBorders>
            <w:shd w:val="clear" w:color="auto" w:fill="auto"/>
            <w:tcMar>
              <w:left w:w="60" w:type="dxa"/>
              <w:right w:w="60" w:type="dxa"/>
            </w:tcMar>
          </w:tcPr>
          <w:p w14:paraId="0E2BE229" w14:textId="77777777" w:rsidR="00657DB9" w:rsidRDefault="00657DB9" w:rsidP="004B1E94">
            <w:pPr>
              <w:keepNext/>
              <w:adjustRightInd w:val="0"/>
              <w:spacing w:after="0"/>
              <w:jc w:val="right"/>
              <w:rPr>
                <w:color w:val="000000"/>
              </w:rPr>
            </w:pPr>
            <w:r>
              <w:rPr>
                <w:color w:val="000000"/>
              </w:rPr>
              <w:t>14</w:t>
            </w:r>
          </w:p>
        </w:tc>
      </w:tr>
      <w:tr w:rsidR="00657DB9" w14:paraId="694118BE" w14:textId="77777777" w:rsidTr="004B1E94">
        <w:trPr>
          <w:cantSplit/>
        </w:trPr>
        <w:tc>
          <w:tcPr>
            <w:tcW w:w="6910" w:type="dxa"/>
            <w:tcBorders>
              <w:top w:val="nil"/>
              <w:bottom w:val="nil"/>
              <w:right w:val="nil"/>
            </w:tcBorders>
            <w:shd w:val="clear" w:color="auto" w:fill="auto"/>
            <w:tcMar>
              <w:left w:w="60" w:type="dxa"/>
              <w:right w:w="60" w:type="dxa"/>
            </w:tcMar>
          </w:tcPr>
          <w:p w14:paraId="601006AB" w14:textId="77777777" w:rsidR="00657DB9" w:rsidRPr="00A90119" w:rsidRDefault="00657DB9" w:rsidP="004B1E94">
            <w:pPr>
              <w:keepNext/>
              <w:adjustRightInd w:val="0"/>
              <w:spacing w:after="0"/>
              <w:rPr>
                <w:bCs/>
                <w:color w:val="000000"/>
              </w:rPr>
            </w:pPr>
            <w:r w:rsidRPr="00A90119">
              <w:rPr>
                <w:bCs/>
                <w:color w:val="000000"/>
              </w:rPr>
              <w:t>Insufficient information in chart</w:t>
            </w:r>
          </w:p>
        </w:tc>
        <w:tc>
          <w:tcPr>
            <w:tcW w:w="1147" w:type="dxa"/>
            <w:tcBorders>
              <w:top w:val="nil"/>
              <w:left w:val="nil"/>
              <w:bottom w:val="nil"/>
            </w:tcBorders>
            <w:shd w:val="clear" w:color="auto" w:fill="auto"/>
            <w:tcMar>
              <w:left w:w="60" w:type="dxa"/>
              <w:right w:w="60" w:type="dxa"/>
            </w:tcMar>
          </w:tcPr>
          <w:p w14:paraId="61DCA8B5" w14:textId="77777777" w:rsidR="00657DB9" w:rsidRDefault="00657DB9" w:rsidP="004B1E94">
            <w:pPr>
              <w:keepNext/>
              <w:adjustRightInd w:val="0"/>
              <w:spacing w:after="0"/>
              <w:jc w:val="right"/>
              <w:rPr>
                <w:color w:val="000000"/>
              </w:rPr>
            </w:pPr>
            <w:r>
              <w:rPr>
                <w:color w:val="000000"/>
              </w:rPr>
              <w:t>1</w:t>
            </w:r>
          </w:p>
        </w:tc>
      </w:tr>
      <w:tr w:rsidR="00657DB9" w14:paraId="1915D23A" w14:textId="77777777" w:rsidTr="004B1E94">
        <w:trPr>
          <w:cantSplit/>
        </w:trPr>
        <w:tc>
          <w:tcPr>
            <w:tcW w:w="6910" w:type="dxa"/>
            <w:tcBorders>
              <w:top w:val="nil"/>
              <w:bottom w:val="nil"/>
              <w:right w:val="nil"/>
            </w:tcBorders>
            <w:shd w:val="clear" w:color="auto" w:fill="auto"/>
            <w:tcMar>
              <w:left w:w="60" w:type="dxa"/>
              <w:right w:w="60" w:type="dxa"/>
            </w:tcMar>
          </w:tcPr>
          <w:p w14:paraId="015F2DEF" w14:textId="77777777" w:rsidR="00657DB9" w:rsidRPr="00A90119" w:rsidRDefault="00657DB9" w:rsidP="004B1E94">
            <w:pPr>
              <w:keepNext/>
              <w:adjustRightInd w:val="0"/>
              <w:spacing w:after="0"/>
              <w:rPr>
                <w:bCs/>
                <w:color w:val="000000"/>
              </w:rPr>
            </w:pPr>
            <w:r w:rsidRPr="00A90119">
              <w:rPr>
                <w:bCs/>
                <w:color w:val="000000"/>
              </w:rPr>
              <w:t>Provider did not reply</w:t>
            </w:r>
          </w:p>
        </w:tc>
        <w:tc>
          <w:tcPr>
            <w:tcW w:w="1147" w:type="dxa"/>
            <w:tcBorders>
              <w:top w:val="nil"/>
              <w:left w:val="nil"/>
              <w:bottom w:val="nil"/>
            </w:tcBorders>
            <w:shd w:val="clear" w:color="auto" w:fill="auto"/>
            <w:tcMar>
              <w:left w:w="60" w:type="dxa"/>
              <w:right w:w="60" w:type="dxa"/>
            </w:tcMar>
          </w:tcPr>
          <w:p w14:paraId="3B71D56F" w14:textId="77777777" w:rsidR="00657DB9" w:rsidRDefault="00657DB9" w:rsidP="004B1E94">
            <w:pPr>
              <w:keepNext/>
              <w:adjustRightInd w:val="0"/>
              <w:spacing w:after="0"/>
              <w:jc w:val="right"/>
              <w:rPr>
                <w:color w:val="000000"/>
              </w:rPr>
            </w:pPr>
            <w:r>
              <w:rPr>
                <w:color w:val="000000"/>
              </w:rPr>
              <w:t>5</w:t>
            </w:r>
          </w:p>
        </w:tc>
      </w:tr>
      <w:tr w:rsidR="00657DB9" w14:paraId="3090E917" w14:textId="77777777" w:rsidTr="004B1E94">
        <w:trPr>
          <w:cantSplit/>
        </w:trPr>
        <w:tc>
          <w:tcPr>
            <w:tcW w:w="6910" w:type="dxa"/>
            <w:tcBorders>
              <w:top w:val="nil"/>
              <w:bottom w:val="nil"/>
              <w:right w:val="nil"/>
            </w:tcBorders>
            <w:shd w:val="clear" w:color="auto" w:fill="auto"/>
            <w:tcMar>
              <w:left w:w="60" w:type="dxa"/>
              <w:right w:w="60" w:type="dxa"/>
            </w:tcMar>
          </w:tcPr>
          <w:p w14:paraId="752EC446" w14:textId="77777777" w:rsidR="00657DB9" w:rsidRPr="00A90119" w:rsidRDefault="00657DB9" w:rsidP="004B1E94">
            <w:pPr>
              <w:keepNext/>
              <w:adjustRightInd w:val="0"/>
              <w:spacing w:after="0"/>
              <w:rPr>
                <w:bCs/>
                <w:color w:val="000000"/>
              </w:rPr>
            </w:pPr>
            <w:r w:rsidRPr="00A90119">
              <w:rPr>
                <w:bCs/>
                <w:color w:val="000000"/>
              </w:rPr>
              <w:t>Provider refused to participate</w:t>
            </w:r>
          </w:p>
        </w:tc>
        <w:tc>
          <w:tcPr>
            <w:tcW w:w="1147" w:type="dxa"/>
            <w:tcBorders>
              <w:top w:val="nil"/>
              <w:left w:val="nil"/>
              <w:bottom w:val="nil"/>
            </w:tcBorders>
            <w:shd w:val="clear" w:color="auto" w:fill="auto"/>
            <w:tcMar>
              <w:left w:w="60" w:type="dxa"/>
              <w:right w:w="60" w:type="dxa"/>
            </w:tcMar>
          </w:tcPr>
          <w:p w14:paraId="1E2C9D07" w14:textId="77777777" w:rsidR="00657DB9" w:rsidRDefault="00657DB9" w:rsidP="004B1E94">
            <w:pPr>
              <w:keepNext/>
              <w:adjustRightInd w:val="0"/>
              <w:spacing w:after="0"/>
              <w:jc w:val="right"/>
              <w:rPr>
                <w:color w:val="000000"/>
              </w:rPr>
            </w:pPr>
            <w:r>
              <w:rPr>
                <w:color w:val="000000"/>
              </w:rPr>
              <w:t>9</w:t>
            </w:r>
          </w:p>
        </w:tc>
      </w:tr>
      <w:tr w:rsidR="00657DB9" w14:paraId="54C2277B" w14:textId="77777777" w:rsidTr="004B1E94">
        <w:trPr>
          <w:cantSplit/>
        </w:trPr>
        <w:tc>
          <w:tcPr>
            <w:tcW w:w="6910" w:type="dxa"/>
            <w:tcBorders>
              <w:top w:val="nil"/>
              <w:bottom w:val="single" w:sz="4" w:space="0" w:color="auto"/>
              <w:right w:val="nil"/>
            </w:tcBorders>
            <w:shd w:val="clear" w:color="auto" w:fill="auto"/>
            <w:tcMar>
              <w:left w:w="60" w:type="dxa"/>
              <w:right w:w="60" w:type="dxa"/>
            </w:tcMar>
          </w:tcPr>
          <w:p w14:paraId="424ADF23" w14:textId="77777777" w:rsidR="00657DB9" w:rsidRPr="00A90119" w:rsidRDefault="00657DB9" w:rsidP="004B1E94">
            <w:pPr>
              <w:keepNext/>
              <w:adjustRightInd w:val="0"/>
              <w:spacing w:after="0"/>
              <w:rPr>
                <w:bCs/>
                <w:color w:val="000000"/>
              </w:rPr>
            </w:pPr>
            <w:r w:rsidRPr="00A90119">
              <w:rPr>
                <w:bCs/>
                <w:color w:val="000000"/>
              </w:rPr>
              <w:t>Provider refused to participate due to legal/compliance/HIPAA concerns</w:t>
            </w:r>
          </w:p>
        </w:tc>
        <w:tc>
          <w:tcPr>
            <w:tcW w:w="1147" w:type="dxa"/>
            <w:tcBorders>
              <w:top w:val="nil"/>
              <w:left w:val="nil"/>
              <w:bottom w:val="single" w:sz="4" w:space="0" w:color="auto"/>
            </w:tcBorders>
            <w:shd w:val="clear" w:color="auto" w:fill="auto"/>
            <w:tcMar>
              <w:left w:w="60" w:type="dxa"/>
              <w:right w:w="60" w:type="dxa"/>
            </w:tcMar>
          </w:tcPr>
          <w:p w14:paraId="4D5F1C01" w14:textId="77777777" w:rsidR="00657DB9" w:rsidRDefault="00657DB9" w:rsidP="004B1E94">
            <w:pPr>
              <w:keepNext/>
              <w:adjustRightInd w:val="0"/>
              <w:spacing w:after="0"/>
              <w:jc w:val="right"/>
              <w:rPr>
                <w:color w:val="000000"/>
              </w:rPr>
            </w:pPr>
            <w:r>
              <w:rPr>
                <w:color w:val="000000"/>
              </w:rPr>
              <w:t>13</w:t>
            </w:r>
          </w:p>
        </w:tc>
      </w:tr>
      <w:tr w:rsidR="00657DB9" w14:paraId="3F94FBD8" w14:textId="77777777" w:rsidTr="004B1E94">
        <w:trPr>
          <w:cantSplit/>
        </w:trPr>
        <w:tc>
          <w:tcPr>
            <w:tcW w:w="6910" w:type="dxa"/>
            <w:tcBorders>
              <w:right w:val="nil"/>
            </w:tcBorders>
            <w:shd w:val="clear" w:color="auto" w:fill="auto"/>
            <w:tcMar>
              <w:left w:w="60" w:type="dxa"/>
              <w:right w:w="60" w:type="dxa"/>
            </w:tcMar>
          </w:tcPr>
          <w:p w14:paraId="377180B6" w14:textId="77777777" w:rsidR="00657DB9" w:rsidRPr="00A90119" w:rsidRDefault="00657DB9" w:rsidP="004B1E94">
            <w:pPr>
              <w:keepNext/>
              <w:adjustRightInd w:val="0"/>
              <w:spacing w:after="0"/>
              <w:rPr>
                <w:bCs/>
                <w:color w:val="000000"/>
              </w:rPr>
            </w:pPr>
            <w:r w:rsidRPr="00A90119">
              <w:rPr>
                <w:bCs/>
                <w:color w:val="000000"/>
              </w:rPr>
              <w:t>Total</w:t>
            </w:r>
          </w:p>
        </w:tc>
        <w:tc>
          <w:tcPr>
            <w:tcW w:w="1147" w:type="dxa"/>
            <w:tcBorders>
              <w:left w:val="nil"/>
            </w:tcBorders>
            <w:shd w:val="clear" w:color="auto" w:fill="auto"/>
            <w:tcMar>
              <w:left w:w="60" w:type="dxa"/>
              <w:right w:w="60" w:type="dxa"/>
            </w:tcMar>
          </w:tcPr>
          <w:p w14:paraId="18639698" w14:textId="77777777" w:rsidR="00657DB9" w:rsidRDefault="00657DB9" w:rsidP="004B1E94">
            <w:pPr>
              <w:keepNext/>
              <w:adjustRightInd w:val="0"/>
              <w:spacing w:after="0"/>
              <w:jc w:val="right"/>
              <w:rPr>
                <w:color w:val="000000"/>
              </w:rPr>
            </w:pPr>
            <w:r>
              <w:rPr>
                <w:color w:val="000000"/>
              </w:rPr>
              <w:t>63</w:t>
            </w:r>
          </w:p>
        </w:tc>
      </w:tr>
    </w:tbl>
    <w:p w14:paraId="518E50E7" w14:textId="77777777" w:rsidR="00657DB9" w:rsidRPr="00245FD8" w:rsidRDefault="00657DB9" w:rsidP="00657DB9">
      <w:pPr>
        <w:spacing w:after="0" w:line="480" w:lineRule="auto"/>
        <w:ind w:firstLine="720"/>
        <w:rPr>
          <w:b/>
        </w:rPr>
      </w:pPr>
    </w:p>
    <w:p w14:paraId="5BC29A0A" w14:textId="77777777" w:rsidR="00657DB9" w:rsidRPr="00F15335" w:rsidRDefault="00657DB9" w:rsidP="00657DB9">
      <w:pPr>
        <w:spacing w:after="0" w:line="480" w:lineRule="auto"/>
        <w:ind w:firstLine="720"/>
      </w:pPr>
    </w:p>
    <w:p w14:paraId="539C4F98" w14:textId="77777777" w:rsidR="000259D0" w:rsidRDefault="000259D0">
      <w:bookmarkStart w:id="1" w:name="_GoBack"/>
      <w:bookmarkEnd w:id="1"/>
    </w:p>
    <w:sectPr w:rsidR="000259D0" w:rsidSect="00AA4AB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B9"/>
    <w:rsid w:val="000259D0"/>
    <w:rsid w:val="0065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C30B"/>
  <w15:chartTrackingRefBased/>
  <w15:docId w15:val="{642F6749-288D-470E-AA53-C0B592C6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7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DB9"/>
    <w:rPr>
      <w:color w:val="0563C1" w:themeColor="hyperlink"/>
      <w:u w:val="single"/>
    </w:rPr>
  </w:style>
  <w:style w:type="character" w:styleId="LineNumber">
    <w:name w:val="line number"/>
    <w:basedOn w:val="DefaultParagraphFont"/>
    <w:uiPriority w:val="99"/>
    <w:semiHidden/>
    <w:unhideWhenUsed/>
    <w:rsid w:val="0065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ntinelsystem.org/sites/default/files/Drugs/Assessments/Mini-Sentinel_Thromboembolic-Events-After-Immunoglobulin-Administration-Protoco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Ammann</dc:creator>
  <cp:keywords/>
  <dc:description/>
  <cp:lastModifiedBy>Eric Ammann</cp:lastModifiedBy>
  <cp:revision>1</cp:revision>
  <dcterms:created xsi:type="dcterms:W3CDTF">2017-06-25T23:09:00Z</dcterms:created>
  <dcterms:modified xsi:type="dcterms:W3CDTF">2017-06-25T23:09:00Z</dcterms:modified>
</cp:coreProperties>
</file>