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Appendix supplementary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drawing>
          <wp:inline distT="0" distB="0" distL="114300" distR="114300">
            <wp:extent cx="2923540" cy="43903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4390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266700" cy="228600"/>
            <wp:effectExtent l="0" t="0" r="0" b="0"/>
            <wp:docPr id="2" name="图片 2" descr="C:\Users\Administrator\AppData\Local\Temp\ksohtml\wps937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Local\Temp\ksohtml\wps9370.tmp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1"/>
          <w:szCs w:val="21"/>
        </w:rPr>
        <w:t>Low risk of bias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257175" cy="266700"/>
            <wp:effectExtent l="0" t="0" r="9525" b="0"/>
            <wp:docPr id="3" name="图片 3" descr="C:\Users\Administrator\AppData\Local\Temp\ksohtml\wps93A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Local\Temp\ksohtml\wps93A0.tm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1"/>
          <w:szCs w:val="21"/>
        </w:rPr>
        <w:t>High risk of bias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247650" cy="228600"/>
            <wp:effectExtent l="0" t="0" r="0" b="0"/>
            <wp:docPr id="4" name="图片 4" descr="C:\Users\Administrator\AppData\Local\Temp\ksohtml\wps93B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ksohtml\wps93B1.tm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1"/>
          <w:szCs w:val="21"/>
        </w:rPr>
        <w:t>unclear risk of bias</w:t>
      </w:r>
    </w:p>
    <w:p>
      <w:pPr>
        <w:spacing w:line="0" w:lineRule="atLeast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Figure 1.</w:t>
      </w:r>
      <w:r>
        <w:rPr>
          <w:rFonts w:hint="default" w:ascii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 xml:space="preserve">Risk of bias of the individual studies by Cochrane risk assessment tool.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Quality assessment scale of Newcastle-Ottawa Scale for non-randomized studies</w:t>
      </w:r>
    </w:p>
    <w:tbl>
      <w:tblPr>
        <w:tblStyle w:val="4"/>
        <w:tblW w:w="9273" w:type="dxa"/>
        <w:tblInd w:w="0" w:type="dxa"/>
        <w:tblBorders>
          <w:top w:val="single" w:color="4BACC6" w:sz="8" w:space="0"/>
          <w:left w:val="none" w:color="auto" w:sz="0" w:space="0"/>
          <w:bottom w:val="single" w:color="4BACC6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3270"/>
        <w:gridCol w:w="15"/>
        <w:gridCol w:w="3180"/>
      </w:tblGrid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bottom w:val="single" w:color="4BACC6" w:sz="8" w:space="0"/>
            </w:tcBorders>
            <w:shd w:val="clear" w:color="auto" w:fill="4BACC6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FFFFFF"/>
              </w:rPr>
              <w:t>Studies</w:t>
            </w:r>
          </w:p>
        </w:tc>
        <w:tc>
          <w:tcPr>
            <w:tcW w:w="3285" w:type="dxa"/>
            <w:gridSpan w:val="2"/>
            <w:tcBorders>
              <w:bottom w:val="single" w:color="4BACC6" w:sz="8" w:space="0"/>
            </w:tcBorders>
            <w:shd w:val="clear" w:color="auto" w:fill="4BACC6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FFFF"/>
              </w:rPr>
            </w:pPr>
            <w:r>
              <w:rPr>
                <w:rFonts w:hint="default" w:ascii="Times New Roman" w:hAnsi="Times New Roman" w:cs="Times New Roman"/>
                <w:color w:val="FFFFFF"/>
              </w:rPr>
              <w:t>Fan L et al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Cs w:val="21"/>
              </w:rPr>
            </w:pPr>
            <w:r>
              <w:rPr>
                <w:rFonts w:hint="default" w:ascii="Times New Roman" w:hAnsi="Times New Roman" w:cs="Times New Roman"/>
                <w:color w:val="FFFFFF"/>
              </w:rPr>
              <w:t>2016</w:t>
            </w:r>
          </w:p>
        </w:tc>
        <w:tc>
          <w:tcPr>
            <w:tcW w:w="3180" w:type="dxa"/>
            <w:tcBorders>
              <w:bottom w:val="single" w:color="4BACC6" w:sz="8" w:space="0"/>
            </w:tcBorders>
            <w:shd w:val="clear" w:color="auto" w:fill="4BACC6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Cs w:val="21"/>
              </w:rPr>
            </w:pPr>
            <w:r>
              <w:rPr>
                <w:rFonts w:hint="default" w:ascii="Times New Roman" w:hAnsi="Times New Roman" w:cs="Times New Roman"/>
                <w:color w:val="FFFFFF"/>
              </w:rPr>
              <w:t>Chen SL et al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Cs w:val="21"/>
              </w:rPr>
            </w:pPr>
            <w:r>
              <w:rPr>
                <w:rFonts w:hint="default" w:ascii="Times New Roman" w:hAnsi="Times New Roman" w:cs="Times New Roman"/>
                <w:color w:val="FFFFFF"/>
              </w:rPr>
              <w:t>2012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808" w:type="dxa"/>
            <w:tcBorders>
              <w:top w:val="single" w:color="4BACC6" w:sz="8" w:space="0"/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Selection of cohort</w:t>
            </w:r>
          </w:p>
        </w:tc>
        <w:tc>
          <w:tcPr>
            <w:tcW w:w="6465" w:type="dxa"/>
            <w:gridSpan w:val="3"/>
            <w:tcBorders>
              <w:top w:val="single" w:color="4BACC6" w:sz="8" w:space="0"/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 xml:space="preserve">(1) Representativeness of the exposed cohort: A, truly representative of the average patient with coronary bifurcation lesions; B, somewhat representative of the average patient with coronary bifurcation lesions; C, selected special group; and D, no description of the derivation of the cohort. 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 xml:space="preserve">(2) Selection of the non-exposed cohort. A, drawn from the same community as the exposed cohort; B, drawn from a different source; and C, no description of the derivation of the non-exposed cohort. 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 xml:space="preserve">(3) Ascertainment of exposure: A, secure record (e.g., surgical records); B structured interview; C, written self-report; and D, no description. 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(4) Demonstration that outcome of interest was not present at start of study: A, yes; B, no.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1.Representativeness of the exposed cohort.</w:t>
            </w:r>
          </w:p>
        </w:tc>
        <w:tc>
          <w:tcPr>
            <w:tcW w:w="3285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808" w:type="dxa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2.Selection of the non-exposed cohort.</w:t>
            </w:r>
          </w:p>
        </w:tc>
        <w:tc>
          <w:tcPr>
            <w:tcW w:w="3285" w:type="dxa"/>
            <w:gridSpan w:val="2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8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3. Ascertainment of exposure.</w:t>
            </w:r>
          </w:p>
        </w:tc>
        <w:tc>
          <w:tcPr>
            <w:tcW w:w="3285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08" w:type="dxa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4.Demonstration that outcome of interest was not present at start of study.</w:t>
            </w:r>
          </w:p>
        </w:tc>
        <w:tc>
          <w:tcPr>
            <w:tcW w:w="3285" w:type="dxa"/>
            <w:gridSpan w:val="2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Comparability</w:t>
            </w:r>
          </w:p>
        </w:tc>
        <w:tc>
          <w:tcPr>
            <w:tcW w:w="6465" w:type="dxa"/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 xml:space="preserve">Comparability of cohorts on the basis of the design or analysis: A, study controls for comorbidities. 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B, study controls for additional risk factors (such as age and severity of illness); and C, not done.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808" w:type="dxa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Comparability of cohorts on the basis of the design or analysis.</w:t>
            </w:r>
          </w:p>
        </w:tc>
        <w:tc>
          <w:tcPr>
            <w:tcW w:w="3285" w:type="dxa"/>
            <w:gridSpan w:val="2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8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Outcomes</w:t>
            </w:r>
          </w:p>
        </w:tc>
        <w:tc>
          <w:tcPr>
            <w:tcW w:w="6465" w:type="dxa"/>
            <w:gridSpan w:val="3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 xml:space="preserve">(1) Assessment of outcome: A, independent blind assessment; B, record linkage; C, self-report; and 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 xml:space="preserve">D, no description. 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(2) Was follow-up long enough for outcomes to occur: A, yes; B, no.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(3) Adequacy of follow-up of cohort: A, complete follow-up all subjects accounted for; B, subjects lost to follow-up unlikely to introduce bias (small number lost), follow-up rate higher than 90%, or description provided of those lost; C, follow-up rate 90% or lower (select an adequate percentage) and no description of those lost; and D, no statement. Y: Yes; N: No.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808" w:type="dxa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1. Assessment of outcome.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  <w:tc>
          <w:tcPr>
            <w:tcW w:w="3195" w:type="dxa"/>
            <w:gridSpan w:val="2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80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2.Was follow-up long enough for     outcomes to occur.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  <w:tc>
          <w:tcPr>
            <w:tcW w:w="3195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</w:tr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808" w:type="dxa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3.Adequacy of follow-up of cohorts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  <w:tc>
          <w:tcPr>
            <w:tcW w:w="3195" w:type="dxa"/>
            <w:gridSpan w:val="2"/>
            <w:tcBorders>
              <w:tl2br w:val="nil"/>
              <w:tr2bl w:val="nil"/>
            </w:tcBorders>
            <w:shd w:val="clear" w:color="auto" w:fill="E9F1F5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</w:tr>
    </w:tbl>
    <w:p>
      <w:pPr>
        <w:rPr>
          <w:rFonts w:hint="default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317D1"/>
    <w:rsid w:val="382C7BE9"/>
    <w:rsid w:val="621317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Light Shading Accent 1"/>
    <w:basedOn w:val="4"/>
    <w:qFormat/>
    <w:uiPriority w:val="60"/>
    <w:rPr>
      <w:color w:val="2E75B5"/>
    </w:rPr>
    <w:tblPr>
      <w:tblBorders>
        <w:top w:val="single" w:color="5B9BD5" w:sz="8" w:space="0"/>
        <w:bottom w:val="single" w:color="5B9BD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</w:tblStylePr>
    <w:tblStylePr w:type="lastCol">
      <w:rPr>
        <w:b/>
        <w:bCs/>
      </w:rPr>
      <w:tblPr>
        <w:tblLayout w:type="fixed"/>
      </w:tbl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6F4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6F4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812</Words>
  <Characters>3606</Characters>
  <Lines>0</Lines>
  <Paragraphs>0</Paragraphs>
  <TotalTime>0</TotalTime>
  <ScaleCrop>false</ScaleCrop>
  <LinksUpToDate>false</LinksUpToDate>
  <CharactersWithSpaces>4016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2018-07-07T11:13:00Z</dcterms:created>
  <dc:creator>文献</dc:creator>
  <cp:lastModifiedBy>文献</cp:lastModifiedBy>
  <dcterms:modified xsi:type="dcterms:W3CDTF">2018-07-07T11:38:28Z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