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D3" w:rsidRDefault="006002D3">
      <w:pPr>
        <w:pStyle w:val="SAP-PaperTitle"/>
        <w:widowControl w:val="0"/>
        <w:spacing w:before="0" w:after="120" w:line="240" w:lineRule="auto"/>
      </w:pPr>
      <w:r>
        <w:t>Supplemental Content</w:t>
      </w:r>
    </w:p>
    <w:p w:rsidR="006002D3" w:rsidRDefault="006002D3">
      <w:pPr>
        <w:pStyle w:val="SAP-PaperTitle"/>
        <w:widowControl w:val="0"/>
        <w:spacing w:before="0" w:after="120" w:line="240" w:lineRule="auto"/>
        <w:rPr>
          <w:sz w:val="28"/>
          <w:szCs w:val="28"/>
        </w:rPr>
      </w:pPr>
    </w:p>
    <w:p w:rsidR="006002D3" w:rsidRDefault="006002D3">
      <w:pPr>
        <w:pStyle w:val="SAP-PaperTitle"/>
        <w:widowControl w:val="0"/>
        <w:spacing w:before="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Nivolumab―Pembrolizumab Switch </w:t>
      </w:r>
    </w:p>
    <w:p w:rsidR="006002D3" w:rsidRDefault="006002D3">
      <w:pPr>
        <w:pStyle w:val="SAP-PaperTitle"/>
        <w:widowControl w:val="0"/>
        <w:spacing w:before="0" w:after="120" w:line="240" w:lineRule="auto"/>
        <w:rPr>
          <w:sz w:val="28"/>
          <w:szCs w:val="28"/>
        </w:rPr>
      </w:pPr>
      <w:r>
        <w:rPr>
          <w:sz w:val="28"/>
          <w:szCs w:val="28"/>
        </w:rPr>
        <w:t>Induced a Durable Melanoma Response: A Case Report</w:t>
      </w:r>
    </w:p>
    <w:p w:rsidR="006002D3" w:rsidRDefault="006002D3">
      <w:pPr>
        <w:shd w:val="clear" w:color="auto" w:fill="FFFFFF"/>
        <w:jc w:val="center"/>
        <w:rPr>
          <w:rFonts w:ascii="Times New Roman" w:eastAsia="Times New Roman" w:hAnsi="Times New Roman" w:cstheme="minorBidi"/>
          <w:kern w:val="24"/>
          <w:sz w:val="24"/>
          <w:szCs w:val="24"/>
        </w:rPr>
      </w:pPr>
      <w:r>
        <w:rPr>
          <w:rFonts w:ascii="Times New Roman" w:eastAsia="Times New Roman" w:hAnsi="Times New Roman" w:cstheme="minorBidi"/>
          <w:kern w:val="24"/>
          <w:sz w:val="24"/>
          <w:szCs w:val="24"/>
          <w:lang w:val="en-GB"/>
        </w:rPr>
        <w:t xml:space="preserve">Tanja Lepir,* Mehdi Zaghouani,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phane </w:t>
      </w:r>
      <w:r>
        <w:rPr>
          <w:rFonts w:ascii="Times New Roman" w:eastAsia="Times New Roman" w:hAnsi="Times New Roman" w:cstheme="minorBidi"/>
          <w:kern w:val="24"/>
          <w:sz w:val="24"/>
          <w:szCs w:val="24"/>
          <w:lang w:val="en-GB"/>
        </w:rPr>
        <w:t>P.</w:t>
      </w:r>
      <w:r>
        <w:rPr>
          <w:rFonts w:ascii="Times New Roman" w:eastAsia="Times New Roman" w:hAnsi="Times New Roman" w:cstheme="minorBidi"/>
          <w:kern w:val="24"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eastAsia="Times New Roman" w:hAnsi="Times New Roman" w:cstheme="minorBidi"/>
          <w:kern w:val="24"/>
          <w:sz w:val="24"/>
          <w:szCs w:val="24"/>
          <w:lang w:val="en-GB"/>
        </w:rPr>
        <w:t>Roche, Ying</w:t>
      </w:r>
      <w:r>
        <w:rPr>
          <w:rFonts w:ascii="Times New Roman" w:eastAsia="PMingLiU" w:hAnsi="Times New Roman" w:cs="Times New Roman"/>
          <w:kern w:val="24"/>
          <w:sz w:val="24"/>
          <w:szCs w:val="24"/>
          <w:lang w:val="en-GB" w:eastAsia="zh-TW"/>
        </w:rPr>
        <w:t>-</w:t>
      </w:r>
      <w:r>
        <w:rPr>
          <w:rFonts w:ascii="Times New Roman" w:eastAsia="Times New Roman" w:hAnsi="Times New Roman" w:cstheme="minorBidi"/>
          <w:kern w:val="24"/>
          <w:sz w:val="24"/>
          <w:szCs w:val="24"/>
          <w:lang w:val="en-GB"/>
        </w:rPr>
        <w:t xml:space="preserve">Ying Li, </w:t>
      </w:r>
      <w:r>
        <w:rPr>
          <w:rFonts w:ascii="Times New Roman" w:eastAsia="Times New Roman" w:hAnsi="Times New Roman" w:cstheme="minorBidi"/>
          <w:kern w:val="24"/>
          <w:sz w:val="24"/>
          <w:szCs w:val="24"/>
        </w:rPr>
        <w:t xml:space="preserve">Miguel Suarez, Maria-Jose Irias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>
        <w:rPr>
          <w:rFonts w:ascii="Times New Roman" w:eastAsia="Times New Roman" w:hAnsi="Times New Roman" w:cstheme="minorBidi"/>
          <w:kern w:val="24"/>
          <w:sz w:val="24"/>
          <w:szCs w:val="24"/>
        </w:rPr>
        <w:t xml:space="preserve">Niramol Savaraj </w:t>
      </w:r>
    </w:p>
    <w:p w:rsidR="006002D3" w:rsidRDefault="006002D3">
      <w:pPr>
        <w:widowControl/>
        <w:spacing w:before="240" w:after="240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>Comparative Analysis of PD-1 Interfaces with PD-L1, Nivolumab and Pembrolizumab</w:t>
      </w:r>
    </w:p>
    <w:p w:rsidR="006002D3" w:rsidRDefault="006002D3">
      <w:pPr>
        <w:widowControl/>
        <w:autoSpaceDE w:val="0"/>
        <w:autoSpaceDN w:val="0"/>
        <w:adjustRightInd w:val="0"/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side by side comparison of the blocker binding models and of PD-L1 complexed with PD-1 is proposed to evaluate the main structural “hot” spots and epitopes of PD-1, as well as the key conformational changes imparted to PD-1 by the blockers upon binding events (Tables S1 and S2).</w:t>
      </w:r>
    </w:p>
    <w:p w:rsidR="006002D3" w:rsidRDefault="006002D3">
      <w:pPr>
        <w:widowControl/>
        <w:spacing w:line="360" w:lineRule="auto"/>
        <w:ind w:firstLine="420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Ligand–receptor interactions have been cross-analyzed using PyMol and LigPlot+ software with thresholds of 2.7 Å for hydrogen bonds (H-bonds) and bridged H-bond relayed by water molecules, 3.35 Å for salt bridges and 2.9-3.9 Å for hydrophobic van der Waals interactions.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  <w:lang w:eastAsia="en-US"/>
        </w:rPr>
        <w:t>[SI</w:t>
      </w:r>
      <w:r>
        <w:rPr>
          <w:rStyle w:val="EndnoteReference"/>
          <w:kern w:val="0"/>
          <w:sz w:val="24"/>
          <w:szCs w:val="24"/>
          <w:lang w:eastAsia="en-US"/>
        </w:rPr>
        <w:endnoteReference w:id="2"/>
      </w:r>
      <w:bookmarkStart w:id="0" w:name="_Ref521165643"/>
      <w:r>
        <w:rPr>
          <w:rFonts w:ascii="Times New Roman" w:hAnsi="Times New Roman" w:cs="Times New Roman"/>
          <w:kern w:val="0"/>
          <w:sz w:val="24"/>
          <w:szCs w:val="24"/>
          <w:vertAlign w:val="superscript"/>
          <w:lang w:eastAsia="en-US"/>
        </w:rPr>
        <w:t>, SI</w:t>
      </w:r>
      <w:r>
        <w:rPr>
          <w:rStyle w:val="EndnoteReference"/>
          <w:kern w:val="0"/>
          <w:sz w:val="24"/>
          <w:szCs w:val="24"/>
          <w:lang w:eastAsia="en-US"/>
        </w:rPr>
        <w:t xml:space="preserve"> </w:t>
      </w:r>
      <w:r>
        <w:rPr>
          <w:rStyle w:val="EndnoteReference"/>
          <w:kern w:val="0"/>
          <w:sz w:val="24"/>
          <w:szCs w:val="24"/>
          <w:lang w:eastAsia="en-US"/>
        </w:rPr>
        <w:endnoteReference w:id="3"/>
      </w:r>
      <w:bookmarkEnd w:id="0"/>
      <w:r>
        <w:rPr>
          <w:rFonts w:ascii="Times New Roman" w:hAnsi="Times New Roman" w:cs="Times New Roman"/>
          <w:kern w:val="0"/>
          <w:sz w:val="24"/>
          <w:szCs w:val="24"/>
          <w:vertAlign w:val="superscript"/>
          <w:lang w:eastAsia="en-US"/>
        </w:rPr>
        <w:t>]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A detailed mapping of PD-1 molecular interactions with ligands: PD-L1 as well as with pembrolizumab and nivolumab Fabs is reported in Tables S1-S2 and graphically represented in Figure 4. In the Tables below, PD-1 residues reported in green have been found to bind to a least two ligands and residues in blue to all three ligands. Given the significant strength of salt bridges in protein–protein interactions (PPI),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  <w:lang w:eastAsia="en-US"/>
        </w:rPr>
        <w:t>[SI</w:t>
      </w:r>
      <w:r>
        <w:rPr>
          <w:rStyle w:val="EndnoteReference"/>
          <w:kern w:val="0"/>
          <w:sz w:val="24"/>
          <w:szCs w:val="24"/>
          <w:lang w:eastAsia="en-US"/>
        </w:rPr>
        <w:endnoteReference w:id="4"/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  <w:lang w:eastAsia="en-US"/>
        </w:rPr>
        <w:t>, SI</w:t>
      </w:r>
      <w:r>
        <w:rPr>
          <w:rStyle w:val="EndnoteReference"/>
          <w:kern w:val="0"/>
          <w:sz w:val="24"/>
          <w:szCs w:val="24"/>
          <w:lang w:eastAsia="en-US"/>
        </w:rPr>
        <w:endnoteReference w:id="5"/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  <w:lang w:eastAsia="en-US"/>
        </w:rPr>
        <w:t>]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it is relevant to notice that PD-1 interacts with PD-L1 through two ionic bridges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PD1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D77 with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PDL1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K124 and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PD1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E136 with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PDL1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R113 (Table S1). Similarly, ionic bridges between PD-1 and pembrolizumab are formed by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PD1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D85 with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HC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R99 and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PD1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K131 with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LC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E59/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HC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D108 respectively, while nivolumab does not create such interaction. In regards to H-bond interactions in the PD-1–PD-L1 complex, large patches of residues are localized on the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:lang w:eastAsia="en-US"/>
        </w:rPr>
        <w:t>β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-strand C [F63-M70], the neighboring CC’ loop [S71-T76] and a few more residues towards the end of the FG loop [L128-I134] of PD-1. Interestingly, very similar regions of PD-1 are shown to be engaged in hydrophobic interactions with PD-L1 through two large patches of residues from the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:lang w:eastAsia="en-US"/>
        </w:rPr>
        <w:t>β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-strand C, the CC’ loop and the FG loop (Table S2). Overall, PD-1 shares similar sites of interactions (epitopes) in complex with PD-L1 and pembrolizumab (Tables S1-S2). Our analysis supports that in the PD-1–pembrolizumab interface, the patches of residues from the PD-1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:lang w:eastAsia="en-US"/>
        </w:rPr>
        <w:t>β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-strand C, the neighboring CC’ loop and the FG loop promote many hot spots of 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lastRenderedPageBreak/>
        <w:t>interactions to the pembrolizumab heavy chain. In addition, an important binding domain (not present in the PD-1–PD-L1 complex) is involved in the interaction of pembrolizumab complementary determining region (HCDR3) with the C’D</w:t>
      </w:r>
      <w:r>
        <w:rPr>
          <w:rFonts w:ascii="Times New Roman" w:hAnsi="Times New Roman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loop [P83-R94] of PD-1. This patch of seven “hot” residues from the C’D</w:t>
      </w:r>
      <w:r>
        <w:rPr>
          <w:rFonts w:ascii="Times New Roman" w:hAnsi="Times New Roman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loop is also extremely important to ensure a maximum of hydrophobic interactions between pembrolizumab and PD-1 (Table S2). In contrast, while some binding interactions between the FG loop of PD-L1 and nivolumab also exist at the PD-1–nivolumab interface, the main hydrophobic interactions (and two H-bonds) are localized from the heavy chain of nivolumab to the tip of the floppy and relatively unstructured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:lang w:eastAsia="en-US"/>
        </w:rPr>
        <w:t>N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-terminal region of PD-1: the N loop residues [S27-R30]. Accordingly to this comparative analysis,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PD1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L128,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PD1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K131 and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PD1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A132 are important residues that interact with each ligand studied. Other key residues of PD-1 involved in hydrogen binding are: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PD1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N66,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PD1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T76,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PD1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D77,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PD1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K78,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PD1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D85 and 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  <w:lang w:eastAsia="en-US"/>
        </w:rPr>
        <w:t>PD1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E136. </w:t>
      </w:r>
    </w:p>
    <w:p w:rsidR="008764C8" w:rsidRDefault="008764C8">
      <w:pPr>
        <w:widowControl/>
        <w:spacing w:line="360" w:lineRule="auto"/>
        <w:ind w:firstLine="420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</w:p>
    <w:p w:rsidR="006002D3" w:rsidRDefault="006002D3">
      <w:pPr>
        <w:widowControl/>
        <w:spacing w:after="80"/>
        <w:jc w:val="left"/>
        <w:rPr>
          <w:rFonts w:ascii="Times New Roman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  <w:lang w:eastAsia="en-US"/>
        </w:rPr>
        <w:t xml:space="preserve">Table S1. </w:t>
      </w:r>
      <w:r>
        <w:rPr>
          <w:rFonts w:ascii="Times New Roman" w:hAnsi="Times New Roman" w:cs="Times New Roman"/>
          <w:kern w:val="0"/>
          <w:sz w:val="22"/>
          <w:szCs w:val="22"/>
          <w:lang w:eastAsia="en-US"/>
        </w:rPr>
        <w:t xml:space="preserve">Summary of key polar interactions from residues at the surface of contact between PD-1 with the natural ligand PD-L1 or with pembrolizumab and nivolumab. </w:t>
      </w:r>
      <w:r>
        <w:rPr>
          <w:rFonts w:ascii="Times New Roman" w:hAnsi="Times New Roman" w:cs="Times New Roman"/>
          <w:i/>
          <w:iCs/>
          <w:kern w:val="0"/>
          <w:sz w:val="22"/>
          <w:szCs w:val="22"/>
          <w:vertAlign w:val="superscript"/>
          <w:lang w:eastAsia="en-US"/>
        </w:rPr>
        <w:t>a,b</w:t>
      </w:r>
      <w:r>
        <w:rPr>
          <w:rFonts w:ascii="Times New Roman" w:hAnsi="Times New Roman" w:cs="Times New Roman"/>
          <w:kern w:val="0"/>
          <w:sz w:val="22"/>
          <w:szCs w:val="22"/>
          <w:lang w:eastAsia="en-US"/>
        </w:rPr>
        <w:t xml:space="preserve"> </w:t>
      </w:r>
    </w:p>
    <w:tbl>
      <w:tblPr>
        <w:tblW w:w="935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1301"/>
        <w:gridCol w:w="1769"/>
        <w:gridCol w:w="1750"/>
        <w:gridCol w:w="1710"/>
        <w:gridCol w:w="2045"/>
      </w:tblGrid>
      <w:tr w:rsidR="006002D3">
        <w:trPr>
          <w:cantSplit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PD-1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PD-L1 </w:t>
            </w:r>
          </w:p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[PDB: 4zqk]</w:t>
            </w:r>
          </w:p>
        </w:tc>
        <w:tc>
          <w:tcPr>
            <w:tcW w:w="35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Pembrolizumab [PDB: 5ggs]</w:t>
            </w:r>
          </w:p>
        </w:tc>
        <w:tc>
          <w:tcPr>
            <w:tcW w:w="3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Nivolumab [PDB: 5ggr]</w:t>
            </w:r>
          </w:p>
        </w:tc>
      </w:tr>
      <w:tr w:rsidR="006002D3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02D3" w:rsidRDefault="006002D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02D3" w:rsidRDefault="006002D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C (HC)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D (LC)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A (HC)</w:t>
            </w:r>
          </w:p>
        </w:tc>
        <w:tc>
          <w:tcPr>
            <w:tcW w:w="2045" w:type="dxa"/>
            <w:tcBorders>
              <w:top w:val="single" w:sz="4" w:space="0" w:color="7F7F7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B (LC)</w:t>
            </w:r>
          </w:p>
        </w:tc>
      </w:tr>
      <w:tr w:rsidR="006002D3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P28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Y53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R30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N31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S62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Y57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F63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Y34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N66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A121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R102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Y68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D122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, Y123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Q75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D26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, R125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T76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‡†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Y123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, K124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Y101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D77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K124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K78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‡†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F19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, A121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Y33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, N52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*, Y101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E84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S95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D85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R99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*, D104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R86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N59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S95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S87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†‡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Y35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, N59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, R99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S95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†‡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Q88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†‡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N52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*, N59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P89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N52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G90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T58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L128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Y53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A129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Y53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*, L58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 xml:space="preserve">* 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P130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T56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K131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‡†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M105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,D108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E59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N99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‡†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, D100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A132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Q66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R102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Y49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I134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Y56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E136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R113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, Y123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en-US"/>
              </w:rPr>
              <w:t>‡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</w:tbl>
    <w:p w:rsidR="006002D3" w:rsidRDefault="006002D3">
      <w:pPr>
        <w:widowControl/>
        <w:spacing w:before="60"/>
        <w:rPr>
          <w:rFonts w:ascii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Residues interactions are marked with </w:t>
      </w:r>
      <w:r>
        <w:rPr>
          <w:rFonts w:ascii="Times New Roman" w:hAnsi="Times New Roman" w:cs="Times New Roman"/>
          <w:kern w:val="0"/>
          <w:sz w:val="20"/>
          <w:szCs w:val="20"/>
          <w:vertAlign w:val="superscript"/>
          <w:lang w:eastAsia="en-US"/>
        </w:rPr>
        <w:t>†</w:t>
      </w:r>
      <w:r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 for backbone, </w:t>
      </w:r>
      <w:r>
        <w:rPr>
          <w:rFonts w:ascii="Times New Roman" w:hAnsi="Times New Roman" w:cs="Times New Roman"/>
          <w:kern w:val="0"/>
          <w:sz w:val="20"/>
          <w:szCs w:val="20"/>
          <w:vertAlign w:val="superscript"/>
          <w:lang w:eastAsia="en-US"/>
        </w:rPr>
        <w:t>‡</w:t>
      </w:r>
      <w:r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 for side chain, and * through a water</w:t>
      </w:r>
      <w:r>
        <w:rPr>
          <w:rFonts w:ascii="Times New Roman" w:hAnsi="Times New Roman" w:cs="Times New Roman"/>
          <w:i/>
          <w:iCs/>
          <w:kern w:val="0"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molecule (HC: heavy chain, LC: light chain).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  <w:vertAlign w:val="superscript"/>
          <w:lang w:eastAsia="en-US"/>
        </w:rPr>
        <w:t>b</w:t>
      </w:r>
      <w:r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 PD-1 residues highlighted in blue engaged in interactions with the three ligands (PD-L1 and the two blockers), and PD-1 residues highlighted in green engaged with at least two ligands (A = Alanine; D = Aspartic acid; E = Glutamic acid; F = Phenylalanine; G = Glycine; I = Isoleucine; K = Lysine; L = Leucine; M = Methionine; N = Asparagine; P = Proline; Q = Glutamine; R = Arginine; S = Serine; T = Threonine; Y = Tyrosine).</w:t>
      </w:r>
    </w:p>
    <w:p w:rsidR="006002D3" w:rsidRDefault="006002D3">
      <w:pPr>
        <w:widowControl/>
        <w:spacing w:before="60"/>
        <w:rPr>
          <w:rFonts w:ascii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PDB = protein data bank; </w:t>
      </w:r>
      <w:bookmarkStart w:id="1" w:name="_GoBack"/>
      <w:bookmarkEnd w:id="1"/>
      <w:r>
        <w:rPr>
          <w:rFonts w:ascii="Times New Roman" w:hAnsi="Times New Roman" w:cs="Times New Roman"/>
          <w:kern w:val="0"/>
          <w:sz w:val="20"/>
          <w:szCs w:val="20"/>
          <w:lang w:eastAsia="en-US"/>
        </w:rPr>
        <w:t>PD-1 = programmed cell death receptor-1; PD-L1 = programmed death ligand 1</w:t>
      </w:r>
    </w:p>
    <w:p w:rsidR="00255533" w:rsidRDefault="00255533">
      <w:pPr>
        <w:shd w:val="clear" w:color="auto" w:fill="FFFFFF"/>
        <w:jc w:val="center"/>
        <w:rPr>
          <w:rFonts w:ascii="Times New Roman" w:eastAsia="Times New Roman" w:hAnsi="Times New Roman" w:cstheme="minorBidi"/>
          <w:kern w:val="24"/>
          <w:sz w:val="24"/>
          <w:szCs w:val="24"/>
        </w:rPr>
      </w:pPr>
    </w:p>
    <w:p w:rsidR="006002D3" w:rsidRDefault="006002D3">
      <w:pPr>
        <w:widowControl/>
        <w:spacing w:after="240"/>
        <w:rPr>
          <w:rFonts w:ascii="Times New Roman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  <w:lang w:eastAsia="en-US"/>
        </w:rPr>
        <w:t xml:space="preserve">Table S2. </w:t>
      </w:r>
      <w:r>
        <w:rPr>
          <w:rFonts w:ascii="Times New Roman" w:hAnsi="Times New Roman" w:cs="Times New Roman"/>
          <w:kern w:val="0"/>
          <w:sz w:val="22"/>
          <w:szCs w:val="22"/>
          <w:lang w:eastAsia="en-US"/>
        </w:rPr>
        <w:t xml:space="preserve">Summary of key hydrophobic van der Waals interactions from the surface of contact of PD-1 with the natural ligand PD-L1 and the mAb blockers pembrolizumab and nivolumab. </w:t>
      </w:r>
      <w:r>
        <w:rPr>
          <w:rFonts w:ascii="Times New Roman" w:hAnsi="Times New Roman" w:cs="Times New Roman"/>
          <w:i/>
          <w:iCs/>
          <w:kern w:val="0"/>
          <w:sz w:val="22"/>
          <w:szCs w:val="22"/>
          <w:vertAlign w:val="superscript"/>
          <w:lang w:eastAsia="en-US"/>
        </w:rPr>
        <w:t>a,b</w:t>
      </w:r>
      <w:r>
        <w:rPr>
          <w:rFonts w:ascii="Times New Roman" w:hAnsi="Times New Roman" w:cs="Times New Roman"/>
          <w:kern w:val="0"/>
          <w:sz w:val="22"/>
          <w:szCs w:val="22"/>
          <w:lang w:eastAsia="en-US"/>
        </w:rPr>
        <w:t xml:space="preserve"> HC: heavy chain; LC: light chain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7"/>
        <w:gridCol w:w="1778"/>
        <w:gridCol w:w="2644"/>
        <w:gridCol w:w="1227"/>
        <w:gridCol w:w="2060"/>
        <w:gridCol w:w="1223"/>
      </w:tblGrid>
      <w:tr w:rsidR="006002D3">
        <w:trPr>
          <w:cantSplit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PD1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PD-L1 </w:t>
            </w:r>
          </w:p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[PDB: 4zqk]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Pembrolizumab [PDB: 5ggs]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Nivolumab [PDB: 5ggr]</w:t>
            </w:r>
          </w:p>
        </w:tc>
      </w:tr>
      <w:tr w:rsidR="006002D3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02D3" w:rsidRDefault="006002D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02D3" w:rsidRDefault="006002D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C (HC)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D (LC)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A (HC)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B (LC)</w:t>
            </w:r>
          </w:p>
        </w:tc>
      </w:tr>
      <w:tr w:rsidR="006002D3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S27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W52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P28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W52, Y53, N99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D29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N31, G33, Y53, N99, D100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R30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 xml:space="preserve">N31, Y53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E61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T28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S62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F63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V64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F103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N66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A121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R102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Y68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D122, Y123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R102, Y101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N74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R125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Q75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 xml:space="preserve">V23, D26, K124, R125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T76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Y123, K124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Y101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K78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F19, A121, D122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Y33, Y101, R102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P83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F103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Y34, Y36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D85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R99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R86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R96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S87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Y35, N59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Q88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Y33, N59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P89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Y33, G50, I51, N52, G57, T58, N59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G90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G57, T58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G124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Y123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I126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M115, Y123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L128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I54, M115, S117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Y34, Y53, L54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Y102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A129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D100, Y102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T56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P130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 xml:space="preserve">D100, D101, Y102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 xml:space="preserve">Y49, A55, T56 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K131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Q66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M105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Y53, E59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N99, D100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 xml:space="preserve">L46, Y49 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A132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Y56, Q66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R102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Y49, T56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I134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E58, R113, Y123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R102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002D3"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E136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R113, Y123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D3" w:rsidRDefault="006002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-</w:t>
            </w:r>
          </w:p>
        </w:tc>
      </w:tr>
    </w:tbl>
    <w:p w:rsidR="006002D3" w:rsidRDefault="006002D3">
      <w:pPr>
        <w:widowControl/>
        <w:spacing w:before="60"/>
        <w:rPr>
          <w:rFonts w:ascii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  <w:vertAlign w:val="superscript"/>
          <w:lang w:eastAsia="en-US"/>
        </w:rPr>
        <w:t>a</w:t>
      </w:r>
      <w:r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 Residues interactions are marked with </w:t>
      </w:r>
      <w:r>
        <w:rPr>
          <w:rFonts w:ascii="Times New Roman" w:hAnsi="Times New Roman" w:cs="Times New Roman"/>
          <w:kern w:val="0"/>
          <w:sz w:val="20"/>
          <w:szCs w:val="20"/>
          <w:vertAlign w:val="superscript"/>
          <w:lang w:eastAsia="en-US"/>
        </w:rPr>
        <w:t>†</w:t>
      </w:r>
      <w:r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 for backbone, </w:t>
      </w:r>
      <w:r>
        <w:rPr>
          <w:rFonts w:ascii="Times New Roman" w:hAnsi="Times New Roman" w:cs="Times New Roman"/>
          <w:kern w:val="0"/>
          <w:sz w:val="20"/>
          <w:szCs w:val="20"/>
          <w:vertAlign w:val="superscript"/>
          <w:lang w:eastAsia="en-US"/>
        </w:rPr>
        <w:t>‡</w:t>
      </w:r>
      <w:r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 for side chain, and * through a water</w:t>
      </w:r>
      <w:r>
        <w:rPr>
          <w:rFonts w:ascii="Times New Roman" w:hAnsi="Times New Roman" w:cs="Times New Roman"/>
          <w:i/>
          <w:iCs/>
          <w:kern w:val="0"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molecule.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  <w:vertAlign w:val="superscript"/>
          <w:lang w:eastAsia="en-US"/>
        </w:rPr>
        <w:t>b</w:t>
      </w:r>
      <w:r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 Residues highlighted in blue are characterized by making interactions between PD-1 with PD-L1 and the two blockers; residues highlighted in green with at least two ligands  (A = Alanine; D = Aspartic acid; E = Glutamic acid; F = Phenylalanine; G = Glycine; I = Isoleucine; K = Lysine; L = Leucine; M = Methionine; N = Asparagine; P = Proline ; Q = Glutamine; R = Arginine; S = Serine; T = Threonine; V = Valine; W = Tryptophan; Y = Tyrosine). PDB= protein data bank; PD1 = programmed cell death receptor-1; PD-L1 = programmed death ligand 1; </w:t>
      </w:r>
    </w:p>
    <w:p w:rsidR="00E5206F" w:rsidRDefault="00E5206F">
      <w:pPr>
        <w:widowControl/>
        <w:spacing w:before="60"/>
        <w:rPr>
          <w:rFonts w:ascii="Times New Roman" w:hAnsi="Times New Roman" w:cs="Times New Roman"/>
          <w:kern w:val="0"/>
          <w:sz w:val="20"/>
          <w:szCs w:val="20"/>
          <w:lang w:eastAsia="en-US"/>
        </w:rPr>
      </w:pPr>
    </w:p>
    <w:sectPr w:rsidR="00E5206F" w:rsidSect="006002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2C" w:rsidRDefault="00D27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D2752C" w:rsidRDefault="00D27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id="2">
    <w:p w:rsidR="006002D3" w:rsidRDefault="006002D3">
      <w:pPr>
        <w:pStyle w:val="FootnoteText"/>
        <w:widowControl/>
        <w:rPr>
          <w:rFonts w:cstheme="minorBidi"/>
        </w:rPr>
      </w:pPr>
      <w:r>
        <w:rPr>
          <w:rFonts w:ascii="Times New Roman" w:hAnsi="Times New Roman" w:cs="Times New Roman"/>
        </w:rPr>
        <w:t>[SI-</w:t>
      </w:r>
      <w:r>
        <w:rPr>
          <w:rStyle w:val="EndnoteReference"/>
          <w:vertAlign w:val="baseline"/>
        </w:rPr>
        <w:endnoteRef/>
      </w:r>
      <w:r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  <w:color w:val="000000"/>
        </w:rPr>
        <w:t xml:space="preserve">Wallace AC, Laskowski RA, Thornton JM. LIGPLOT: A program to generate schematic diagrams of protein-ligand interactions. </w:t>
      </w:r>
      <w:r>
        <w:rPr>
          <w:rFonts w:ascii="Times New Roman" w:hAnsi="Times New Roman" w:cs="Times New Roman"/>
          <w:i/>
          <w:iCs/>
          <w:color w:val="000000"/>
        </w:rPr>
        <w:t xml:space="preserve">Protein Eng </w:t>
      </w:r>
      <w:r>
        <w:rPr>
          <w:rFonts w:ascii="Times New Roman" w:hAnsi="Times New Roman" w:cs="Times New Roman"/>
          <w:color w:val="000000"/>
        </w:rPr>
        <w:t xml:space="preserve">1995; 8: 127-34. </w:t>
      </w:r>
    </w:p>
  </w:endnote>
  <w:endnote w:id="3">
    <w:p w:rsidR="006002D3" w:rsidRDefault="006002D3">
      <w:pPr>
        <w:pStyle w:val="FootnoteText"/>
        <w:widowControl/>
        <w:rPr>
          <w:rFonts w:cstheme="minorBidi"/>
        </w:rPr>
      </w:pPr>
      <w:r>
        <w:rPr>
          <w:rFonts w:ascii="Times New Roman" w:hAnsi="Times New Roman" w:cs="Times New Roman"/>
        </w:rPr>
        <w:t>[SI-</w:t>
      </w:r>
      <w:r>
        <w:rPr>
          <w:rStyle w:val="EndnoteReference"/>
          <w:vertAlign w:val="baseline"/>
        </w:rPr>
        <w:endnoteRef/>
      </w:r>
      <w:r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  <w:color w:val="000000"/>
        </w:rPr>
        <w:t>The PyMOL Molecular Graphics System, Version 2.0 Schrödinger, LLC.</w:t>
      </w:r>
    </w:p>
  </w:endnote>
  <w:endnote w:id="4">
    <w:p w:rsidR="006002D3" w:rsidRDefault="006002D3">
      <w:pPr>
        <w:autoSpaceDE w:val="0"/>
        <w:autoSpaceDN w:val="0"/>
        <w:adjustRightInd w:val="0"/>
        <w:rPr>
          <w:rFonts w:cstheme="minorBidi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[SI-</w:t>
      </w:r>
      <w:r>
        <w:rPr>
          <w:rStyle w:val="EndnoteReference"/>
          <w:sz w:val="20"/>
          <w:szCs w:val="20"/>
          <w:vertAlign w:val="baseline"/>
        </w:rPr>
        <w:endnoteRef/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] Horovitz A, Serrano L, Avron B, et al. </w:t>
      </w:r>
      <w:r>
        <w:rPr>
          <w:rFonts w:ascii="Times New Roman" w:hAnsi="Times New Roman" w:cs="Times New Roman"/>
          <w:sz w:val="20"/>
          <w:szCs w:val="20"/>
        </w:rPr>
        <w:t xml:space="preserve">Strength and cooperativity of contributions of surface salt bridges to protein stability.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J Mol Biol</w:t>
      </w:r>
      <w:r>
        <w:rPr>
          <w:rFonts w:ascii="Times New Roman" w:hAnsi="Times New Roman" w:cs="Times New Roman"/>
          <w:sz w:val="20"/>
          <w:szCs w:val="20"/>
        </w:rPr>
        <w:t xml:space="preserve"> 1990; </w:t>
      </w:r>
      <w:r>
        <w:rPr>
          <w:rFonts w:ascii="Times New Roman" w:hAnsi="Times New Roman" w:cs="Times New Roman"/>
          <w:i/>
          <w:iCs/>
          <w:sz w:val="20"/>
          <w:szCs w:val="20"/>
        </w:rPr>
        <w:t>216</w:t>
      </w:r>
      <w:r>
        <w:rPr>
          <w:rFonts w:ascii="Times New Roman" w:hAnsi="Times New Roman" w:cs="Times New Roman"/>
          <w:sz w:val="20"/>
          <w:szCs w:val="20"/>
        </w:rPr>
        <w:t>: 1031-44.</w:t>
      </w:r>
    </w:p>
  </w:endnote>
  <w:endnote w:id="5">
    <w:p w:rsidR="006002D3" w:rsidRDefault="006002D3">
      <w:pPr>
        <w:suppressAutoHyphens/>
        <w:autoSpaceDE w:val="0"/>
        <w:autoSpaceDN w:val="0"/>
        <w:adjustRightInd w:val="0"/>
        <w:rPr>
          <w:rFonts w:cstheme="minorBidi"/>
        </w:rPr>
      </w:pPr>
      <w:r>
        <w:rPr>
          <w:rFonts w:ascii="Times New Roman" w:hAnsi="Times New Roman" w:cs="Times New Roman"/>
          <w:sz w:val="20"/>
          <w:szCs w:val="20"/>
        </w:rPr>
        <w:t>[SI-</w:t>
      </w:r>
      <w:r>
        <w:rPr>
          <w:rStyle w:val="EndnoteReference"/>
          <w:sz w:val="20"/>
          <w:szCs w:val="20"/>
          <w:vertAlign w:val="baseline"/>
        </w:rPr>
        <w:endnoteRef/>
      </w:r>
      <w:r>
        <w:rPr>
          <w:rFonts w:ascii="Times New Roman" w:hAnsi="Times New Roman" w:cs="Times New Roman"/>
          <w:sz w:val="20"/>
          <w:szCs w:val="20"/>
        </w:rPr>
        <w:t>] Xu D, Tsai CJ, Nossinov R. Hydrogen bonds and salt bridges across protein-protein interfaces.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Protein Eng.</w:t>
      </w:r>
      <w:r>
        <w:rPr>
          <w:rFonts w:ascii="Times New Roman" w:hAnsi="Times New Roman" w:cs="Times New Roman"/>
          <w:sz w:val="20"/>
          <w:szCs w:val="20"/>
        </w:rPr>
        <w:t xml:space="preserve"> 1997; 10: 999-1012.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D3" w:rsidRDefault="006002D3">
    <w:pPr>
      <w:pStyle w:val="Footer"/>
      <w:jc w:val="right"/>
      <w:rPr>
        <w:rFonts w:ascii="Times New Roman" w:hAnsi="Times New Roman" w:cs="Times New Roman"/>
      </w:rPr>
    </w:pPr>
    <w:r>
      <w:t>S</w:t>
    </w:r>
    <w:fldSimple w:instr=" PAGE   \* MERGEFORMAT ">
      <w:r w:rsidR="00E5206F">
        <w:rPr>
          <w:noProof/>
        </w:rPr>
        <w:t>3</w:t>
      </w:r>
    </w:fldSimple>
  </w:p>
  <w:p w:rsidR="006002D3" w:rsidRDefault="006002D3">
    <w:pPr>
      <w:pStyle w:val="Footer"/>
      <w:tabs>
        <w:tab w:val="left" w:pos="1170"/>
      </w:tabs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2C" w:rsidRDefault="00D27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D2752C" w:rsidRDefault="00D27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D7D"/>
    <w:multiLevelType w:val="hybridMultilevel"/>
    <w:tmpl w:val="11B2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2D3"/>
    <w:rsid w:val="00026AA3"/>
    <w:rsid w:val="00040F46"/>
    <w:rsid w:val="00207D36"/>
    <w:rsid w:val="00255533"/>
    <w:rsid w:val="004B6881"/>
    <w:rsid w:val="006002D3"/>
    <w:rsid w:val="006B5F73"/>
    <w:rsid w:val="006C1D1A"/>
    <w:rsid w:val="0073223C"/>
    <w:rsid w:val="00793DA9"/>
    <w:rsid w:val="007B4312"/>
    <w:rsid w:val="008764C8"/>
    <w:rsid w:val="008D71F0"/>
    <w:rsid w:val="008E2930"/>
    <w:rsid w:val="009C5A10"/>
    <w:rsid w:val="00AC5096"/>
    <w:rsid w:val="00B02DFA"/>
    <w:rsid w:val="00D2752C"/>
    <w:rsid w:val="00E10383"/>
    <w:rsid w:val="00E5206F"/>
    <w:rsid w:val="00E97CAA"/>
    <w:rsid w:val="00FC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83"/>
    <w:pPr>
      <w:widowControl w:val="0"/>
      <w:jc w:val="both"/>
    </w:pPr>
    <w:rPr>
      <w:rFonts w:eastAsia="SimSun"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P-PaperTitle">
    <w:name w:val="SAP-Paper Title"/>
    <w:uiPriority w:val="99"/>
    <w:rsid w:val="00E10383"/>
    <w:pPr>
      <w:spacing w:before="440" w:after="440" w:line="540" w:lineRule="exact"/>
      <w:jc w:val="center"/>
    </w:pPr>
    <w:rPr>
      <w:rFonts w:ascii="SimSun" w:eastAsia="SimSun"/>
      <w:b/>
      <w:bCs/>
      <w:noProof/>
      <w:sz w:val="40"/>
      <w:szCs w:val="40"/>
      <w:lang w:val="en-US" w:eastAsia="en-US"/>
    </w:rPr>
  </w:style>
  <w:style w:type="paragraph" w:styleId="Header">
    <w:name w:val="header"/>
    <w:basedOn w:val="Normal"/>
    <w:link w:val="HeaderChar"/>
    <w:uiPriority w:val="99"/>
    <w:rsid w:val="00E10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383"/>
    <w:rPr>
      <w:rFonts w:ascii="Calibri" w:eastAsia="SimSun" w:hAnsi="Calibri" w:cs="Calibri"/>
      <w:kern w:val="2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E10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383"/>
    <w:rPr>
      <w:rFonts w:ascii="Calibri" w:eastAsia="SimSun" w:hAnsi="Calibri" w:cs="Calibri"/>
      <w:kern w:val="2"/>
      <w:sz w:val="21"/>
      <w:szCs w:val="21"/>
      <w:lang w:eastAsia="zh-CN"/>
    </w:rPr>
  </w:style>
  <w:style w:type="paragraph" w:styleId="EndnoteText">
    <w:name w:val="endnote text"/>
    <w:basedOn w:val="Normal"/>
    <w:link w:val="EndnoteTextChar"/>
    <w:uiPriority w:val="99"/>
    <w:rsid w:val="00E103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10383"/>
    <w:rPr>
      <w:rFonts w:ascii="Calibri" w:eastAsia="SimSun" w:hAnsi="Calibri" w:cs="Calibri"/>
      <w:kern w:val="2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rsid w:val="00E10383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103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0383"/>
    <w:rPr>
      <w:rFonts w:ascii="Calibri" w:eastAsia="SimSun" w:hAnsi="Calibri" w:cs="Calibri"/>
      <w:kern w:val="2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E10383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E10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0383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1003</Words>
  <Characters>5723</Characters>
  <Application>Microsoft Office Word</Application>
  <DocSecurity>0</DocSecurity>
  <Lines>47</Lines>
  <Paragraphs>13</Paragraphs>
  <ScaleCrop>false</ScaleCrop>
  <Company>Thomson Digital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Roche</dc:creator>
  <cp:keywords/>
  <dc:description/>
  <cp:lastModifiedBy>Sachin Negi</cp:lastModifiedBy>
  <cp:revision>48</cp:revision>
  <cp:lastPrinted>2018-11-27T14:28:00Z</cp:lastPrinted>
  <dcterms:created xsi:type="dcterms:W3CDTF">2018-11-28T00:00:00Z</dcterms:created>
  <dcterms:modified xsi:type="dcterms:W3CDTF">2018-12-20T10:04:00Z</dcterms:modified>
</cp:coreProperties>
</file>