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1D6" w:rsidRDefault="00F801D6">
      <w:pPr>
        <w:spacing w:line="480" w:lineRule="auto"/>
        <w:rPr>
          <w:rFonts w:ascii="Times New Roman" w:hAnsi="Times New Roman" w:cs="Times New Roman"/>
          <w:b/>
          <w:bCs/>
          <w:sz w:val="32"/>
          <w:szCs w:val="32"/>
        </w:rPr>
      </w:pPr>
      <w:r>
        <w:rPr>
          <w:rFonts w:ascii="Times New Roman" w:hAnsi="Times New Roman" w:cs="Times New Roman"/>
          <w:b/>
          <w:bCs/>
          <w:sz w:val="32"/>
          <w:szCs w:val="32"/>
        </w:rPr>
        <w:t>Search Strategy</w:t>
      </w:r>
    </w:p>
    <w:p w:rsidR="00F801D6" w:rsidRDefault="00F801D6">
      <w:pPr>
        <w:spacing w:line="480" w:lineRule="auto"/>
        <w:rPr>
          <w:rFonts w:ascii="Times New Roman" w:hAnsi="Times New Roman" w:cs="Times New Roman"/>
          <w:sz w:val="24"/>
          <w:szCs w:val="24"/>
        </w:rPr>
      </w:pPr>
      <w:r>
        <w:rPr>
          <w:rFonts w:ascii="Times New Roman" w:hAnsi="Times New Roman" w:cs="Times New Roman"/>
          <w:b/>
          <w:bCs/>
          <w:sz w:val="24"/>
          <w:szCs w:val="24"/>
        </w:rPr>
        <w:t>PubMed, Web of Science, Embase, OVID</w:t>
      </w:r>
      <w:r>
        <w:rPr>
          <w:rFonts w:ascii="Times New Roman" w:hAnsi="Times New Roman" w:cs="Times New Roman"/>
          <w:sz w:val="24"/>
          <w:szCs w:val="24"/>
        </w:rPr>
        <w:t xml:space="preserve"> (searched on December 24, 2018)</w:t>
      </w:r>
    </w:p>
    <w:p w:rsidR="00F801D6" w:rsidRDefault="00F801D6">
      <w:pPr>
        <w:spacing w:line="480" w:lineRule="auto"/>
        <w:rPr>
          <w:rFonts w:ascii="Times New Roman" w:hAnsi="Times New Roman" w:cs="Times New Roman"/>
          <w:sz w:val="24"/>
          <w:szCs w:val="24"/>
        </w:rPr>
      </w:pPr>
      <w:r>
        <w:rPr>
          <w:rFonts w:ascii="Times New Roman" w:hAnsi="Times New Roman" w:cs="Times New Roman"/>
          <w:sz w:val="24"/>
          <w:szCs w:val="24"/>
        </w:rPr>
        <w:t>Year (from inception to 2018)</w:t>
      </w:r>
    </w:p>
    <w:p w:rsidR="00F801D6" w:rsidRDefault="00F801D6">
      <w:pPr>
        <w:spacing w:line="480" w:lineRule="auto"/>
        <w:rPr>
          <w:rFonts w:ascii="Times New Roman" w:hAnsi="Times New Roman" w:cs="Times New Roman"/>
          <w:sz w:val="24"/>
          <w:szCs w:val="24"/>
        </w:rPr>
      </w:pPr>
      <w:r>
        <w:rPr>
          <w:rFonts w:ascii="Times New Roman" w:hAnsi="Times New Roman" w:cs="Times New Roman"/>
          <w:sz w:val="24"/>
          <w:szCs w:val="24"/>
        </w:rPr>
        <w:t>Step 1: “Gastric cancer”/ all subheading [MeSH] OR “gastric carcinoma”/all subheadings [all fields] OR “stomach cancer”/ all subheadings [all fields] OR “gastric tumor” /all subheadings [all fields] OR “GC”/ all subheadings [all fields]</w:t>
      </w:r>
    </w:p>
    <w:p w:rsidR="00F801D6" w:rsidRDefault="00F801D6">
      <w:pPr>
        <w:spacing w:line="480" w:lineRule="auto"/>
        <w:rPr>
          <w:rFonts w:ascii="Times New Roman" w:hAnsi="Times New Roman" w:cs="Times New Roman"/>
          <w:sz w:val="24"/>
          <w:szCs w:val="24"/>
        </w:rPr>
      </w:pPr>
      <w:r>
        <w:rPr>
          <w:rFonts w:ascii="Times New Roman" w:hAnsi="Times New Roman" w:cs="Times New Roman"/>
          <w:sz w:val="24"/>
          <w:szCs w:val="24"/>
        </w:rPr>
        <w:t>Step 2: “endoscopy ultrasonography”/all subheadings [all fields] OR “miniprobe endosopy ultrasonography”/all subheadings [all fields] OR “EUS” /all subheadings [all fields] AND results from Step 1</w:t>
      </w:r>
    </w:p>
    <w:p w:rsidR="00F801D6" w:rsidRDefault="00F801D6">
      <w:pPr>
        <w:spacing w:line="480" w:lineRule="auto"/>
        <w:rPr>
          <w:rFonts w:ascii="Times New Roman" w:hAnsi="Times New Roman" w:cs="Times New Roman"/>
          <w:sz w:val="24"/>
          <w:szCs w:val="24"/>
        </w:rPr>
      </w:pPr>
      <w:r>
        <w:rPr>
          <w:rFonts w:ascii="Times New Roman" w:hAnsi="Times New Roman" w:cs="Times New Roman"/>
          <w:sz w:val="24"/>
          <w:szCs w:val="24"/>
        </w:rPr>
        <w:t>Step 3: ‘‘diagnostic test”/all subheadings [ail fields] OR "</w:t>
      </w:r>
      <w:r>
        <w:t xml:space="preserve"> </w:t>
      </w:r>
      <w:r>
        <w:rPr>
          <w:rFonts w:ascii="Times New Roman" w:hAnsi="Times New Roman" w:cs="Times New Roman"/>
          <w:sz w:val="24"/>
          <w:szCs w:val="24"/>
        </w:rPr>
        <w:t>diagnostic ability”/ all subheadings [all fields] OR OR "</w:t>
      </w:r>
      <w:r>
        <w:t xml:space="preserve"> </w:t>
      </w:r>
      <w:r>
        <w:rPr>
          <w:rFonts w:ascii="Times New Roman" w:hAnsi="Times New Roman" w:cs="Times New Roman"/>
          <w:sz w:val="24"/>
          <w:szCs w:val="24"/>
        </w:rPr>
        <w:t>sensitivity”/ all subheadings [all fields] OR "</w:t>
      </w:r>
      <w:r>
        <w:t xml:space="preserve"> </w:t>
      </w:r>
      <w:r>
        <w:rPr>
          <w:rFonts w:ascii="Times New Roman" w:hAnsi="Times New Roman" w:cs="Times New Roman"/>
          <w:sz w:val="24"/>
          <w:szCs w:val="24"/>
        </w:rPr>
        <w:t>specificity”/ all subheadings [all fields] OR "</w:t>
      </w:r>
      <w:r>
        <w:t xml:space="preserve"> </w:t>
      </w:r>
      <w:r>
        <w:rPr>
          <w:rFonts w:ascii="Times New Roman" w:hAnsi="Times New Roman" w:cs="Times New Roman"/>
          <w:sz w:val="24"/>
          <w:szCs w:val="24"/>
        </w:rPr>
        <w:t>ROC”/ all subheadings [all fields] OR "</w:t>
      </w:r>
      <w:r>
        <w:t xml:space="preserve"> </w:t>
      </w:r>
      <w:r>
        <w:rPr>
          <w:rFonts w:ascii="Times New Roman" w:hAnsi="Times New Roman" w:cs="Times New Roman"/>
          <w:sz w:val="24"/>
          <w:szCs w:val="24"/>
        </w:rPr>
        <w:t>receiver operating characteristic curve”/ all subheadings [all fields] AND results from Step 2</w:t>
      </w:r>
    </w:p>
    <w:p w:rsidR="00F801D6" w:rsidRDefault="00F801D6">
      <w:pPr>
        <w:spacing w:line="480" w:lineRule="auto"/>
        <w:rPr>
          <w:rFonts w:ascii="Times New Roman" w:hAnsi="Times New Roman" w:cs="Times New Roman"/>
          <w:sz w:val="24"/>
          <w:szCs w:val="24"/>
        </w:rPr>
      </w:pPr>
      <w:r>
        <w:rPr>
          <w:rFonts w:ascii="Times New Roman" w:hAnsi="Times New Roman" w:cs="Times New Roman"/>
          <w:b/>
          <w:bCs/>
          <w:sz w:val="24"/>
          <w:szCs w:val="24"/>
        </w:rPr>
        <w:t>Google Scholar</w:t>
      </w:r>
      <w:r>
        <w:rPr>
          <w:rFonts w:ascii="Times New Roman" w:hAnsi="Times New Roman" w:cs="Times New Roman"/>
          <w:sz w:val="24"/>
          <w:szCs w:val="24"/>
        </w:rPr>
        <w:t xml:space="preserve"> (searched on December 24, 2018)</w:t>
      </w:r>
    </w:p>
    <w:p w:rsidR="00F801D6" w:rsidRDefault="00F801D6">
      <w:pPr>
        <w:spacing w:line="480" w:lineRule="auto"/>
        <w:rPr>
          <w:rFonts w:ascii="Times New Roman" w:hAnsi="Times New Roman" w:cs="Times New Roman"/>
          <w:sz w:val="24"/>
          <w:szCs w:val="24"/>
        </w:rPr>
      </w:pPr>
      <w:r>
        <w:rPr>
          <w:rFonts w:ascii="Times New Roman" w:hAnsi="Times New Roman" w:cs="Times New Roman"/>
          <w:sz w:val="24"/>
          <w:szCs w:val="24"/>
        </w:rPr>
        <w:t xml:space="preserve">#1: </w:t>
      </w:r>
      <w:bookmarkStart w:id="0" w:name="_Hlk533407134"/>
      <w:r>
        <w:rPr>
          <w:rFonts w:ascii="Times New Roman" w:hAnsi="Times New Roman" w:cs="Times New Roman"/>
          <w:sz w:val="24"/>
          <w:szCs w:val="24"/>
        </w:rPr>
        <w:t>gastric cancer AND (endoscopy ultrasonography</w:t>
      </w:r>
      <w:bookmarkEnd w:id="0"/>
      <w:r>
        <w:rPr>
          <w:rFonts w:ascii="Times New Roman" w:hAnsi="Times New Roman" w:cs="Times New Roman"/>
          <w:sz w:val="24"/>
          <w:szCs w:val="24"/>
        </w:rPr>
        <w:t xml:space="preserve"> OR EUS)</w:t>
      </w:r>
    </w:p>
    <w:p w:rsidR="00F801D6" w:rsidRDefault="00F801D6">
      <w:pPr>
        <w:spacing w:line="480" w:lineRule="auto"/>
        <w:rPr>
          <w:rFonts w:ascii="Times New Roman" w:hAnsi="Times New Roman" w:cs="Times New Roman"/>
          <w:sz w:val="24"/>
          <w:szCs w:val="24"/>
        </w:rPr>
      </w:pPr>
      <w:r>
        <w:rPr>
          <w:rFonts w:ascii="Times New Roman" w:hAnsi="Times New Roman" w:cs="Times New Roman"/>
          <w:sz w:val="24"/>
          <w:szCs w:val="24"/>
        </w:rPr>
        <w:t>#2: gastric carcinoma AND (endoscopy ultrasonography OR EUS)</w:t>
      </w:r>
    </w:p>
    <w:p w:rsidR="00F801D6" w:rsidRDefault="00F801D6">
      <w:pPr>
        <w:spacing w:line="480" w:lineRule="auto"/>
        <w:rPr>
          <w:rFonts w:ascii="Times New Roman" w:hAnsi="Times New Roman" w:cs="Times New Roman"/>
          <w:sz w:val="24"/>
          <w:szCs w:val="24"/>
        </w:rPr>
      </w:pPr>
      <w:r>
        <w:rPr>
          <w:rFonts w:ascii="Times New Roman" w:hAnsi="Times New Roman" w:cs="Times New Roman"/>
          <w:sz w:val="24"/>
          <w:szCs w:val="24"/>
        </w:rPr>
        <w:t>#3: stomach cancer AND (endoscopy ultrasonography OR EUS)</w:t>
      </w:r>
    </w:p>
    <w:p w:rsidR="00F801D6" w:rsidRDefault="00F801D6">
      <w:pPr>
        <w:spacing w:line="480" w:lineRule="auto"/>
        <w:rPr>
          <w:rFonts w:ascii="Times New Roman" w:hAnsi="Times New Roman" w:cs="Times New Roman"/>
          <w:sz w:val="24"/>
          <w:szCs w:val="24"/>
        </w:rPr>
      </w:pPr>
      <w:r>
        <w:rPr>
          <w:rFonts w:ascii="Times New Roman" w:hAnsi="Times New Roman" w:cs="Times New Roman"/>
          <w:sz w:val="24"/>
          <w:szCs w:val="24"/>
        </w:rPr>
        <w:t>#4: gastric tumor AND (endoscopy ultrasonography OR EUS)</w:t>
      </w:r>
    </w:p>
    <w:p w:rsidR="00F801D6" w:rsidRDefault="00F801D6">
      <w:pPr>
        <w:spacing w:line="480" w:lineRule="auto"/>
        <w:rPr>
          <w:rFonts w:ascii="Times New Roman" w:hAnsi="Times New Roman" w:cs="Times New Roman"/>
          <w:sz w:val="24"/>
          <w:szCs w:val="24"/>
        </w:rPr>
      </w:pPr>
      <w:r>
        <w:rPr>
          <w:rFonts w:ascii="Times New Roman" w:hAnsi="Times New Roman" w:cs="Times New Roman"/>
          <w:sz w:val="24"/>
          <w:szCs w:val="24"/>
        </w:rPr>
        <w:t>#5: gastric cancer AND (miniprobe endosopy ultrasonography OR EUS)</w:t>
      </w:r>
    </w:p>
    <w:p w:rsidR="00F801D6" w:rsidRDefault="00F801D6">
      <w:pPr>
        <w:spacing w:line="480" w:lineRule="auto"/>
        <w:rPr>
          <w:rFonts w:ascii="Times New Roman" w:hAnsi="Times New Roman" w:cs="Times New Roman"/>
          <w:sz w:val="24"/>
          <w:szCs w:val="24"/>
        </w:rPr>
      </w:pPr>
      <w:r>
        <w:rPr>
          <w:rFonts w:ascii="Times New Roman" w:hAnsi="Times New Roman" w:cs="Times New Roman"/>
          <w:sz w:val="24"/>
          <w:szCs w:val="24"/>
        </w:rPr>
        <w:t>#6: gastric carcinoma AND (miniprobe endosopy ultrasonography OR EUS)</w:t>
      </w:r>
    </w:p>
    <w:p w:rsidR="00F801D6" w:rsidRDefault="00F801D6">
      <w:pPr>
        <w:spacing w:line="480" w:lineRule="auto"/>
        <w:rPr>
          <w:rFonts w:ascii="Times New Roman" w:hAnsi="Times New Roman" w:cs="Times New Roman"/>
          <w:sz w:val="24"/>
          <w:szCs w:val="24"/>
        </w:rPr>
      </w:pPr>
    </w:p>
    <w:p w:rsidR="00F801D6" w:rsidRDefault="00F801D6">
      <w:pPr>
        <w:spacing w:line="480" w:lineRule="auto"/>
        <w:rPr>
          <w:rFonts w:ascii="Times New Roman" w:hAnsi="Times New Roman" w:cs="Times New Roman"/>
          <w:sz w:val="24"/>
          <w:szCs w:val="24"/>
        </w:rPr>
      </w:pPr>
      <w:r>
        <w:rPr>
          <w:rFonts w:ascii="Times New Roman" w:hAnsi="Times New Roman" w:cs="Times New Roman"/>
          <w:sz w:val="24"/>
          <w:szCs w:val="24"/>
        </w:rPr>
        <w:t>#7: stomach cancer AND (miniprobe endosopy ultrasonography OR EUS)</w:t>
      </w:r>
    </w:p>
    <w:p w:rsidR="00F801D6" w:rsidRDefault="00F801D6">
      <w:pPr>
        <w:spacing w:line="480" w:lineRule="auto"/>
        <w:rPr>
          <w:rFonts w:ascii="Times New Roman" w:hAnsi="Times New Roman" w:cs="Times New Roman"/>
          <w:sz w:val="24"/>
          <w:szCs w:val="24"/>
        </w:rPr>
      </w:pPr>
      <w:r>
        <w:rPr>
          <w:rFonts w:ascii="Times New Roman" w:hAnsi="Times New Roman" w:cs="Times New Roman"/>
          <w:sz w:val="24"/>
          <w:szCs w:val="24"/>
        </w:rPr>
        <w:t>#8: gastric tumor AND (miniprobe endosopy ultrasonography OR EUS)</w:t>
      </w:r>
    </w:p>
    <w:p w:rsidR="00F801D6" w:rsidRDefault="00F801D6">
      <w:pPr>
        <w:spacing w:line="480" w:lineRule="auto"/>
        <w:rPr>
          <w:rFonts w:ascii="Times New Roman" w:hAnsi="Times New Roman" w:cs="Times New Roman"/>
          <w:b/>
          <w:bCs/>
          <w:sz w:val="24"/>
          <w:szCs w:val="24"/>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left:0;text-align:left;margin-left:0;margin-top:8.95pt;width:454.05pt;height:388.05pt;z-index:251658240;visibility:visible;mso-position-horizontal:center;mso-position-horizontal-relative:margin">
            <v:imagedata r:id="rId6" o:title=""/>
            <w10:wrap anchorx="margin"/>
          </v:shape>
        </w:pict>
      </w:r>
      <w:r>
        <w:rPr>
          <w:rFonts w:ascii="Times New Roman" w:hAnsi="Times New Roman" w:hint="eastAsia"/>
          <w:b/>
          <w:bCs/>
          <w:sz w:val="24"/>
          <w:szCs w:val="24"/>
        </w:rPr>
        <w:t>中文检索策略</w:t>
      </w:r>
    </w:p>
    <w:p w:rsidR="00F801D6" w:rsidRDefault="00F801D6">
      <w:pPr>
        <w:spacing w:line="480" w:lineRule="auto"/>
        <w:rPr>
          <w:rFonts w:ascii="Times New Roman" w:hAnsi="Times New Roman" w:cs="Times New Roman"/>
          <w:sz w:val="24"/>
          <w:szCs w:val="24"/>
        </w:rPr>
      </w:pPr>
      <w:r>
        <w:rPr>
          <w:rFonts w:ascii="Times New Roman" w:hAnsi="Times New Roman" w:hint="eastAsia"/>
          <w:sz w:val="24"/>
          <w:szCs w:val="24"/>
        </w:rPr>
        <w:t>中国知网、万方数据库和维普数据库</w:t>
      </w:r>
    </w:p>
    <w:p w:rsidR="00F801D6" w:rsidRDefault="00F801D6">
      <w:pPr>
        <w:spacing w:line="480" w:lineRule="auto"/>
        <w:rPr>
          <w:rFonts w:ascii="Times New Roman" w:hAnsi="Times New Roman" w:cs="Times New Roman"/>
          <w:sz w:val="24"/>
          <w:szCs w:val="24"/>
        </w:rPr>
      </w:pPr>
      <w:r>
        <w:rPr>
          <w:rFonts w:ascii="Times New Roman" w:hAnsi="Times New Roman" w:hint="eastAsia"/>
          <w:sz w:val="24"/>
          <w:szCs w:val="24"/>
        </w:rPr>
        <w:t>（检索日期：</w:t>
      </w:r>
      <w:r>
        <w:rPr>
          <w:rFonts w:ascii="Times New Roman" w:hAnsi="Times New Roman" w:cs="Times New Roman"/>
          <w:sz w:val="24"/>
          <w:szCs w:val="24"/>
        </w:rPr>
        <w:t>2018</w:t>
      </w:r>
      <w:r>
        <w:rPr>
          <w:rFonts w:ascii="Times New Roman" w:hAnsi="Times New Roman" w:hint="eastAsia"/>
          <w:sz w:val="24"/>
          <w:szCs w:val="24"/>
        </w:rPr>
        <w:t>年</w:t>
      </w:r>
      <w:r>
        <w:rPr>
          <w:rFonts w:ascii="Times New Roman" w:hAnsi="Times New Roman" w:cs="Times New Roman"/>
          <w:sz w:val="24"/>
          <w:szCs w:val="24"/>
        </w:rPr>
        <w:t>12</w:t>
      </w:r>
      <w:r>
        <w:rPr>
          <w:rFonts w:ascii="Times New Roman" w:hAnsi="Times New Roman" w:hint="eastAsia"/>
          <w:sz w:val="24"/>
          <w:szCs w:val="24"/>
        </w:rPr>
        <w:t>月</w:t>
      </w:r>
      <w:r>
        <w:rPr>
          <w:rFonts w:ascii="Times New Roman" w:hAnsi="Times New Roman" w:cs="Times New Roman"/>
          <w:sz w:val="24"/>
          <w:szCs w:val="24"/>
        </w:rPr>
        <w:t>24</w:t>
      </w:r>
      <w:r>
        <w:rPr>
          <w:rFonts w:ascii="Times New Roman" w:hAnsi="Times New Roman" w:hint="eastAsia"/>
          <w:sz w:val="24"/>
          <w:szCs w:val="24"/>
        </w:rPr>
        <w:t>日）</w:t>
      </w:r>
    </w:p>
    <w:p w:rsidR="00F801D6" w:rsidRDefault="00F801D6">
      <w:pPr>
        <w:spacing w:line="480" w:lineRule="auto"/>
        <w:rPr>
          <w:rFonts w:ascii="Times New Roman" w:hAnsi="Times New Roman" w:cs="Times New Roman"/>
          <w:sz w:val="24"/>
          <w:szCs w:val="24"/>
        </w:rPr>
      </w:pPr>
      <w:r>
        <w:rPr>
          <w:rFonts w:ascii="Times New Roman" w:hAnsi="Times New Roman" w:hint="eastAsia"/>
          <w:sz w:val="24"/>
          <w:szCs w:val="24"/>
        </w:rPr>
        <w:t>年限（建库至</w:t>
      </w:r>
      <w:r>
        <w:rPr>
          <w:rFonts w:ascii="Times New Roman" w:hAnsi="Times New Roman" w:cs="Times New Roman"/>
          <w:sz w:val="24"/>
          <w:szCs w:val="24"/>
        </w:rPr>
        <w:t>2018</w:t>
      </w:r>
      <w:r>
        <w:rPr>
          <w:rFonts w:ascii="Times New Roman" w:hAnsi="Times New Roman" w:hint="eastAsia"/>
          <w:sz w:val="24"/>
          <w:szCs w:val="24"/>
        </w:rPr>
        <w:t>年）</w:t>
      </w:r>
    </w:p>
    <w:p w:rsidR="00F801D6" w:rsidRDefault="00F801D6">
      <w:pPr>
        <w:spacing w:line="48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hint="eastAsia"/>
          <w:sz w:val="24"/>
          <w:szCs w:val="24"/>
        </w:rPr>
        <w:t>：</w:t>
      </w:r>
      <w:bookmarkStart w:id="1" w:name="_Hlk533406316"/>
      <w:r>
        <w:rPr>
          <w:rFonts w:ascii="Times New Roman" w:hAnsi="Times New Roman" w:cs="Times New Roman"/>
          <w:sz w:val="24"/>
          <w:szCs w:val="24"/>
        </w:rPr>
        <w:t>“</w:t>
      </w:r>
      <w:r>
        <w:rPr>
          <w:rFonts w:ascii="Times New Roman" w:hAnsi="Times New Roman" w:hint="eastAsia"/>
          <w:sz w:val="24"/>
          <w:szCs w:val="24"/>
        </w:rPr>
        <w:t>胃癌</w:t>
      </w:r>
      <w:r>
        <w:rPr>
          <w:rFonts w:ascii="Times New Roman" w:hAnsi="Times New Roman" w:cs="Times New Roman"/>
          <w:sz w:val="24"/>
          <w:szCs w:val="24"/>
        </w:rPr>
        <w:t>”/[</w:t>
      </w:r>
      <w:r>
        <w:rPr>
          <w:rFonts w:ascii="Times New Roman" w:hAnsi="Times New Roman" w:hint="eastAsia"/>
          <w:sz w:val="24"/>
          <w:szCs w:val="24"/>
        </w:rPr>
        <w:t>主题词</w:t>
      </w:r>
      <w:r>
        <w:rPr>
          <w:rFonts w:ascii="Times New Roman" w:hAnsi="Times New Roman" w:cs="Times New Roman"/>
          <w:sz w:val="24"/>
          <w:szCs w:val="24"/>
        </w:rPr>
        <w:t>]</w:t>
      </w:r>
      <w:bookmarkEnd w:id="1"/>
      <w:r>
        <w:rPr>
          <w:rFonts w:ascii="Times New Roman" w:hAnsi="Times New Roman" w:cs="Times New Roman"/>
          <w:sz w:val="24"/>
          <w:szCs w:val="24"/>
        </w:rPr>
        <w:t xml:space="preserve">AND </w:t>
      </w:r>
      <w:bookmarkStart w:id="2" w:name="_Hlk533406564"/>
      <w:r>
        <w:rPr>
          <w:rFonts w:ascii="Times New Roman" w:hAnsi="Times New Roman" w:cs="Times New Roman"/>
          <w:sz w:val="24"/>
          <w:szCs w:val="24"/>
        </w:rPr>
        <w:t>(“</w:t>
      </w:r>
      <w:r>
        <w:rPr>
          <w:rFonts w:ascii="Times New Roman" w:hAnsi="Times New Roman" w:hint="eastAsia"/>
          <w:sz w:val="24"/>
          <w:szCs w:val="24"/>
        </w:rPr>
        <w:t>内镜超声</w:t>
      </w:r>
      <w:r>
        <w:rPr>
          <w:rFonts w:ascii="Times New Roman" w:hAnsi="Times New Roman" w:cs="Times New Roman"/>
          <w:sz w:val="24"/>
          <w:szCs w:val="24"/>
        </w:rPr>
        <w:t>” [</w:t>
      </w:r>
      <w:r>
        <w:rPr>
          <w:rFonts w:ascii="Times New Roman" w:hAnsi="Times New Roman" w:hint="eastAsia"/>
          <w:sz w:val="24"/>
          <w:szCs w:val="24"/>
        </w:rPr>
        <w:t>主题词</w:t>
      </w:r>
      <w:r>
        <w:rPr>
          <w:rFonts w:ascii="Times New Roman" w:hAnsi="Times New Roman" w:cs="Times New Roman"/>
          <w:sz w:val="24"/>
          <w:szCs w:val="24"/>
        </w:rPr>
        <w:t>]OR “</w:t>
      </w:r>
      <w:r>
        <w:rPr>
          <w:rFonts w:ascii="Times New Roman" w:hAnsi="Times New Roman" w:hint="eastAsia"/>
          <w:sz w:val="24"/>
          <w:szCs w:val="24"/>
        </w:rPr>
        <w:t>超声内镜</w:t>
      </w:r>
      <w:r>
        <w:rPr>
          <w:rFonts w:ascii="Times New Roman" w:hAnsi="Times New Roman" w:cs="Times New Roman"/>
          <w:sz w:val="24"/>
          <w:szCs w:val="24"/>
        </w:rPr>
        <w:t>”/[</w:t>
      </w:r>
      <w:r>
        <w:rPr>
          <w:rFonts w:ascii="Times New Roman" w:hAnsi="Times New Roman" w:hint="eastAsia"/>
          <w:sz w:val="24"/>
          <w:szCs w:val="24"/>
        </w:rPr>
        <w:t>主题词</w:t>
      </w:r>
      <w:r>
        <w:rPr>
          <w:rFonts w:ascii="Times New Roman" w:hAnsi="Times New Roman" w:cs="Times New Roman"/>
          <w:sz w:val="24"/>
          <w:szCs w:val="24"/>
        </w:rPr>
        <w:t>])</w:t>
      </w:r>
      <w:bookmarkEnd w:id="2"/>
    </w:p>
    <w:p w:rsidR="00F801D6" w:rsidRDefault="00F801D6">
      <w:pPr>
        <w:spacing w:line="48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hint="eastAsia"/>
          <w:sz w:val="24"/>
          <w:szCs w:val="24"/>
        </w:rPr>
        <w:t>：</w:t>
      </w:r>
      <w:bookmarkStart w:id="3" w:name="_Hlk533406464"/>
      <w:r>
        <w:rPr>
          <w:rFonts w:ascii="Times New Roman" w:hAnsi="Times New Roman" w:cs="Times New Roman"/>
          <w:sz w:val="24"/>
          <w:szCs w:val="24"/>
        </w:rPr>
        <w:t>“</w:t>
      </w:r>
      <w:r>
        <w:rPr>
          <w:rFonts w:ascii="Times New Roman" w:hAnsi="Times New Roman" w:hint="eastAsia"/>
          <w:sz w:val="24"/>
          <w:szCs w:val="24"/>
        </w:rPr>
        <w:t>胃癌</w:t>
      </w:r>
      <w:r>
        <w:rPr>
          <w:rFonts w:ascii="Times New Roman" w:hAnsi="Times New Roman" w:cs="Times New Roman"/>
          <w:sz w:val="24"/>
          <w:szCs w:val="24"/>
        </w:rPr>
        <w:t>”/[</w:t>
      </w:r>
      <w:r>
        <w:rPr>
          <w:rFonts w:ascii="Times New Roman" w:hAnsi="Times New Roman" w:hint="eastAsia"/>
          <w:sz w:val="24"/>
          <w:szCs w:val="24"/>
        </w:rPr>
        <w:t>主题词</w:t>
      </w:r>
      <w:r>
        <w:rPr>
          <w:rFonts w:ascii="Times New Roman" w:hAnsi="Times New Roman" w:cs="Times New Roman"/>
          <w:sz w:val="24"/>
          <w:szCs w:val="24"/>
        </w:rPr>
        <w:t>]AND “</w:t>
      </w:r>
      <w:r>
        <w:rPr>
          <w:rFonts w:ascii="Times New Roman" w:hAnsi="Times New Roman" w:hint="eastAsia"/>
          <w:sz w:val="24"/>
          <w:szCs w:val="24"/>
        </w:rPr>
        <w:t>入侵深度</w:t>
      </w:r>
      <w:r>
        <w:rPr>
          <w:rFonts w:ascii="Times New Roman" w:hAnsi="Times New Roman" w:cs="Times New Roman"/>
          <w:sz w:val="24"/>
          <w:szCs w:val="24"/>
        </w:rPr>
        <w:t>”/[</w:t>
      </w:r>
      <w:r>
        <w:rPr>
          <w:rFonts w:ascii="Times New Roman" w:hAnsi="Times New Roman" w:hint="eastAsia"/>
          <w:sz w:val="24"/>
          <w:szCs w:val="24"/>
        </w:rPr>
        <w:t>主题词</w:t>
      </w:r>
      <w:r>
        <w:rPr>
          <w:rFonts w:ascii="Times New Roman" w:hAnsi="Times New Roman" w:cs="Times New Roman"/>
          <w:sz w:val="24"/>
          <w:szCs w:val="24"/>
        </w:rPr>
        <w:t>]</w:t>
      </w:r>
      <w:bookmarkEnd w:id="3"/>
      <w:r>
        <w:rPr>
          <w:rFonts w:ascii="Times New Roman" w:hAnsi="Times New Roman" w:cs="Times New Roman"/>
          <w:sz w:val="24"/>
          <w:szCs w:val="24"/>
        </w:rPr>
        <w:t>AND “</w:t>
      </w:r>
      <w:r>
        <w:rPr>
          <w:rFonts w:ascii="Times New Roman" w:hAnsi="Times New Roman" w:hint="eastAsia"/>
          <w:sz w:val="24"/>
          <w:szCs w:val="24"/>
        </w:rPr>
        <w:t>内镜超声</w:t>
      </w:r>
      <w:r>
        <w:rPr>
          <w:rFonts w:ascii="Times New Roman" w:hAnsi="Times New Roman" w:cs="Times New Roman"/>
          <w:sz w:val="24"/>
          <w:szCs w:val="24"/>
        </w:rPr>
        <w:t>”</w:t>
      </w:r>
    </w:p>
    <w:p w:rsidR="00F801D6" w:rsidRDefault="00F801D6">
      <w:pPr>
        <w:spacing w:line="48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hint="eastAsia"/>
          <w:sz w:val="24"/>
          <w:szCs w:val="24"/>
        </w:rPr>
        <w:t>：</w:t>
      </w:r>
      <w:r>
        <w:rPr>
          <w:rFonts w:ascii="Times New Roman" w:hAnsi="Times New Roman" w:cs="Times New Roman"/>
          <w:sz w:val="24"/>
          <w:szCs w:val="24"/>
        </w:rPr>
        <w:t>“</w:t>
      </w:r>
      <w:r>
        <w:rPr>
          <w:rFonts w:ascii="Times New Roman" w:hAnsi="Times New Roman" w:hint="eastAsia"/>
          <w:sz w:val="24"/>
          <w:szCs w:val="24"/>
        </w:rPr>
        <w:t>胃癌浸润</w:t>
      </w:r>
      <w:r>
        <w:rPr>
          <w:rFonts w:ascii="Times New Roman" w:hAnsi="Times New Roman" w:cs="Times New Roman"/>
          <w:sz w:val="24"/>
          <w:szCs w:val="24"/>
        </w:rPr>
        <w:t>”/[</w:t>
      </w:r>
      <w:r>
        <w:rPr>
          <w:rFonts w:ascii="Times New Roman" w:hAnsi="Times New Roman" w:hint="eastAsia"/>
          <w:sz w:val="24"/>
          <w:szCs w:val="24"/>
        </w:rPr>
        <w:t>主题词</w:t>
      </w:r>
      <w:r>
        <w:rPr>
          <w:rFonts w:ascii="Times New Roman" w:hAnsi="Times New Roman" w:cs="Times New Roman"/>
          <w:sz w:val="24"/>
          <w:szCs w:val="24"/>
        </w:rPr>
        <w:t>]ABND“</w:t>
      </w:r>
      <w:r>
        <w:rPr>
          <w:rFonts w:ascii="Times New Roman" w:hAnsi="Times New Roman" w:hint="eastAsia"/>
          <w:sz w:val="24"/>
          <w:szCs w:val="24"/>
        </w:rPr>
        <w:t>超声内镜</w:t>
      </w:r>
      <w:r>
        <w:rPr>
          <w:rFonts w:ascii="Times New Roman" w:hAnsi="Times New Roman" w:cs="Times New Roman"/>
          <w:sz w:val="24"/>
          <w:szCs w:val="24"/>
        </w:rPr>
        <w:t>”/[</w:t>
      </w:r>
      <w:r>
        <w:rPr>
          <w:rFonts w:ascii="Times New Roman" w:hAnsi="Times New Roman" w:hint="eastAsia"/>
          <w:sz w:val="24"/>
          <w:szCs w:val="24"/>
        </w:rPr>
        <w:t>主题词</w:t>
      </w:r>
      <w:r>
        <w:rPr>
          <w:rFonts w:ascii="Times New Roman" w:hAnsi="Times New Roman" w:cs="Times New Roman"/>
          <w:sz w:val="24"/>
          <w:szCs w:val="24"/>
        </w:rPr>
        <w:t>]</w:t>
      </w:r>
    </w:p>
    <w:p w:rsidR="00F801D6" w:rsidRDefault="00F801D6">
      <w:pPr>
        <w:spacing w:line="48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hint="eastAsia"/>
          <w:sz w:val="24"/>
          <w:szCs w:val="24"/>
        </w:rPr>
        <w:t>：</w:t>
      </w:r>
      <w:bookmarkStart w:id="4" w:name="_Hlk533406646"/>
      <w:r>
        <w:rPr>
          <w:rFonts w:ascii="Times New Roman" w:hAnsi="Times New Roman" w:cs="Times New Roman"/>
          <w:sz w:val="24"/>
          <w:szCs w:val="24"/>
        </w:rPr>
        <w:t>“</w:t>
      </w:r>
      <w:r>
        <w:rPr>
          <w:rFonts w:ascii="Times New Roman" w:hAnsi="Times New Roman" w:hint="eastAsia"/>
          <w:sz w:val="24"/>
          <w:szCs w:val="24"/>
        </w:rPr>
        <w:t>胃癌</w:t>
      </w:r>
      <w:r>
        <w:rPr>
          <w:rFonts w:ascii="Times New Roman" w:hAnsi="Times New Roman" w:cs="Times New Roman"/>
          <w:sz w:val="24"/>
          <w:szCs w:val="24"/>
        </w:rPr>
        <w:t>”/[</w:t>
      </w:r>
      <w:r>
        <w:rPr>
          <w:rFonts w:ascii="Times New Roman" w:hAnsi="Times New Roman" w:hint="eastAsia"/>
          <w:sz w:val="24"/>
          <w:szCs w:val="24"/>
        </w:rPr>
        <w:t>主题词</w:t>
      </w:r>
      <w:r>
        <w:rPr>
          <w:rFonts w:ascii="Times New Roman" w:hAnsi="Times New Roman" w:cs="Times New Roman"/>
          <w:sz w:val="24"/>
          <w:szCs w:val="24"/>
        </w:rPr>
        <w:t>]AND “</w:t>
      </w:r>
      <w:r>
        <w:rPr>
          <w:rFonts w:ascii="Times New Roman" w:hAnsi="Times New Roman" w:hint="eastAsia"/>
          <w:sz w:val="24"/>
          <w:szCs w:val="24"/>
        </w:rPr>
        <w:t>小探头超声</w:t>
      </w:r>
      <w:r>
        <w:rPr>
          <w:rFonts w:ascii="Times New Roman" w:hAnsi="Times New Roman" w:cs="Times New Roman"/>
          <w:sz w:val="24"/>
          <w:szCs w:val="24"/>
        </w:rPr>
        <w:t>”/[</w:t>
      </w:r>
      <w:r>
        <w:rPr>
          <w:rFonts w:ascii="Times New Roman" w:hAnsi="Times New Roman" w:hint="eastAsia"/>
          <w:sz w:val="24"/>
          <w:szCs w:val="24"/>
        </w:rPr>
        <w:t>主题词</w:t>
      </w:r>
      <w:r>
        <w:rPr>
          <w:rFonts w:ascii="Times New Roman" w:hAnsi="Times New Roman" w:cs="Times New Roman"/>
          <w:sz w:val="24"/>
          <w:szCs w:val="24"/>
        </w:rPr>
        <w:t>]</w:t>
      </w:r>
      <w:bookmarkEnd w:id="4"/>
    </w:p>
    <w:p w:rsidR="00F801D6" w:rsidRDefault="00F801D6">
      <w:pPr>
        <w:spacing w:line="48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hint="eastAsia"/>
          <w:sz w:val="24"/>
          <w:szCs w:val="24"/>
        </w:rPr>
        <w:t>：</w:t>
      </w:r>
      <w:r>
        <w:rPr>
          <w:rFonts w:ascii="Times New Roman" w:hAnsi="Times New Roman" w:cs="Times New Roman"/>
          <w:sz w:val="24"/>
          <w:szCs w:val="24"/>
        </w:rPr>
        <w:t>“</w:t>
      </w:r>
      <w:r>
        <w:rPr>
          <w:rFonts w:ascii="Times New Roman" w:hAnsi="Times New Roman" w:hint="eastAsia"/>
          <w:sz w:val="24"/>
          <w:szCs w:val="24"/>
        </w:rPr>
        <w:t>胃癌</w:t>
      </w:r>
      <w:r>
        <w:rPr>
          <w:rFonts w:ascii="Times New Roman" w:hAnsi="Times New Roman" w:cs="Times New Roman"/>
          <w:sz w:val="24"/>
          <w:szCs w:val="24"/>
        </w:rPr>
        <w:t>”/[</w:t>
      </w:r>
      <w:r>
        <w:rPr>
          <w:rFonts w:ascii="Times New Roman" w:hAnsi="Times New Roman" w:hint="eastAsia"/>
          <w:sz w:val="24"/>
          <w:szCs w:val="24"/>
        </w:rPr>
        <w:t>主题词</w:t>
      </w:r>
      <w:r>
        <w:rPr>
          <w:rFonts w:ascii="Times New Roman" w:hAnsi="Times New Roman" w:cs="Times New Roman"/>
          <w:sz w:val="24"/>
          <w:szCs w:val="24"/>
        </w:rPr>
        <w:t>]AND “</w:t>
      </w:r>
      <w:r>
        <w:rPr>
          <w:rFonts w:ascii="Times New Roman" w:hAnsi="Times New Roman" w:hint="eastAsia"/>
          <w:sz w:val="24"/>
          <w:szCs w:val="24"/>
        </w:rPr>
        <w:t>超声</w:t>
      </w:r>
      <w:r>
        <w:rPr>
          <w:rFonts w:ascii="Times New Roman" w:hAnsi="Times New Roman" w:cs="Times New Roman"/>
          <w:sz w:val="24"/>
          <w:szCs w:val="24"/>
        </w:rPr>
        <w:t>”/[</w:t>
      </w:r>
      <w:r>
        <w:rPr>
          <w:rFonts w:ascii="Times New Roman" w:hAnsi="Times New Roman" w:hint="eastAsia"/>
          <w:sz w:val="24"/>
          <w:szCs w:val="24"/>
        </w:rPr>
        <w:t>主题词</w:t>
      </w:r>
      <w:r>
        <w:rPr>
          <w:rFonts w:ascii="Times New Roman" w:hAnsi="Times New Roman" w:cs="Times New Roman"/>
          <w:sz w:val="24"/>
          <w:szCs w:val="24"/>
        </w:rPr>
        <w:t>]AND“</w:t>
      </w:r>
      <w:r>
        <w:rPr>
          <w:rFonts w:ascii="Times New Roman" w:hAnsi="Times New Roman" w:hint="eastAsia"/>
          <w:sz w:val="24"/>
          <w:szCs w:val="24"/>
        </w:rPr>
        <w:t>诊断</w:t>
      </w:r>
      <w:r>
        <w:rPr>
          <w:rFonts w:ascii="Times New Roman" w:hAnsi="Times New Roman" w:cs="Times New Roman"/>
          <w:sz w:val="24"/>
          <w:szCs w:val="24"/>
        </w:rPr>
        <w:t>”/[</w:t>
      </w:r>
      <w:r>
        <w:rPr>
          <w:rFonts w:ascii="Times New Roman" w:hAnsi="Times New Roman" w:hint="eastAsia"/>
          <w:sz w:val="24"/>
          <w:szCs w:val="24"/>
        </w:rPr>
        <w:t>主题词</w:t>
      </w:r>
      <w:r>
        <w:rPr>
          <w:rFonts w:ascii="Times New Roman" w:hAnsi="Times New Roman" w:cs="Times New Roman"/>
          <w:sz w:val="24"/>
          <w:szCs w:val="24"/>
        </w:rPr>
        <w:t>]</w:t>
      </w:r>
    </w:p>
    <w:p w:rsidR="00F801D6" w:rsidRDefault="00F801D6">
      <w:pPr>
        <w:spacing w:line="480" w:lineRule="auto"/>
        <w:rPr>
          <w:rFonts w:ascii="Times New Roman" w:hAnsi="Times New Roman" w:cs="Times New Roman"/>
          <w:sz w:val="24"/>
          <w:szCs w:val="24"/>
        </w:rPr>
      </w:pPr>
      <w:r>
        <w:rPr>
          <w:rFonts w:ascii="Times New Roman" w:hAnsi="Times New Roman" w:cs="Times New Roman"/>
          <w:sz w:val="24"/>
          <w:szCs w:val="24"/>
        </w:rPr>
        <w:t>#6:  “</w:t>
      </w:r>
      <w:r>
        <w:rPr>
          <w:rFonts w:ascii="Times New Roman" w:hAnsi="Times New Roman" w:hint="eastAsia"/>
          <w:sz w:val="24"/>
          <w:szCs w:val="24"/>
        </w:rPr>
        <w:t>早期胃癌</w:t>
      </w:r>
      <w:r>
        <w:rPr>
          <w:rFonts w:ascii="Times New Roman" w:hAnsi="Times New Roman" w:cs="Times New Roman"/>
          <w:sz w:val="24"/>
          <w:szCs w:val="24"/>
        </w:rPr>
        <w:t>”/[</w:t>
      </w:r>
      <w:r>
        <w:rPr>
          <w:rFonts w:ascii="Times New Roman" w:hAnsi="Times New Roman" w:hint="eastAsia"/>
          <w:sz w:val="24"/>
          <w:szCs w:val="24"/>
        </w:rPr>
        <w:t>主题词</w:t>
      </w:r>
      <w:r>
        <w:rPr>
          <w:rFonts w:ascii="Times New Roman" w:hAnsi="Times New Roman" w:cs="Times New Roman"/>
          <w:sz w:val="24"/>
          <w:szCs w:val="24"/>
        </w:rPr>
        <w:t>]AND (“</w:t>
      </w:r>
      <w:r>
        <w:rPr>
          <w:rFonts w:ascii="Times New Roman" w:hAnsi="Times New Roman" w:hint="eastAsia"/>
          <w:sz w:val="24"/>
          <w:szCs w:val="24"/>
        </w:rPr>
        <w:t>内镜超声</w:t>
      </w:r>
      <w:r>
        <w:rPr>
          <w:rFonts w:ascii="Times New Roman" w:hAnsi="Times New Roman" w:cs="Times New Roman"/>
          <w:sz w:val="24"/>
          <w:szCs w:val="24"/>
        </w:rPr>
        <w:t>” [</w:t>
      </w:r>
      <w:r>
        <w:rPr>
          <w:rFonts w:ascii="Times New Roman" w:hAnsi="Times New Roman" w:hint="eastAsia"/>
          <w:sz w:val="24"/>
          <w:szCs w:val="24"/>
        </w:rPr>
        <w:t>主题词</w:t>
      </w:r>
      <w:r>
        <w:rPr>
          <w:rFonts w:ascii="Times New Roman" w:hAnsi="Times New Roman" w:cs="Times New Roman"/>
          <w:sz w:val="24"/>
          <w:szCs w:val="24"/>
        </w:rPr>
        <w:t>]OR “</w:t>
      </w:r>
      <w:r>
        <w:rPr>
          <w:rFonts w:ascii="Times New Roman" w:hAnsi="Times New Roman" w:hint="eastAsia"/>
          <w:sz w:val="24"/>
          <w:szCs w:val="24"/>
        </w:rPr>
        <w:t>超声内镜</w:t>
      </w:r>
      <w:r>
        <w:rPr>
          <w:rFonts w:ascii="Times New Roman" w:hAnsi="Times New Roman" w:cs="Times New Roman"/>
          <w:sz w:val="24"/>
          <w:szCs w:val="24"/>
        </w:rPr>
        <w:t>”/[</w:t>
      </w:r>
      <w:r>
        <w:rPr>
          <w:rFonts w:ascii="Times New Roman" w:hAnsi="Times New Roman" w:hint="eastAsia"/>
          <w:sz w:val="24"/>
          <w:szCs w:val="24"/>
        </w:rPr>
        <w:t>主题词</w:t>
      </w:r>
      <w:r>
        <w:rPr>
          <w:rFonts w:ascii="Times New Roman" w:hAnsi="Times New Roman" w:cs="Times New Roman"/>
          <w:sz w:val="24"/>
          <w:szCs w:val="24"/>
        </w:rPr>
        <w:t>])</w:t>
      </w:r>
    </w:p>
    <w:p w:rsidR="00F801D6" w:rsidRDefault="00F801D6">
      <w:pPr>
        <w:spacing w:line="48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hint="eastAsia"/>
          <w:sz w:val="24"/>
          <w:szCs w:val="24"/>
        </w:rPr>
        <w:t>：</w:t>
      </w:r>
      <w:r>
        <w:rPr>
          <w:rFonts w:ascii="Times New Roman" w:hAnsi="Times New Roman" w:cs="Times New Roman"/>
          <w:sz w:val="24"/>
          <w:szCs w:val="24"/>
        </w:rPr>
        <w:t>“</w:t>
      </w:r>
      <w:r>
        <w:rPr>
          <w:rFonts w:ascii="Times New Roman" w:hAnsi="Times New Roman" w:hint="eastAsia"/>
          <w:sz w:val="24"/>
          <w:szCs w:val="24"/>
        </w:rPr>
        <w:t>胃癌</w:t>
      </w:r>
      <w:r>
        <w:rPr>
          <w:rFonts w:ascii="Times New Roman" w:hAnsi="Times New Roman" w:cs="Times New Roman"/>
          <w:sz w:val="24"/>
          <w:szCs w:val="24"/>
        </w:rPr>
        <w:t>”/[</w:t>
      </w:r>
      <w:r>
        <w:rPr>
          <w:rFonts w:ascii="Times New Roman" w:hAnsi="Times New Roman" w:hint="eastAsia"/>
          <w:sz w:val="24"/>
          <w:szCs w:val="24"/>
        </w:rPr>
        <w:t>主题词</w:t>
      </w:r>
      <w:r>
        <w:rPr>
          <w:rFonts w:ascii="Times New Roman" w:hAnsi="Times New Roman" w:cs="Times New Roman"/>
          <w:sz w:val="24"/>
          <w:szCs w:val="24"/>
        </w:rPr>
        <w:t>]AND“</w:t>
      </w:r>
      <w:r>
        <w:rPr>
          <w:rFonts w:ascii="Times New Roman" w:hAnsi="Times New Roman" w:hint="eastAsia"/>
          <w:sz w:val="24"/>
          <w:szCs w:val="24"/>
        </w:rPr>
        <w:t>超声内镜</w:t>
      </w:r>
      <w:r>
        <w:rPr>
          <w:rFonts w:ascii="Times New Roman" w:hAnsi="Times New Roman" w:cs="Times New Roman"/>
          <w:sz w:val="24"/>
          <w:szCs w:val="24"/>
        </w:rPr>
        <w:t>”/[</w:t>
      </w:r>
      <w:r>
        <w:rPr>
          <w:rFonts w:ascii="Times New Roman" w:hAnsi="Times New Roman" w:hint="eastAsia"/>
          <w:sz w:val="24"/>
          <w:szCs w:val="24"/>
        </w:rPr>
        <w:t>主题词</w:t>
      </w:r>
      <w:r>
        <w:rPr>
          <w:rFonts w:ascii="Times New Roman" w:hAnsi="Times New Roman" w:cs="Times New Roman"/>
          <w:sz w:val="24"/>
          <w:szCs w:val="24"/>
        </w:rPr>
        <w:t>]OR“</w:t>
      </w:r>
      <w:r>
        <w:rPr>
          <w:rFonts w:ascii="Times New Roman" w:hAnsi="Times New Roman" w:hint="eastAsia"/>
          <w:sz w:val="24"/>
          <w:szCs w:val="24"/>
        </w:rPr>
        <w:t>内镜超声</w:t>
      </w:r>
      <w:r>
        <w:rPr>
          <w:rFonts w:ascii="Times New Roman" w:hAnsi="Times New Roman" w:cs="Times New Roman"/>
          <w:sz w:val="24"/>
          <w:szCs w:val="24"/>
        </w:rPr>
        <w:t>”/[</w:t>
      </w:r>
      <w:r>
        <w:rPr>
          <w:rFonts w:ascii="Times New Roman" w:hAnsi="Times New Roman" w:hint="eastAsia"/>
          <w:sz w:val="24"/>
          <w:szCs w:val="24"/>
        </w:rPr>
        <w:t>主题词</w:t>
      </w:r>
      <w:r>
        <w:rPr>
          <w:rFonts w:ascii="Times New Roman" w:hAnsi="Times New Roman" w:cs="Times New Roman"/>
          <w:sz w:val="24"/>
          <w:szCs w:val="24"/>
        </w:rPr>
        <w:t>]AND (“</w:t>
      </w:r>
      <w:r>
        <w:rPr>
          <w:rFonts w:ascii="Times New Roman" w:hAnsi="Times New Roman" w:hint="eastAsia"/>
          <w:sz w:val="24"/>
          <w:szCs w:val="24"/>
        </w:rPr>
        <w:t>灵敏度</w:t>
      </w:r>
      <w:r>
        <w:rPr>
          <w:rFonts w:ascii="Times New Roman" w:hAnsi="Times New Roman" w:cs="Times New Roman"/>
          <w:sz w:val="24"/>
          <w:szCs w:val="24"/>
        </w:rPr>
        <w:t>” [</w:t>
      </w:r>
      <w:r>
        <w:rPr>
          <w:rFonts w:ascii="Times New Roman" w:hAnsi="Times New Roman" w:hint="eastAsia"/>
          <w:sz w:val="24"/>
          <w:szCs w:val="24"/>
        </w:rPr>
        <w:t>主题词</w:t>
      </w:r>
      <w:r>
        <w:rPr>
          <w:rFonts w:ascii="Times New Roman" w:hAnsi="Times New Roman" w:cs="Times New Roman"/>
          <w:sz w:val="24"/>
          <w:szCs w:val="24"/>
        </w:rPr>
        <w:t>]OR “</w:t>
      </w:r>
      <w:r>
        <w:rPr>
          <w:rFonts w:ascii="Times New Roman" w:hAnsi="Times New Roman" w:hint="eastAsia"/>
          <w:sz w:val="24"/>
          <w:szCs w:val="24"/>
        </w:rPr>
        <w:t>特异度</w:t>
      </w:r>
      <w:r>
        <w:rPr>
          <w:rFonts w:ascii="Times New Roman" w:hAnsi="Times New Roman" w:cs="Times New Roman"/>
          <w:sz w:val="24"/>
          <w:szCs w:val="24"/>
        </w:rPr>
        <w:t>”/[</w:t>
      </w:r>
      <w:r>
        <w:rPr>
          <w:rFonts w:ascii="Times New Roman" w:hAnsi="Times New Roman" w:hint="eastAsia"/>
          <w:sz w:val="24"/>
          <w:szCs w:val="24"/>
        </w:rPr>
        <w:t>主题词</w:t>
      </w:r>
      <w:r>
        <w:rPr>
          <w:rFonts w:ascii="Times New Roman" w:hAnsi="Times New Roman" w:cs="Times New Roman"/>
          <w:sz w:val="24"/>
          <w:szCs w:val="24"/>
        </w:rPr>
        <w:t>]OR“</w:t>
      </w:r>
      <w:r>
        <w:rPr>
          <w:rFonts w:ascii="Times New Roman" w:hAnsi="Times New Roman" w:hint="eastAsia"/>
          <w:sz w:val="24"/>
          <w:szCs w:val="24"/>
        </w:rPr>
        <w:t>受试者工作特征曲线</w:t>
      </w:r>
      <w:r>
        <w:rPr>
          <w:rFonts w:ascii="Times New Roman" w:hAnsi="Times New Roman" w:cs="Times New Roman"/>
          <w:sz w:val="24"/>
          <w:szCs w:val="24"/>
        </w:rPr>
        <w:t>”/[</w:t>
      </w:r>
      <w:r>
        <w:rPr>
          <w:rFonts w:ascii="Times New Roman" w:hAnsi="Times New Roman" w:hint="eastAsia"/>
          <w:sz w:val="24"/>
          <w:szCs w:val="24"/>
        </w:rPr>
        <w:t>主题词</w:t>
      </w:r>
      <w:r>
        <w:rPr>
          <w:rFonts w:ascii="Times New Roman" w:hAnsi="Times New Roman" w:cs="Times New Roman"/>
          <w:sz w:val="24"/>
          <w:szCs w:val="24"/>
        </w:rPr>
        <w:t>]OR“ROC</w:t>
      </w:r>
      <w:r>
        <w:rPr>
          <w:rFonts w:ascii="Times New Roman" w:hAnsi="Times New Roman" w:hint="eastAsia"/>
          <w:sz w:val="24"/>
          <w:szCs w:val="24"/>
        </w:rPr>
        <w:t>曲线</w:t>
      </w:r>
      <w:r>
        <w:rPr>
          <w:rFonts w:ascii="Times New Roman" w:hAnsi="Times New Roman" w:cs="Times New Roman"/>
          <w:sz w:val="24"/>
          <w:szCs w:val="24"/>
        </w:rPr>
        <w:t>”/[</w:t>
      </w:r>
      <w:r>
        <w:rPr>
          <w:rFonts w:ascii="Times New Roman" w:hAnsi="Times New Roman" w:hint="eastAsia"/>
          <w:sz w:val="24"/>
          <w:szCs w:val="24"/>
        </w:rPr>
        <w:t>主题词</w:t>
      </w:r>
      <w:r>
        <w:rPr>
          <w:rFonts w:ascii="Times New Roman" w:hAnsi="Times New Roman" w:cs="Times New Roman"/>
          <w:sz w:val="24"/>
          <w:szCs w:val="24"/>
        </w:rPr>
        <w:t>])</w:t>
      </w:r>
    </w:p>
    <w:p w:rsidR="00F801D6" w:rsidRDefault="00F801D6">
      <w:pPr>
        <w:spacing w:line="480" w:lineRule="auto"/>
        <w:rPr>
          <w:rFonts w:ascii="Times New Roman" w:hAnsi="Times New Roman" w:cs="Times New Roman"/>
          <w:sz w:val="24"/>
          <w:szCs w:val="24"/>
        </w:rPr>
      </w:pPr>
      <w:bookmarkStart w:id="5" w:name="_GoBack"/>
      <w:bookmarkEnd w:id="5"/>
    </w:p>
    <w:p w:rsidR="00F801D6" w:rsidRDefault="00F801D6">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sz w:val="24"/>
          <w:szCs w:val="24"/>
        </w:rPr>
        <w:br w:type="page"/>
      </w:r>
      <w:r>
        <w:rPr>
          <w:rFonts w:ascii="Times New Roman" w:hAnsi="Times New Roman" w:cs="Times New Roman"/>
          <w:b/>
          <w:bCs/>
          <w:color w:val="000000"/>
          <w:kern w:val="0"/>
          <w:sz w:val="24"/>
          <w:szCs w:val="24"/>
        </w:rPr>
        <w:t>References</w:t>
      </w:r>
    </w:p>
    <w:p w:rsidR="00F801D6" w:rsidRDefault="00F801D6">
      <w:pPr>
        <w:autoSpaceDE w:val="0"/>
        <w:autoSpaceDN w:val="0"/>
        <w:adjustRightInd w:val="0"/>
        <w:spacing w:line="360" w:lineRule="auto"/>
        <w:ind w:left="260" w:hanging="260"/>
        <w:rPr>
          <w:rFonts w:ascii="Times New Roman" w:hAnsi="Times New Roman" w:cs="Times New Roman"/>
          <w:kern w:val="0"/>
          <w:sz w:val="24"/>
          <w:szCs w:val="24"/>
        </w:rPr>
      </w:pPr>
      <w:r>
        <w:rPr>
          <w:rFonts w:ascii="Times New Roman" w:hAnsi="Times New Roman" w:cs="Times New Roman"/>
          <w:color w:val="000000"/>
          <w:kern w:val="0"/>
          <w:sz w:val="24"/>
          <w:szCs w:val="24"/>
        </w:rPr>
        <w:t xml:space="preserve"> 1.Jia Y, Deng Z and Wu J. Evaluation of EUS in Diagnosis and Treatment for Gastric Cancer. J New Med 2008; 18: 30-2.</w:t>
      </w:r>
    </w:p>
    <w:p w:rsidR="00F801D6" w:rsidRDefault="00F801D6">
      <w:pPr>
        <w:autoSpaceDE w:val="0"/>
        <w:autoSpaceDN w:val="0"/>
        <w:adjustRightInd w:val="0"/>
        <w:spacing w:line="360" w:lineRule="auto"/>
        <w:ind w:left="260" w:hanging="260"/>
        <w:rPr>
          <w:rFonts w:ascii="Times New Roman" w:hAnsi="Times New Roman" w:cs="Times New Roman"/>
          <w:kern w:val="0"/>
          <w:sz w:val="24"/>
          <w:szCs w:val="24"/>
        </w:rPr>
      </w:pPr>
      <w:r>
        <w:rPr>
          <w:rFonts w:ascii="Times New Roman" w:hAnsi="Times New Roman" w:cs="Times New Roman"/>
          <w:color w:val="000000"/>
          <w:kern w:val="0"/>
          <w:sz w:val="24"/>
          <w:szCs w:val="24"/>
        </w:rPr>
        <w:t xml:space="preserve"> 2.Yan Y, Wu Q, Bu Z and Ji J. The Value of Endoscopic Ultrasound for the Diagnosis of Depth of Tumor Invasion in Early Gastric Cancer and Its Related Factors. China Cancer 2014; 123: 1039-43.</w:t>
      </w:r>
    </w:p>
    <w:p w:rsidR="00F801D6" w:rsidRDefault="00F801D6">
      <w:pPr>
        <w:autoSpaceDE w:val="0"/>
        <w:autoSpaceDN w:val="0"/>
        <w:adjustRightInd w:val="0"/>
        <w:spacing w:line="360" w:lineRule="auto"/>
        <w:ind w:left="260" w:hanging="260"/>
        <w:rPr>
          <w:rFonts w:ascii="Times New Roman" w:hAnsi="Times New Roman" w:cs="Times New Roman"/>
          <w:kern w:val="0"/>
          <w:sz w:val="24"/>
          <w:szCs w:val="24"/>
        </w:rPr>
      </w:pPr>
      <w:r>
        <w:rPr>
          <w:rFonts w:ascii="Times New Roman" w:hAnsi="Times New Roman" w:cs="Times New Roman"/>
          <w:color w:val="000000"/>
          <w:kern w:val="0"/>
          <w:sz w:val="24"/>
          <w:szCs w:val="24"/>
        </w:rPr>
        <w:t xml:space="preserve"> 3.Xi W, Zhao C and Ren G. Preoperative endoscopic ultrasonography was used to evaluate the infiltration depth and surgical resection of gastric cancer. Chin J Dig Endosc 2003; 20: 45-6.</w:t>
      </w:r>
    </w:p>
    <w:p w:rsidR="00F801D6" w:rsidRDefault="00F801D6">
      <w:pPr>
        <w:autoSpaceDE w:val="0"/>
        <w:autoSpaceDN w:val="0"/>
        <w:adjustRightInd w:val="0"/>
        <w:spacing w:line="360" w:lineRule="auto"/>
        <w:ind w:left="260" w:hanging="260"/>
        <w:rPr>
          <w:rFonts w:ascii="Times New Roman" w:hAnsi="Times New Roman" w:cs="Times New Roman"/>
          <w:kern w:val="0"/>
          <w:sz w:val="24"/>
          <w:szCs w:val="24"/>
        </w:rPr>
      </w:pPr>
      <w:r>
        <w:rPr>
          <w:rFonts w:ascii="Times New Roman" w:hAnsi="Times New Roman" w:cs="Times New Roman"/>
          <w:color w:val="000000"/>
          <w:kern w:val="0"/>
          <w:sz w:val="24"/>
          <w:szCs w:val="24"/>
        </w:rPr>
        <w:t xml:space="preserve"> 4.Yanai H, Noguchi T and Mizumachi S, et al. A blind comparison of the effectiveness of endoscopic ultrasonography and endoscopy in staging early gastric cancer. Gut 1999; 44: 361-65.</w:t>
      </w:r>
    </w:p>
    <w:p w:rsidR="00F801D6" w:rsidRDefault="00F801D6">
      <w:pPr>
        <w:autoSpaceDE w:val="0"/>
        <w:autoSpaceDN w:val="0"/>
        <w:adjustRightInd w:val="0"/>
        <w:spacing w:line="360" w:lineRule="auto"/>
        <w:ind w:left="260" w:hanging="260"/>
        <w:rPr>
          <w:rFonts w:ascii="Times New Roman" w:hAnsi="Times New Roman" w:cs="Times New Roman"/>
          <w:kern w:val="0"/>
          <w:sz w:val="24"/>
          <w:szCs w:val="24"/>
        </w:rPr>
      </w:pPr>
      <w:r>
        <w:rPr>
          <w:rFonts w:ascii="Times New Roman" w:hAnsi="Times New Roman" w:cs="Times New Roman"/>
          <w:color w:val="000000"/>
          <w:kern w:val="0"/>
          <w:sz w:val="24"/>
          <w:szCs w:val="24"/>
        </w:rPr>
        <w:t xml:space="preserve"> 5.Yoshida S, Tanaka S and Kunihiro K, et al. Diagnostic ability of high-frequency ultrasound probe sonography in staging early gastric cancer, especially for submucosal invasion. Abdom Imaging 2005; 30: 518-23.</w:t>
      </w:r>
    </w:p>
    <w:p w:rsidR="00F801D6" w:rsidRDefault="00F801D6">
      <w:pPr>
        <w:autoSpaceDE w:val="0"/>
        <w:autoSpaceDN w:val="0"/>
        <w:adjustRightInd w:val="0"/>
        <w:spacing w:line="360" w:lineRule="auto"/>
        <w:ind w:left="260" w:hanging="260"/>
        <w:rPr>
          <w:rFonts w:ascii="Times New Roman" w:hAnsi="Times New Roman" w:cs="Times New Roman"/>
          <w:kern w:val="0"/>
          <w:sz w:val="24"/>
          <w:szCs w:val="24"/>
        </w:rPr>
      </w:pPr>
      <w:r>
        <w:rPr>
          <w:rFonts w:ascii="Times New Roman" w:hAnsi="Times New Roman" w:cs="Times New Roman"/>
          <w:color w:val="000000"/>
          <w:kern w:val="0"/>
          <w:sz w:val="24"/>
          <w:szCs w:val="24"/>
        </w:rPr>
        <w:t xml:space="preserve"> 6.Okada K, Fujisaki J and Kasuga A, et al. Endoscopic ultrasonography is valuable for identifying early gastric cancers meeting expanded-indication criteria for endoscopic submucosal dissection. Surg Endosc 2011; 25: 841-48.</w:t>
      </w:r>
    </w:p>
    <w:p w:rsidR="00F801D6" w:rsidRDefault="00F801D6">
      <w:pPr>
        <w:autoSpaceDE w:val="0"/>
        <w:autoSpaceDN w:val="0"/>
        <w:adjustRightInd w:val="0"/>
        <w:spacing w:line="360" w:lineRule="auto"/>
        <w:ind w:left="260" w:hanging="260"/>
        <w:rPr>
          <w:rFonts w:ascii="Times New Roman" w:hAnsi="Times New Roman" w:cs="Times New Roman"/>
          <w:kern w:val="0"/>
          <w:sz w:val="24"/>
          <w:szCs w:val="24"/>
        </w:rPr>
      </w:pPr>
      <w:r>
        <w:rPr>
          <w:rFonts w:ascii="Times New Roman" w:hAnsi="Times New Roman" w:cs="Times New Roman"/>
          <w:color w:val="000000"/>
          <w:kern w:val="0"/>
          <w:sz w:val="24"/>
          <w:szCs w:val="24"/>
        </w:rPr>
        <w:t xml:space="preserve"> 7.Kim SJ, Choi CW and Kang DH, et al. Factors associated with the efficacy of miniprobe endoscopic ultrasonography after conventional endoscopy for the prediction of invasion depth of early gastric cancer. Scand J Gastroenterol 2017; 52: 864-69.</w:t>
      </w:r>
    </w:p>
    <w:p w:rsidR="00F801D6" w:rsidRDefault="00F801D6">
      <w:pPr>
        <w:autoSpaceDE w:val="0"/>
        <w:autoSpaceDN w:val="0"/>
        <w:adjustRightInd w:val="0"/>
        <w:spacing w:line="360" w:lineRule="auto"/>
        <w:ind w:left="260" w:hanging="260"/>
        <w:rPr>
          <w:rFonts w:ascii="Times New Roman" w:hAnsi="Times New Roman" w:cs="Times New Roman"/>
          <w:kern w:val="0"/>
          <w:sz w:val="24"/>
          <w:szCs w:val="24"/>
        </w:rPr>
      </w:pPr>
      <w:r>
        <w:rPr>
          <w:rFonts w:ascii="Times New Roman" w:hAnsi="Times New Roman" w:cs="Times New Roman"/>
          <w:color w:val="000000"/>
          <w:kern w:val="0"/>
          <w:sz w:val="24"/>
          <w:szCs w:val="24"/>
        </w:rPr>
        <w:t xml:space="preserve"> 8.Tsujii Y, Kato M and Inoue T, et al. Integrated diagnostic strategy for the invasion depth of early gastric cancer by conventional endoscopy and EUS. Gastrointest Endosc 2015; 82: 452-59.</w:t>
      </w:r>
    </w:p>
    <w:p w:rsidR="00F801D6" w:rsidRDefault="00F801D6">
      <w:pPr>
        <w:autoSpaceDE w:val="0"/>
        <w:autoSpaceDN w:val="0"/>
        <w:adjustRightInd w:val="0"/>
        <w:spacing w:line="360" w:lineRule="auto"/>
        <w:ind w:left="260" w:hanging="260"/>
        <w:rPr>
          <w:rFonts w:ascii="Times New Roman" w:hAnsi="Times New Roman" w:cs="Times New Roman"/>
          <w:kern w:val="0"/>
          <w:sz w:val="24"/>
          <w:szCs w:val="24"/>
        </w:rPr>
      </w:pPr>
      <w:r>
        <w:rPr>
          <w:rFonts w:ascii="Times New Roman" w:hAnsi="Times New Roman" w:cs="Times New Roman"/>
          <w:color w:val="000000"/>
          <w:kern w:val="0"/>
          <w:sz w:val="24"/>
          <w:szCs w:val="24"/>
        </w:rPr>
        <w:t xml:space="preserve"> 9.Choi J, Kim SG, Im JP, et al. Is endoscopic ultrasonography indispensable in patients with early gastric cancer prior to endoscopic resection? Surg Endosc 2010; 24: 3177-85.</w:t>
      </w:r>
    </w:p>
    <w:p w:rsidR="00F801D6" w:rsidRDefault="00F801D6">
      <w:pPr>
        <w:autoSpaceDE w:val="0"/>
        <w:autoSpaceDN w:val="0"/>
        <w:adjustRightInd w:val="0"/>
        <w:spacing w:line="360" w:lineRule="auto"/>
        <w:ind w:left="260" w:hanging="260"/>
        <w:rPr>
          <w:rFonts w:ascii="Times New Roman" w:hAnsi="Times New Roman" w:cs="Times New Roman"/>
          <w:kern w:val="0"/>
          <w:sz w:val="24"/>
          <w:szCs w:val="24"/>
        </w:rPr>
      </w:pPr>
      <w:r>
        <w:rPr>
          <w:rFonts w:ascii="Times New Roman" w:hAnsi="Times New Roman" w:cs="Times New Roman"/>
          <w:color w:val="000000"/>
          <w:kern w:val="0"/>
          <w:sz w:val="24"/>
          <w:szCs w:val="24"/>
        </w:rPr>
        <w:t>10.Ohashi S, Segawa K and Okamura S, et al. The utility of endoscopic ultrasonography and endoscopy in the endoscopic mucosal resection of early gastric cancer. Gut 45: 599-604, 1999.</w:t>
      </w:r>
    </w:p>
    <w:p w:rsidR="00F801D6" w:rsidRDefault="00F801D6">
      <w:pPr>
        <w:autoSpaceDE w:val="0"/>
        <w:autoSpaceDN w:val="0"/>
        <w:adjustRightInd w:val="0"/>
        <w:spacing w:line="360" w:lineRule="auto"/>
        <w:ind w:left="260" w:hanging="260"/>
        <w:rPr>
          <w:rFonts w:ascii="Times New Roman" w:hAnsi="Times New Roman" w:cs="Times New Roman"/>
          <w:kern w:val="0"/>
          <w:sz w:val="24"/>
          <w:szCs w:val="24"/>
        </w:rPr>
      </w:pPr>
      <w:r>
        <w:rPr>
          <w:rFonts w:ascii="Times New Roman" w:hAnsi="Times New Roman" w:cs="Times New Roman"/>
          <w:color w:val="000000"/>
          <w:kern w:val="0"/>
          <w:sz w:val="24"/>
          <w:szCs w:val="24"/>
        </w:rPr>
        <w:t>11.Lee JY, Choi IJ and Kim CG, et al. Therapeutic Decision-Making Using Endoscopic Ultrasonography in Endoscopic Treatment of Early Gastric Cancer. Gut Liver 2016; 10: 42-50.</w:t>
      </w:r>
    </w:p>
    <w:p w:rsidR="00F801D6" w:rsidRDefault="00F801D6">
      <w:pPr>
        <w:autoSpaceDE w:val="0"/>
        <w:autoSpaceDN w:val="0"/>
        <w:adjustRightInd w:val="0"/>
        <w:spacing w:line="360" w:lineRule="auto"/>
        <w:ind w:left="260" w:hanging="260"/>
        <w:rPr>
          <w:rFonts w:ascii="Times New Roman" w:hAnsi="Times New Roman" w:cs="Times New Roman"/>
          <w:kern w:val="0"/>
          <w:sz w:val="24"/>
          <w:szCs w:val="24"/>
        </w:rPr>
      </w:pPr>
      <w:r>
        <w:rPr>
          <w:rFonts w:ascii="Times New Roman" w:hAnsi="Times New Roman" w:cs="Times New Roman"/>
          <w:color w:val="000000"/>
          <w:kern w:val="0"/>
          <w:sz w:val="24"/>
          <w:szCs w:val="24"/>
        </w:rPr>
        <w:t>12.Watari J, Ueyama S and Tomita T, et al. What types of early gastric cancer are indicated for endoscopic ultrasonography staging of invasion depth? World J Gastrointest Endosc 2016; 8: 558-67.</w:t>
      </w:r>
    </w:p>
    <w:p w:rsidR="00F801D6" w:rsidRDefault="00F801D6">
      <w:pPr>
        <w:autoSpaceDE w:val="0"/>
        <w:autoSpaceDN w:val="0"/>
        <w:adjustRightInd w:val="0"/>
        <w:spacing w:line="360" w:lineRule="auto"/>
        <w:ind w:left="260" w:hanging="260"/>
        <w:rPr>
          <w:rFonts w:ascii="Times New Roman" w:hAnsi="Times New Roman" w:cs="Times New Roman"/>
          <w:kern w:val="0"/>
          <w:sz w:val="24"/>
          <w:szCs w:val="24"/>
        </w:rPr>
      </w:pPr>
      <w:r>
        <w:rPr>
          <w:rFonts w:ascii="Times New Roman" w:hAnsi="Times New Roman" w:cs="Times New Roman"/>
          <w:color w:val="000000"/>
          <w:kern w:val="0"/>
          <w:sz w:val="24"/>
          <w:szCs w:val="24"/>
        </w:rPr>
        <w:t>13.Jieyao C, Xi W and Aiming Y, et al. Evaluation of preoperative endoscopic ultrasonography for diagnostic and therapeutic decision making in superficial gastric cancers. Chin J Dig Endosc 2016; 33: 663-66.</w:t>
      </w:r>
    </w:p>
    <w:p w:rsidR="00F801D6" w:rsidRDefault="00F801D6">
      <w:pPr>
        <w:autoSpaceDE w:val="0"/>
        <w:autoSpaceDN w:val="0"/>
        <w:adjustRightInd w:val="0"/>
        <w:spacing w:line="360" w:lineRule="auto"/>
        <w:ind w:left="260" w:hanging="260"/>
        <w:rPr>
          <w:rFonts w:ascii="Times New Roman" w:hAnsi="Times New Roman" w:cs="Times New Roman"/>
          <w:kern w:val="0"/>
          <w:sz w:val="24"/>
          <w:szCs w:val="24"/>
        </w:rPr>
      </w:pPr>
      <w:r>
        <w:rPr>
          <w:rFonts w:ascii="Times New Roman" w:hAnsi="Times New Roman" w:cs="Times New Roman"/>
          <w:color w:val="000000"/>
          <w:kern w:val="0"/>
          <w:sz w:val="24"/>
          <w:szCs w:val="24"/>
        </w:rPr>
        <w:t>14.Xie S, Yu X, Jin X, et al. Value of endoscopic ultrasonography in evaluation of submucosal infiltration in early gastric cancer. Chin J Gastroenterol Hepatol 2016; 25: 517-19.</w:t>
      </w:r>
    </w:p>
    <w:p w:rsidR="00F801D6" w:rsidRDefault="00F801D6">
      <w:pPr>
        <w:autoSpaceDE w:val="0"/>
        <w:autoSpaceDN w:val="0"/>
        <w:adjustRightInd w:val="0"/>
        <w:spacing w:line="360" w:lineRule="auto"/>
        <w:ind w:left="260" w:hanging="260"/>
        <w:rPr>
          <w:rFonts w:ascii="Times New Roman" w:hAnsi="Times New Roman" w:cs="Times New Roman"/>
          <w:kern w:val="0"/>
          <w:sz w:val="24"/>
          <w:szCs w:val="24"/>
        </w:rPr>
      </w:pPr>
      <w:r>
        <w:rPr>
          <w:rFonts w:ascii="Times New Roman" w:hAnsi="Times New Roman" w:cs="Times New Roman"/>
          <w:color w:val="000000"/>
          <w:kern w:val="0"/>
          <w:sz w:val="24"/>
          <w:szCs w:val="24"/>
        </w:rPr>
        <w:t>15.Wang J, Wu Q and Sun L, et al. Effects of mini-probe endoscopic ultrasonography for therapeutic decision-making in early gastric cancer prior to operation. Chin J Endosc 2016; 22: 15-21.</w:t>
      </w:r>
    </w:p>
    <w:p w:rsidR="00F801D6" w:rsidRDefault="00F801D6">
      <w:pPr>
        <w:autoSpaceDE w:val="0"/>
        <w:autoSpaceDN w:val="0"/>
        <w:adjustRightInd w:val="0"/>
        <w:spacing w:line="360" w:lineRule="auto"/>
        <w:ind w:left="260" w:hanging="260"/>
        <w:rPr>
          <w:rFonts w:ascii="Times New Roman" w:hAnsi="Times New Roman" w:cs="Times New Roman"/>
          <w:kern w:val="0"/>
          <w:sz w:val="24"/>
          <w:szCs w:val="24"/>
        </w:rPr>
      </w:pPr>
      <w:r>
        <w:rPr>
          <w:rFonts w:ascii="Times New Roman" w:hAnsi="Times New Roman" w:cs="Times New Roman"/>
          <w:color w:val="000000"/>
          <w:kern w:val="0"/>
          <w:sz w:val="24"/>
          <w:szCs w:val="24"/>
        </w:rPr>
        <w:t>16.Fang Y, Ai-ming Y, Dong-sheng WU, et al. Diagnostic Value of Miniprobe Endoscopic Ultrasonography in Assessment of Tumor Invasion Depth in Early Gastric Cancer. Med J Peking Union Med College Hospital 2015; 6: 83-8.</w:t>
      </w:r>
    </w:p>
    <w:p w:rsidR="00F801D6" w:rsidRDefault="00F801D6">
      <w:pPr>
        <w:autoSpaceDE w:val="0"/>
        <w:autoSpaceDN w:val="0"/>
        <w:adjustRightInd w:val="0"/>
        <w:spacing w:line="360" w:lineRule="auto"/>
        <w:ind w:left="260" w:hanging="260"/>
        <w:rPr>
          <w:rFonts w:ascii="Times New Roman" w:hAnsi="Times New Roman" w:cs="Times New Roman"/>
          <w:kern w:val="0"/>
          <w:sz w:val="24"/>
          <w:szCs w:val="24"/>
        </w:rPr>
      </w:pPr>
      <w:r>
        <w:rPr>
          <w:rFonts w:ascii="Times New Roman" w:hAnsi="Times New Roman" w:cs="Times New Roman"/>
          <w:color w:val="000000"/>
          <w:kern w:val="0"/>
          <w:sz w:val="24"/>
          <w:szCs w:val="24"/>
        </w:rPr>
        <w:t>17.Yang C, Huang M, Peng L, et al. Clinical study of endoscopic ultrasound in gastric cancer preparation staging. China Med Herald 2011; 8: 168-69.</w:t>
      </w:r>
    </w:p>
    <w:p w:rsidR="00F801D6" w:rsidRDefault="00F801D6">
      <w:pPr>
        <w:autoSpaceDE w:val="0"/>
        <w:autoSpaceDN w:val="0"/>
        <w:adjustRightInd w:val="0"/>
        <w:spacing w:line="360" w:lineRule="auto"/>
        <w:ind w:left="260" w:hanging="260"/>
        <w:rPr>
          <w:rFonts w:ascii="Times New Roman" w:hAnsi="Times New Roman" w:cs="Times New Roman"/>
          <w:kern w:val="0"/>
          <w:sz w:val="24"/>
          <w:szCs w:val="24"/>
        </w:rPr>
      </w:pPr>
      <w:r>
        <w:rPr>
          <w:rFonts w:ascii="Times New Roman" w:hAnsi="Times New Roman" w:cs="Times New Roman"/>
          <w:color w:val="000000"/>
          <w:kern w:val="0"/>
          <w:sz w:val="24"/>
          <w:szCs w:val="24"/>
        </w:rPr>
        <w:t>18.Zhang H and Jiang J. The accuracy of endoscopic ultrasonography in evaluation of invasion depth in early gastric neoplasia. Chin J Gastroenterol Hepatol 2017; 26: 782-85.</w:t>
      </w:r>
    </w:p>
    <w:p w:rsidR="00F801D6" w:rsidRDefault="00F801D6">
      <w:pPr>
        <w:autoSpaceDE w:val="0"/>
        <w:autoSpaceDN w:val="0"/>
        <w:adjustRightInd w:val="0"/>
        <w:spacing w:line="360" w:lineRule="auto"/>
        <w:ind w:left="260" w:hanging="260"/>
        <w:rPr>
          <w:rFonts w:ascii="Times New Roman" w:hAnsi="Times New Roman" w:cs="Times New Roman"/>
          <w:kern w:val="0"/>
          <w:sz w:val="24"/>
          <w:szCs w:val="24"/>
        </w:rPr>
      </w:pPr>
      <w:r>
        <w:rPr>
          <w:rFonts w:ascii="Times New Roman" w:hAnsi="Times New Roman" w:cs="Times New Roman"/>
          <w:color w:val="000000"/>
          <w:kern w:val="0"/>
          <w:sz w:val="24"/>
          <w:szCs w:val="24"/>
        </w:rPr>
        <w:t>19.Mouri R, Yoshida S, Tanaka S,et al. Usefulness of endoscopic ultrasonography in determining the depth of invasion and indication for endoscopic treatment of early gastric cancer. J Clin Gastroenterol 2009; 43: 318-22.</w:t>
      </w:r>
    </w:p>
    <w:p w:rsidR="00F801D6" w:rsidRDefault="00F801D6">
      <w:pPr>
        <w:spacing w:line="480" w:lineRule="auto"/>
        <w:rPr>
          <w:rFonts w:ascii="Times New Roman" w:hAnsi="Times New Roman" w:cs="Times New Roman"/>
          <w:sz w:val="24"/>
          <w:szCs w:val="24"/>
        </w:rPr>
      </w:pPr>
    </w:p>
    <w:sectPr w:rsidR="00F801D6" w:rsidSect="00F801D6">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1D6" w:rsidRDefault="00F801D6">
      <w:pPr>
        <w:rPr>
          <w:rFonts w:ascii="Times New Roman" w:hAnsi="Times New Roman" w:cs="Times New Roman"/>
        </w:rPr>
      </w:pPr>
      <w:r>
        <w:rPr>
          <w:rFonts w:ascii="Times New Roman" w:hAnsi="Times New Roman" w:cs="Times New Roman"/>
        </w:rPr>
        <w:separator/>
      </w:r>
    </w:p>
  </w:endnote>
  <w:endnote w:type="continuationSeparator" w:id="0">
    <w:p w:rsidR="00F801D6" w:rsidRDefault="00F801D6">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
    <w:altName w:val="DengXian"/>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1D6" w:rsidRDefault="00F801D6">
      <w:pPr>
        <w:rPr>
          <w:rFonts w:ascii="Times New Roman" w:hAnsi="Times New Roman" w:cs="Times New Roman"/>
        </w:rPr>
      </w:pPr>
      <w:r>
        <w:rPr>
          <w:rFonts w:ascii="Times New Roman" w:hAnsi="Times New Roman" w:cs="Times New Roman"/>
        </w:rPr>
        <w:separator/>
      </w:r>
    </w:p>
  </w:footnote>
  <w:footnote w:type="continuationSeparator" w:id="0">
    <w:p w:rsidR="00F801D6" w:rsidRDefault="00F801D6">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6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01D6"/>
    <w:rsid w:val="00F801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 w:eastAsia="??" w:hAnsi="??" w:cs="??"/>
      <w:kern w:val="2"/>
      <w:sz w:val="21"/>
      <w:szCs w:val="21"/>
      <w:lang w:eastAsia="zh-C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Pr>
      <w:rFonts w:ascii="Times New Roman" w:hAnsi="Times New Roman" w:cs="Times New Roman"/>
      <w:sz w:val="18"/>
      <w:szCs w:val="18"/>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4</Pages>
  <Words>795</Words>
  <Characters>4536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LiZhanzhan</dc:creator>
  <cp:keywords/>
  <dc:description/>
  <cp:lastModifiedBy>TEESLWW</cp:lastModifiedBy>
  <cp:revision>28</cp:revision>
  <dcterms:created xsi:type="dcterms:W3CDTF">2018-12-24T00:40:00Z</dcterms:created>
  <dcterms:modified xsi:type="dcterms:W3CDTF">2019-01-22T09:23:00Z</dcterms:modified>
</cp:coreProperties>
</file>