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84" w:rsidRPr="00050F70" w:rsidRDefault="00BB6C84" w:rsidP="00BB6C84">
      <w:pPr>
        <w:rPr>
          <w:rFonts w:ascii="Times New Roman" w:hAnsi="Times New Roman" w:cs="Times New Roman"/>
          <w:sz w:val="22"/>
        </w:rPr>
      </w:pPr>
      <w:r w:rsidRPr="00050F70">
        <w:rPr>
          <w:rFonts w:ascii="Times New Roman" w:hAnsi="Times New Roman" w:cs="Times New Roman"/>
          <w:sz w:val="22"/>
        </w:rPr>
        <w:t xml:space="preserve">Table S1. </w:t>
      </w:r>
      <w:r w:rsidR="00FB253F">
        <w:rPr>
          <w:rFonts w:ascii="Times New Roman" w:hAnsi="Times New Roman" w:cs="Times New Roman"/>
          <w:sz w:val="22"/>
        </w:rPr>
        <w:t>Patient eligibility and c</w:t>
      </w:r>
      <w:r w:rsidRPr="00050F70">
        <w:rPr>
          <w:rFonts w:ascii="Times New Roman" w:hAnsi="Times New Roman" w:cs="Times New Roman"/>
          <w:sz w:val="22"/>
        </w:rPr>
        <w:t>oncomitant medication of the included randomized controlled trials</w:t>
      </w:r>
      <w:r w:rsidR="00E8087C" w:rsidRPr="00050F70">
        <w:rPr>
          <w:rFonts w:ascii="Times New Roman" w:hAnsi="Times New Roman" w:cs="Times New Roman"/>
          <w:sz w:val="22"/>
        </w:rPr>
        <w:t xml:space="preserve">  </w:t>
      </w:r>
    </w:p>
    <w:p w:rsidR="00BB6C84" w:rsidRPr="00A42E5C" w:rsidRDefault="00BB6C84" w:rsidP="00BB6C84">
      <w:pPr>
        <w:jc w:val="left"/>
      </w:pPr>
    </w:p>
    <w:tbl>
      <w:tblPr>
        <w:tblStyle w:val="a7"/>
        <w:tblW w:w="1431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5811"/>
      </w:tblGrid>
      <w:tr w:rsidR="009C211E" w:rsidRPr="00C07DE0" w:rsidTr="009C211E">
        <w:trPr>
          <w:trHeight w:val="373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C211E" w:rsidRPr="00E37CB2" w:rsidRDefault="009C211E" w:rsidP="000F4472">
            <w:pPr>
              <w:jc w:val="left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b/>
                <w:color w:val="000000"/>
                <w:sz w:val="22"/>
              </w:rPr>
              <w:t>ID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211E" w:rsidRPr="00E37CB2" w:rsidRDefault="009C211E" w:rsidP="000F4472">
            <w:pPr>
              <w:widowControl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E37CB2">
              <w:rPr>
                <w:rFonts w:ascii="Times New Roman" w:hAnsi="Times New Roman" w:cs="Times New Roman"/>
                <w:b/>
                <w:sz w:val="22"/>
              </w:rPr>
              <w:t>Study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C211E" w:rsidRPr="009458D3" w:rsidRDefault="009C211E" w:rsidP="000F4472">
            <w:pPr>
              <w:widowControl/>
              <w:jc w:val="left"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b/>
                <w:color w:val="FF0000"/>
                <w:sz w:val="22"/>
              </w:rPr>
              <w:t>P</w:t>
            </w:r>
            <w:r w:rsidRPr="009458D3">
              <w:rPr>
                <w:rFonts w:ascii="Times New Roman" w:hAnsi="Times New Roman" w:cs="Times New Roman" w:hint="eastAsia"/>
                <w:b/>
                <w:color w:val="FF0000"/>
                <w:sz w:val="22"/>
              </w:rPr>
              <w:t>atient</w:t>
            </w:r>
            <w:r w:rsidR="00FB253F" w:rsidRPr="009458D3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 eligibility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C211E" w:rsidRPr="00E37CB2" w:rsidRDefault="009C211E" w:rsidP="000F4472">
            <w:pPr>
              <w:widowControl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E37CB2">
              <w:rPr>
                <w:rFonts w:ascii="Times New Roman" w:hAnsi="Times New Roman" w:cs="Times New Roman"/>
                <w:b/>
                <w:sz w:val="22"/>
              </w:rPr>
              <w:t>Concomitant medication</w:t>
            </w:r>
          </w:p>
        </w:tc>
      </w:tr>
      <w:tr w:rsidR="009C211E" w:rsidRPr="00C07DE0" w:rsidTr="009C211E">
        <w:trPr>
          <w:trHeight w:val="260"/>
          <w:jc w:val="center"/>
        </w:trPr>
        <w:tc>
          <w:tcPr>
            <w:tcW w:w="567" w:type="dxa"/>
            <w:tcBorders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Antoni2005(1)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22</w:t>
            </w:r>
          </w:p>
        </w:tc>
        <w:tc>
          <w:tcPr>
            <w:tcW w:w="5811" w:type="dxa"/>
            <w:tcBorders>
              <w:bottom w:val="nil"/>
            </w:tcBorders>
          </w:tcPr>
          <w:p w:rsidR="009C211E" w:rsidRPr="009458D3" w:rsidRDefault="00122452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adult patients; </w:t>
            </w:r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≥ </w:t>
            </w:r>
            <w:r w:rsidR="00CD4435" w:rsidRPr="009458D3">
              <w:rPr>
                <w:rFonts w:ascii="Times New Roman" w:hAnsi="Times New Roman" w:cs="Times New Roman"/>
                <w:color w:val="FF0000"/>
                <w:sz w:val="22"/>
              </w:rPr>
              <w:t>6 months duration;</w:t>
            </w:r>
            <w:r w:rsidR="00240B06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active </w:t>
            </w:r>
            <w:proofErr w:type="spellStart"/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55468E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; </w:t>
            </w:r>
            <w:r w:rsidR="00240B06" w:rsidRPr="009458D3">
              <w:rPr>
                <w:rFonts w:ascii="Times New Roman" w:hAnsi="Times New Roman" w:cs="Times New Roman"/>
                <w:color w:val="FF0000"/>
                <w:sz w:val="22"/>
              </w:rPr>
              <w:t>an inadequate response to current</w:t>
            </w:r>
            <w:r w:rsidR="00CD4435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240B06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or previous DMARDs or NSAIDs; </w:t>
            </w:r>
            <w:r w:rsidR="00CD4435" w:rsidRPr="009458D3">
              <w:rPr>
                <w:rFonts w:ascii="Times New Roman" w:hAnsi="Times New Roman" w:cs="Times New Roman"/>
                <w:color w:val="FF0000"/>
                <w:sz w:val="22"/>
              </w:rPr>
              <w:t>with</w:t>
            </w:r>
            <w:r w:rsidR="0015019C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≥ </w:t>
            </w:r>
            <w:r w:rsidR="00CD4435" w:rsidRPr="009458D3">
              <w:rPr>
                <w:rFonts w:ascii="Times New Roman" w:hAnsi="Times New Roman" w:cs="Times New Roman"/>
                <w:color w:val="FF0000"/>
                <w:sz w:val="22"/>
              </w:rPr>
              <w:t>one qualifying target</w:t>
            </w:r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skin</w:t>
            </w:r>
            <w:r w:rsidR="00CD4435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lesion</w:t>
            </w:r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≥ </w:t>
            </w:r>
            <w:r w:rsidR="00CD4435" w:rsidRPr="009458D3">
              <w:rPr>
                <w:rFonts w:ascii="Times New Roman" w:hAnsi="Times New Roman" w:cs="Times New Roman"/>
                <w:color w:val="FF0000"/>
                <w:sz w:val="22"/>
              </w:rPr>
              <w:t>2 cm in diameter</w:t>
            </w:r>
          </w:p>
        </w:tc>
        <w:tc>
          <w:tcPr>
            <w:tcW w:w="5811" w:type="dxa"/>
            <w:tcBorders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 w:hint="eastAsia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Oral </w:t>
            </w:r>
            <w:r w:rsidR="00027829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="00016EA1">
              <w:rPr>
                <w:rFonts w:ascii="Times New Roman" w:hAnsi="Times New Roman" w:cs="Times New Roman" w:hint="eastAsia"/>
                <w:color w:val="231F20"/>
                <w:sz w:val="22"/>
              </w:rPr>
              <w:t>（</w:t>
            </w:r>
            <w:r w:rsidR="00016EA1" w:rsidRPr="00E37CB2">
              <w:rPr>
                <w:rFonts w:ascii="Times New Roman" w:hAnsi="Times New Roman" w:cs="Times New Roman"/>
                <w:color w:val="231F20"/>
                <w:sz w:val="22"/>
              </w:rPr>
              <w:t>≤ 10 mg</w:t>
            </w:r>
            <w:r w:rsidR="00016EA1">
              <w:rPr>
                <w:rFonts w:ascii="Times New Roman" w:hAnsi="Times New Roman" w:cs="Times New Roman" w:hint="eastAsia"/>
                <w:color w:val="231F20"/>
                <w:sz w:val="22"/>
              </w:rPr>
              <w:t>/</w:t>
            </w:r>
            <w:r w:rsidR="00016EA1" w:rsidRPr="00E37CB2">
              <w:rPr>
                <w:rFonts w:ascii="Times New Roman" w:hAnsi="Times New Roman" w:cs="Times New Roman"/>
                <w:color w:val="231F20"/>
                <w:sz w:val="22"/>
              </w:rPr>
              <w:t>day prednisone or equivalent</w:t>
            </w:r>
            <w:r w:rsidR="00016EA1">
              <w:rPr>
                <w:rFonts w:ascii="Times New Roman" w:hAnsi="Times New Roman" w:cs="Times New Roman" w:hint="eastAsia"/>
                <w:color w:val="231F20"/>
                <w:sz w:val="22"/>
              </w:rPr>
              <w:t>）</w:t>
            </w:r>
          </w:p>
        </w:tc>
      </w:tr>
      <w:tr w:rsidR="009C211E" w:rsidRPr="00C07DE0" w:rsidTr="009C211E">
        <w:trPr>
          <w:trHeight w:val="862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Antoni2005(2)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23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122452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≥ </w:t>
            </w:r>
            <w:r w:rsidR="00CD4435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6 months duration; </w:t>
            </w:r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active peripheral polyarticular arthritis; </w:t>
            </w:r>
            <w:r w:rsidR="00CD4435" w:rsidRPr="009458D3">
              <w:rPr>
                <w:rFonts w:ascii="Times New Roman" w:hAnsi="Times New Roman" w:cs="Times New Roman"/>
                <w:color w:val="FF0000"/>
                <w:sz w:val="22"/>
              </w:rPr>
              <w:t>previous failure of treatment with</w:t>
            </w:r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≥</w:t>
            </w:r>
            <w:r w:rsidR="00CD4435" w:rsidRPr="009458D3">
              <w:rPr>
                <w:rFonts w:ascii="Times New Roman" w:hAnsi="Times New Roman" w:cs="Times New Roman"/>
                <w:color w:val="FF0000"/>
                <w:sz w:val="22"/>
              </w:rPr>
              <w:t>1 DMARDs</w:t>
            </w:r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D417CB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stable doses of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DMARDs: MTX (</w:t>
            </w:r>
            <w:r w:rsidR="00704A16" w:rsidRPr="00E37CB2">
              <w:rPr>
                <w:rFonts w:ascii="Times New Roman" w:hAnsi="Times New Roman" w:cs="Times New Roman"/>
                <w:color w:val="231F20"/>
                <w:sz w:val="22"/>
              </w:rPr>
              <w:t>≥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15 mg/week, with folic acid supplementation), LEF, SSZ, HCQ, intramuscular gold, penicillamine, or AZA.</w:t>
            </w:r>
          </w:p>
        </w:tc>
      </w:tr>
      <w:tr w:rsidR="009C211E" w:rsidRPr="00CF45E3" w:rsidTr="009C211E">
        <w:trPr>
          <w:trHeight w:val="91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Cutolo</w:t>
            </w:r>
            <w:proofErr w:type="spellEnd"/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 xml:space="preserve"> 2016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24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>;</w:t>
            </w:r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≥ </w:t>
            </w:r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>6 months duration;</w:t>
            </w:r>
            <w:bookmarkStart w:id="0" w:name="OLE_LINK6"/>
            <w:r w:rsidR="009458D3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9458D3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active </w:t>
            </w:r>
            <w:proofErr w:type="spellStart"/>
            <w:r w:rsidR="009458D3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9458D3">
              <w:rPr>
                <w:rFonts w:ascii="Times New Roman" w:hAnsi="Times New Roman" w:cs="Times New Roman"/>
                <w:color w:val="FF0000"/>
                <w:sz w:val="22"/>
              </w:rPr>
              <w:t>;</w:t>
            </w:r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bookmarkEnd w:id="0"/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despite prior treatment with </w:t>
            </w:r>
            <w:proofErr w:type="spellStart"/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>cDMARD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proofErr w:type="spellEnd"/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and/or </w:t>
            </w:r>
            <w:proofErr w:type="spellStart"/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>bDMARD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proofErr w:type="spellEnd"/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or</w:t>
            </w:r>
            <w:r w:rsidR="0055468E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concurrent treatment with </w:t>
            </w:r>
            <w:proofErr w:type="spellStart"/>
            <w:r w:rsidR="0055468E" w:rsidRPr="009458D3">
              <w:rPr>
                <w:rFonts w:ascii="Times New Roman" w:hAnsi="Times New Roman" w:cs="Times New Roman"/>
                <w:color w:val="FF0000"/>
                <w:sz w:val="22"/>
              </w:rPr>
              <w:t>cDMARD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proofErr w:type="spellEnd"/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  <w:proofErr w:type="spellStart"/>
            <w:r w:rsidR="00CA7E96" w:rsidRPr="009458D3">
              <w:rPr>
                <w:rFonts w:ascii="Times New Roman" w:hAnsi="Times New Roman" w:cs="Times New Roman"/>
                <w:color w:val="FF0000"/>
                <w:sz w:val="22"/>
              </w:rPr>
              <w:t>TNF</w:t>
            </w:r>
            <w:r w:rsidR="009458D3">
              <w:rPr>
                <w:rFonts w:ascii="Times New Roman" w:hAnsi="Times New Roman" w:cs="Times New Roman"/>
                <w:color w:val="FF0000"/>
                <w:sz w:val="22"/>
              </w:rPr>
              <w:t>a</w:t>
            </w:r>
            <w:proofErr w:type="spellEnd"/>
            <w:r w:rsidR="00CA7E96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9458D3">
              <w:rPr>
                <w:rFonts w:ascii="Times New Roman" w:hAnsi="Times New Roman" w:cs="Times New Roman"/>
                <w:color w:val="FF0000"/>
                <w:sz w:val="22"/>
              </w:rPr>
              <w:t xml:space="preserve">inhibitors </w:t>
            </w:r>
            <w:r w:rsidR="0015019C" w:rsidRPr="009458D3">
              <w:rPr>
                <w:rFonts w:ascii="Times New Roman" w:hAnsi="Times New Roman" w:cs="Times New Roman"/>
                <w:color w:val="FF0000"/>
                <w:sz w:val="22"/>
              </w:rPr>
              <w:t>failures were limited to ≤ 10% of randomized patients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stable doses of MTX (≤ 25 mg/week), LEF (≤ 20 mg/day), SSZ (≤ 2 g/day), or a combination of these agents.</w:t>
            </w:r>
          </w:p>
        </w:tc>
      </w:tr>
      <w:tr w:rsidR="009C211E" w:rsidRPr="00C07DE0" w:rsidTr="009C211E">
        <w:trPr>
          <w:trHeight w:val="60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Edwards 2016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25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15019C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≥ 6 months duration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;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bookmarkStart w:id="1" w:name="OLE_LINK16"/>
            <w:r w:rsidR="009458D3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active </w:t>
            </w:r>
            <w:proofErr w:type="spellStart"/>
            <w:r w:rsidR="009458D3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bookmarkEnd w:id="1"/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 with ≥ one plaque psoriasis skin lesion≥2 cm in size; prior treatment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with </w:t>
            </w:r>
            <w:proofErr w:type="spellStart"/>
            <w:r w:rsidR="00122452" w:rsidRPr="009458D3">
              <w:rPr>
                <w:rFonts w:ascii="Times New Roman" w:hAnsi="Times New Roman" w:cs="Times New Roman"/>
                <w:color w:val="FF0000"/>
                <w:sz w:val="22"/>
              </w:rPr>
              <w:t>c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DMARDs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and/or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proofErr w:type="spellStart"/>
            <w:r w:rsidR="009458D3" w:rsidRPr="009458D3">
              <w:rPr>
                <w:rFonts w:ascii="Times New Roman" w:hAnsi="Times New Roman" w:cs="Times New Roman"/>
                <w:color w:val="FF0000"/>
                <w:sz w:val="22"/>
              </w:rPr>
              <w:t>bDMARD</w:t>
            </w:r>
            <w:r w:rsidR="00D417CB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</w:t>
            </w:r>
            <w:r w:rsidRPr="009458D3">
              <w:rPr>
                <w:color w:val="FF0000"/>
              </w:rPr>
              <w:t xml:space="preserve"> </w:t>
            </w:r>
            <w:proofErr w:type="spellStart"/>
            <w:r w:rsidR="009458D3" w:rsidRPr="009458D3">
              <w:rPr>
                <w:rFonts w:ascii="Times New Roman" w:hAnsi="Times New Roman" w:cs="Times New Roman"/>
                <w:color w:val="FF0000"/>
                <w:sz w:val="22"/>
              </w:rPr>
              <w:t>TNF</w:t>
            </w:r>
            <w:r w:rsidR="009458D3">
              <w:rPr>
                <w:rFonts w:ascii="Times New Roman" w:hAnsi="Times New Roman" w:cs="Times New Roman"/>
                <w:color w:val="FF0000"/>
                <w:sz w:val="22"/>
              </w:rPr>
              <w:t>a</w:t>
            </w:r>
            <w:proofErr w:type="spellEnd"/>
            <w:r w:rsidR="009458D3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9458D3">
              <w:rPr>
                <w:rFonts w:ascii="Times New Roman" w:hAnsi="Times New Roman" w:cs="Times New Roman"/>
                <w:color w:val="FF0000"/>
                <w:sz w:val="22"/>
              </w:rPr>
              <w:t>inhibitors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efficacy failures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were limited to ≤10% of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randomised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patients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continue stable doses of MTX (</w:t>
            </w:r>
            <w:bookmarkStart w:id="2" w:name="OLE_LINK17"/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≤25 mg/ week</w:t>
            </w:r>
            <w:bookmarkEnd w:id="2"/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), LEF (≤20 mg/day), SSZ (≤2 g/day), or combination.</w:t>
            </w:r>
          </w:p>
        </w:tc>
      </w:tr>
      <w:tr w:rsidR="009C211E" w:rsidRPr="00C07DE0" w:rsidTr="009C211E">
        <w:trPr>
          <w:trHeight w:val="1235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Genovese2007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26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>; ≥ 3 swollen joints and ≥ 3 tender</w:t>
            </w:r>
            <w:r w:rsidR="00D5087A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>or painful joints; receiving concomitant 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or had a history of 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with</w:t>
            </w:r>
            <w:r w:rsidR="00D5087A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>an inadequate response; chronic plaque psoriasis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Oral </w:t>
            </w:r>
            <w:r w:rsidR="009458D3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s </w:t>
            </w:r>
            <w:r w:rsidR="009458D3"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="00704A16" w:rsidRPr="00E37CB2">
              <w:rPr>
                <w:rFonts w:ascii="Times New Roman" w:hAnsi="Times New Roman" w:cs="Times New Roman"/>
                <w:color w:val="231F20"/>
                <w:sz w:val="22"/>
              </w:rPr>
              <w:t>≤ 10 mg</w:t>
            </w:r>
            <w:r w:rsidR="00704A16"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="00704A16" w:rsidRPr="00E37CB2">
              <w:rPr>
                <w:rFonts w:ascii="Times New Roman" w:hAnsi="Times New Roman" w:cs="Times New Roman"/>
                <w:color w:val="231F20"/>
                <w:sz w:val="22"/>
              </w:rPr>
              <w:t>day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704A16" w:rsidRPr="00E37CB2">
              <w:rPr>
                <w:rFonts w:ascii="Times New Roman" w:hAnsi="Times New Roman" w:cs="Times New Roman"/>
                <w:color w:val="231F20"/>
                <w:sz w:val="22"/>
              </w:rPr>
              <w:t>prednisone or equivalent</w:t>
            </w:r>
            <w:r w:rsidR="009458D3">
              <w:rPr>
                <w:rFonts w:ascii="Times New Roman" w:hAnsi="Times New Roman" w:cs="Times New Roman"/>
                <w:color w:val="231F20"/>
                <w:sz w:val="22"/>
              </w:rPr>
              <w:t>);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MTX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9458D3"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="009458D3" w:rsidRPr="00E37CB2">
              <w:rPr>
                <w:rFonts w:ascii="Times New Roman" w:hAnsi="Times New Roman" w:cs="Times New Roman"/>
                <w:color w:val="231F20"/>
                <w:sz w:val="22"/>
              </w:rPr>
              <w:t>≤</w:t>
            </w:r>
            <w:r w:rsidR="009458D3">
              <w:rPr>
                <w:rFonts w:ascii="Times New Roman" w:hAnsi="Times New Roman" w:cs="Times New Roman"/>
                <w:color w:val="231F20"/>
                <w:sz w:val="22"/>
              </w:rPr>
              <w:t>30</w:t>
            </w:r>
            <w:r w:rsidR="009458D3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mg/week</w:t>
            </w:r>
            <w:r w:rsidR="009458D3">
              <w:rPr>
                <w:rFonts w:ascii="Times New Roman" w:hAnsi="Times New Roman" w:cs="Times New Roman"/>
                <w:color w:val="231F20"/>
                <w:sz w:val="22"/>
              </w:rPr>
              <w:t>)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or other DMARD, </w:t>
            </w:r>
            <w:proofErr w:type="gramStart"/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with the exception of</w:t>
            </w:r>
            <w:proofErr w:type="gramEnd"/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proofErr w:type="spellStart"/>
            <w:r w:rsidR="009458D3">
              <w:rPr>
                <w:rFonts w:ascii="Times New Roman" w:hAnsi="Times New Roman" w:cs="Times New Roman"/>
                <w:color w:val="231F20"/>
                <w:sz w:val="22"/>
              </w:rPr>
              <w:t>CsA</w:t>
            </w:r>
            <w:proofErr w:type="spellEnd"/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and </w:t>
            </w:r>
            <w:r w:rsidR="009458D3">
              <w:rPr>
                <w:rFonts w:ascii="Times New Roman" w:hAnsi="Times New Roman" w:cs="Times New Roman"/>
                <w:color w:val="231F20"/>
                <w:sz w:val="22"/>
              </w:rPr>
              <w:t>TAC</w:t>
            </w:r>
            <w:r w:rsidR="004E2DFE">
              <w:rPr>
                <w:rFonts w:ascii="Times New Roman" w:hAnsi="Times New Roman" w:cs="Times New Roman"/>
                <w:color w:val="231F20"/>
                <w:sz w:val="22"/>
              </w:rPr>
              <w:t>.</w:t>
            </w:r>
          </w:p>
        </w:tc>
      </w:tr>
      <w:tr w:rsidR="009C211E" w:rsidRPr="00C07DE0" w:rsidTr="009C211E">
        <w:trPr>
          <w:trHeight w:val="272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Gladman2017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18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>; ≥6 months duration;</w:t>
            </w:r>
            <w:bookmarkStart w:id="3" w:name="OLE_LINK7"/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≥ 3 swollen joints and ≥ 3 tender or painful joints</w:t>
            </w:r>
            <w:bookmarkEnd w:id="3"/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inadequate response to ≥ one </w:t>
            </w:r>
            <w:r w:rsidR="00CA7E96" w:rsidRPr="009458D3">
              <w:rPr>
                <w:rFonts w:ascii="Times New Roman" w:hAnsi="Times New Roman" w:cs="Times New Roman"/>
                <w:color w:val="FF0000"/>
                <w:sz w:val="22"/>
              </w:rPr>
              <w:t>anti-TNF agent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A stable dose of a single </w:t>
            </w:r>
            <w:proofErr w:type="spellStart"/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cDMARD</w:t>
            </w:r>
            <w:proofErr w:type="spellEnd"/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.</w:t>
            </w:r>
          </w:p>
        </w:tc>
      </w:tr>
      <w:tr w:rsidR="009C211E" w:rsidRPr="00C07DE0" w:rsidTr="009C211E">
        <w:trPr>
          <w:trHeight w:val="518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Gottlieb2009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27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>; ≥6 months duration; active</w:t>
            </w:r>
            <w:r w:rsidR="00D5087A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plaque psoriasis, with a qualifying target lesion ≥2 cm in size; an inadequate 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lastRenderedPageBreak/>
              <w:t>response to DMARDs, NSAIDs,</w:t>
            </w:r>
            <w:r w:rsidR="004E2DF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4E2DFE" w:rsidRPr="009458D3">
              <w:rPr>
                <w:rFonts w:ascii="Times New Roman" w:hAnsi="Times New Roman" w:cs="Times New Roman"/>
                <w:color w:val="FF0000"/>
                <w:sz w:val="22"/>
              </w:rPr>
              <w:t>TNF inhibitors</w:t>
            </w:r>
            <w:r w:rsidR="00D5087A" w:rsidRPr="009458D3">
              <w:rPr>
                <w:rFonts w:ascii="Times New Roman" w:hAnsi="Times New Roman" w:cs="Times New Roman"/>
                <w:color w:val="FF0000"/>
                <w:sz w:val="22"/>
              </w:rPr>
              <w:t>, or a combination of these;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lastRenderedPageBreak/>
              <w:t>Stable regimens of MTX (</w:t>
            </w:r>
            <w:r w:rsidR="00016EA1" w:rsidRPr="00E37CB2">
              <w:rPr>
                <w:rFonts w:ascii="Times New Roman" w:hAnsi="Times New Roman" w:cs="Times New Roman"/>
                <w:color w:val="231F20"/>
                <w:sz w:val="22"/>
              </w:rPr>
              <w:t>≤25 mg/week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), </w:t>
            </w:r>
            <w:r w:rsidR="00016EA1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 (</w:t>
            </w:r>
            <w:r w:rsidR="00016EA1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≤ 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10 mg</w:t>
            </w:r>
            <w:r w:rsidR="00016EA1"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day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prednisone or equivalent), NSAIDS, or a combination of these 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lastRenderedPageBreak/>
              <w:t>drugs.</w:t>
            </w:r>
          </w:p>
        </w:tc>
      </w:tr>
      <w:tr w:rsidR="009C211E" w:rsidRPr="00C07DE0" w:rsidTr="009C211E">
        <w:trPr>
          <w:trHeight w:val="817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Kavanaugh2017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28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4A5C28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4A5C28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;</w:t>
            </w:r>
            <w:r w:rsidR="004A5C28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≥ 6 months duration; active </w:t>
            </w:r>
            <w:proofErr w:type="spellStart"/>
            <w:r w:rsidR="004A5C28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4A5C28" w:rsidRPr="009458D3">
              <w:rPr>
                <w:rFonts w:ascii="Times New Roman" w:hAnsi="Times New Roman" w:cs="Times New Roman"/>
                <w:color w:val="FF0000"/>
                <w:sz w:val="22"/>
              </w:rPr>
              <w:t>; despite current or previous 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r w:rsidR="004A5C28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(≥ 3 months) and/or</w:t>
            </w:r>
          </w:p>
          <w:p w:rsidR="009C211E" w:rsidRPr="009458D3" w:rsidRDefault="004A5C28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NSAID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therapy (≥ 4 weeks) or demonstrate intolerance to these agents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016EA1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MTX (≤25 mg/week)</w:t>
            </w:r>
            <w:r w:rsidR="008F020D">
              <w:rPr>
                <w:rFonts w:ascii="Times New Roman" w:hAnsi="Times New Roman" w:cs="Times New Roman"/>
                <w:color w:val="231F20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 (≤ 10 mg/day</w:t>
            </w:r>
            <w:r w:rsidR="008F020D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8F020D" w:rsidRPr="00E37CB2">
              <w:rPr>
                <w:rFonts w:ascii="Times New Roman" w:hAnsi="Times New Roman" w:cs="Times New Roman"/>
                <w:color w:val="231F20"/>
                <w:sz w:val="22"/>
              </w:rPr>
              <w:t>prednisone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 or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equivalent)</w:t>
            </w:r>
            <w:r w:rsidR="008F020D">
              <w:rPr>
                <w:rFonts w:ascii="Times New Roman" w:hAnsi="Times New Roman" w:cs="Times New Roman"/>
                <w:color w:val="231F20"/>
                <w:sz w:val="22"/>
              </w:rPr>
              <w:t xml:space="preserve">, and 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NSAIDs</w:t>
            </w:r>
            <w:r w:rsidR="004E2DFE">
              <w:rPr>
                <w:rFonts w:ascii="Times New Roman" w:hAnsi="Times New Roman" w:cs="Times New Roman"/>
                <w:color w:val="231F20"/>
                <w:sz w:val="22"/>
              </w:rPr>
              <w:t>.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</w:p>
        </w:tc>
      </w:tr>
      <w:tr w:rsidR="009C211E" w:rsidRPr="00C07DE0" w:rsidTr="009C211E">
        <w:trPr>
          <w:trHeight w:val="27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Kavanaugh2009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29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4A5C28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active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 despite therapy with DMARDs or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NSAIDs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Stable doses of MTX, NSAIDs, and </w:t>
            </w:r>
            <w:r w:rsidR="00122452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</w:t>
            </w:r>
            <w:r w:rsidR="009F62C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="008256ED" w:rsidRPr="00E37CB2">
              <w:rPr>
                <w:rFonts w:ascii="Times New Roman" w:hAnsi="Times New Roman" w:cs="Times New Roman"/>
                <w:color w:val="231F20"/>
                <w:sz w:val="22"/>
              </w:rPr>
              <w:t>≤10mg/day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 of</w:t>
            </w:r>
            <w:r w:rsidR="008256ED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prednisone or equivalent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)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.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Kavanaugh2014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30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023E08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aged ≥ 18 years; active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 despite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prior treatment with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cDMARDs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and/or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bDMARDs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or concurrent treatment with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cDMARDs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  <w:r w:rsidR="004E2DFE" w:rsidRPr="009458D3">
              <w:rPr>
                <w:rFonts w:ascii="Times New Roman" w:hAnsi="Times New Roman" w:cs="Times New Roman"/>
                <w:color w:val="FF0000"/>
                <w:sz w:val="22"/>
              </w:rPr>
              <w:t>TNF inhibitors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efficacy failures were limited to ≤10% of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enrolled patients.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stable dose</w:t>
            </w:r>
            <w:r w:rsidR="008F020D">
              <w:rPr>
                <w:rFonts w:ascii="Times New Roman" w:hAnsi="Times New Roman" w:cs="Times New Roman"/>
                <w:color w:val="231F20"/>
                <w:sz w:val="22"/>
              </w:rPr>
              <w:t xml:space="preserve"> of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MTX </w:t>
            </w:r>
            <w:r w:rsidR="008F020D"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="008F020D" w:rsidRPr="00E37CB2">
              <w:rPr>
                <w:rFonts w:ascii="Times New Roman" w:hAnsi="Times New Roman" w:cs="Times New Roman"/>
                <w:color w:val="231F20"/>
                <w:sz w:val="22"/>
              </w:rPr>
              <w:t>≤25 mg/week</w:t>
            </w:r>
            <w:r w:rsidR="008F020D">
              <w:rPr>
                <w:rFonts w:ascii="Times New Roman" w:hAnsi="Times New Roman" w:cs="Times New Roman"/>
                <w:color w:val="231F20"/>
                <w:sz w:val="22"/>
              </w:rPr>
              <w:t>)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>,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LEF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8F020D"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="008F020D" w:rsidRPr="00E37CB2">
              <w:rPr>
                <w:rFonts w:ascii="Times New Roman" w:hAnsi="Times New Roman" w:cs="Times New Roman"/>
                <w:color w:val="231F20"/>
                <w:sz w:val="22"/>
              </w:rPr>
              <w:t>≤20 mg/day</w:t>
            </w:r>
            <w:r w:rsidR="008F020D">
              <w:rPr>
                <w:rFonts w:ascii="Times New Roman" w:hAnsi="Times New Roman" w:cs="Times New Roman"/>
                <w:color w:val="231F20"/>
                <w:sz w:val="22"/>
              </w:rPr>
              <w:t>)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, 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SSZ ≤2g/day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, 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or a combination). Stable doses of oral 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 (≤10 mg/day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D417CB" w:rsidRPr="00E37CB2">
              <w:rPr>
                <w:rFonts w:ascii="Times New Roman" w:hAnsi="Times New Roman" w:cs="Times New Roman"/>
                <w:color w:val="231F20"/>
                <w:sz w:val="22"/>
              </w:rPr>
              <w:t>prednisone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or equivalent) and NSAIDs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McInnes 2013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31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023E08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≥ 6 months duration;</w:t>
            </w:r>
            <w:r w:rsidRPr="009458D3">
              <w:rPr>
                <w:color w:val="FF0000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despite 3 months or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more of treatment with DMARDs or 4 weeks or more of treatment with NSAIDs, or both, </w:t>
            </w:r>
            <w:proofErr w:type="gram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or</w:t>
            </w:r>
            <w:proofErr w:type="gram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with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intolerance to these treatments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NA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</w:t>
            </w:r>
            <w:proofErr w:type="spellEnd"/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 xml:space="preserve"> 2011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32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CA7E96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≥3 months duration; </w:t>
            </w:r>
            <w:r w:rsidR="00023E08" w:rsidRPr="009458D3">
              <w:rPr>
                <w:rFonts w:ascii="Times New Roman" w:hAnsi="Times New Roman" w:cs="Times New Roman"/>
                <w:color w:val="FF0000"/>
                <w:sz w:val="22"/>
              </w:rPr>
              <w:t>active arthritis;</w:t>
            </w:r>
            <w:r w:rsidR="00023E08" w:rsidRPr="009458D3">
              <w:rPr>
                <w:color w:val="FF0000"/>
              </w:rPr>
              <w:t xml:space="preserve"> </w:t>
            </w:r>
            <w:r w:rsidR="00023E08" w:rsidRPr="009458D3">
              <w:rPr>
                <w:rFonts w:ascii="Times New Roman" w:hAnsi="Times New Roman" w:cs="Times New Roman"/>
                <w:color w:val="FF0000"/>
                <w:sz w:val="22"/>
              </w:rPr>
              <w:t>active plaque psoriasis;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had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an inadequate response to DMARDs, including, but not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limited to, MTX or </w:t>
            </w:r>
            <w:r w:rsidR="004E2DFE" w:rsidRPr="009458D3">
              <w:rPr>
                <w:rFonts w:ascii="Times New Roman" w:hAnsi="Times New Roman" w:cs="Times New Roman"/>
                <w:color w:val="FF0000"/>
                <w:sz w:val="22"/>
              </w:rPr>
              <w:t>TNF inhibitors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MTX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Mease2018(1)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33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CA7E96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≥ 6 months duration; moderate-to-severe </w:t>
            </w:r>
            <w:proofErr w:type="spellStart"/>
            <w:r w:rsidR="00CA7E96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CA7E96" w:rsidRPr="009458D3">
              <w:rPr>
                <w:rFonts w:ascii="Times New Roman" w:hAnsi="Times New Roman" w:cs="Times New Roman"/>
                <w:color w:val="FF0000"/>
                <w:sz w:val="22"/>
              </w:rPr>
              <w:t>; despite ≥4 weeks of treatment with</w:t>
            </w:r>
            <w:r w:rsidR="00CA7E96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CA7E96" w:rsidRPr="009458D3">
              <w:rPr>
                <w:rFonts w:ascii="Times New Roman" w:hAnsi="Times New Roman" w:cs="Times New Roman"/>
                <w:color w:val="FF0000"/>
                <w:sz w:val="22"/>
              </w:rPr>
              <w:t>NSAIDs, or an intolerance to them.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Concomitant </w:t>
            </w:r>
            <w:r w:rsidR="00B514C4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="00B514C4" w:rsidRPr="00B514C4">
              <w:rPr>
                <w:rFonts w:ascii="Times New Roman" w:hAnsi="Times New Roman" w:cs="Times New Roman"/>
                <w:color w:val="231F20"/>
                <w:sz w:val="22"/>
              </w:rPr>
              <w:t>s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(≤10mg/day prednisone or equivalent), NSAIDs and MTX (≤25mg/week).</w:t>
            </w:r>
          </w:p>
        </w:tc>
      </w:tr>
      <w:tr w:rsidR="009C211E" w:rsidRPr="00C07DE0" w:rsidTr="009C211E">
        <w:trPr>
          <w:trHeight w:val="51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Mease2014(1)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34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0315D9" w:rsidRPr="009458D3">
              <w:rPr>
                <w:rFonts w:ascii="Times New Roman" w:hAnsi="Times New Roman" w:cs="Times New Roman"/>
                <w:color w:val="FF0000"/>
                <w:sz w:val="22"/>
              </w:rPr>
              <w:t>; ≥ 6 months duration;</w:t>
            </w:r>
            <w:r w:rsidR="000315D9" w:rsidRPr="009458D3">
              <w:rPr>
                <w:color w:val="FF0000"/>
              </w:rPr>
              <w:t xml:space="preserve"> </w:t>
            </w:r>
            <w:r w:rsidR="000315D9" w:rsidRPr="009458D3">
              <w:rPr>
                <w:rFonts w:ascii="Times New Roman" w:hAnsi="Times New Roman" w:cs="Times New Roman"/>
                <w:color w:val="FF0000"/>
                <w:sz w:val="22"/>
              </w:rPr>
              <w:t>previously failed ≥1 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r w:rsidR="000315D9" w:rsidRPr="009458D3">
              <w:rPr>
                <w:rFonts w:ascii="Times New Roman" w:hAnsi="Times New Roman" w:cs="Times New Roman"/>
                <w:color w:val="FF0000"/>
                <w:sz w:val="22"/>
              </w:rPr>
              <w:t>; active psoriatic skin lesions or a documented history of psoriasis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NA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Mease2014(2)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17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0315D9" w:rsidRPr="009458D3">
              <w:rPr>
                <w:rFonts w:ascii="Times New Roman" w:hAnsi="Times New Roman" w:cs="Times New Roman"/>
                <w:color w:val="FF0000"/>
                <w:sz w:val="22"/>
              </w:rPr>
              <w:t>;</w:t>
            </w:r>
            <w:r w:rsidR="000315D9" w:rsidRPr="009458D3">
              <w:rPr>
                <w:color w:val="FF0000"/>
              </w:rPr>
              <w:t xml:space="preserve"> </w:t>
            </w:r>
            <w:r w:rsidR="000315D9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≥ 3 swollen joints and ≥ 3 tender joints; 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B514C4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stable doses of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MTX 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>(≤25 mg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 week),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LEF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 (≤20 mg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day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),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>s (≤10 mg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day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 prednisone </w:t>
            </w:r>
            <w:r w:rsidR="00C25FCC">
              <w:rPr>
                <w:rFonts w:ascii="Times New Roman" w:hAnsi="Times New Roman" w:cs="Times New Roman" w:hint="eastAsia"/>
                <w:color w:val="231F20"/>
                <w:sz w:val="22"/>
              </w:rPr>
              <w:t>or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equivalent), or 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NSAIDs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Mease2018(2)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19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B514C4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18 years of age;</w:t>
            </w:r>
            <w:r w:rsidR="006401C4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="006401C4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3 months duration; active </w:t>
            </w:r>
            <w:proofErr w:type="spellStart"/>
            <w:r w:rsidR="006401C4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6401C4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50FF2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950FF2">
              <w:rPr>
                <w:rFonts w:ascii="Times New Roman" w:hAnsi="Times New Roman" w:cs="Times New Roman"/>
                <w:color w:val="231F20"/>
                <w:sz w:val="22"/>
              </w:rPr>
              <w:t xml:space="preserve">stable dose of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MTX</w:t>
            </w:r>
            <w:r w:rsidRPr="00950FF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="008256ED" w:rsidRPr="00950FF2">
              <w:rPr>
                <w:rFonts w:ascii="Times New Roman" w:hAnsi="Times New Roman" w:cs="Times New Roman"/>
                <w:color w:val="231F20"/>
                <w:sz w:val="22"/>
              </w:rPr>
              <w:t>≥10 mg/</w:t>
            </w:r>
            <w:r w:rsidR="008256ED" w:rsidRPr="00B514C4">
              <w:rPr>
                <w:rFonts w:ascii="Times New Roman" w:hAnsi="Times New Roman" w:cs="Times New Roman"/>
                <w:color w:val="231F20"/>
                <w:sz w:val="22"/>
              </w:rPr>
              <w:t>week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).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Mease2005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35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50FF2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moderately to severely active </w:t>
            </w:r>
            <w:proofErr w:type="spellStart"/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>; with a history of an inadequate response or</w:t>
            </w:r>
            <w:r w:rsidR="00950FF2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intolerance to </w:t>
            </w:r>
            <w:bookmarkStart w:id="4" w:name="OLE_LINK8"/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>NSAIDs</w:t>
            </w:r>
            <w:bookmarkEnd w:id="4"/>
          </w:p>
          <w:p w:rsidR="009C211E" w:rsidRPr="009458D3" w:rsidRDefault="009C211E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8256ED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950FF2">
              <w:rPr>
                <w:rFonts w:ascii="Times New Roman" w:hAnsi="Times New Roman" w:cs="Times New Roman"/>
                <w:color w:val="231F20"/>
                <w:sz w:val="22"/>
              </w:rPr>
              <w:t>stable dose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of 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MTX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.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sz w:val="22"/>
              </w:rPr>
              <w:t>Mease2000</w:t>
            </w:r>
            <w:r w:rsidRPr="00E37CB2">
              <w:rPr>
                <w:rFonts w:ascii="Times New Roman" w:hAnsi="Times New Roman" w:cs="Times New Roman"/>
                <w:noProof/>
                <w:sz w:val="22"/>
                <w:vertAlign w:val="superscript"/>
              </w:rPr>
              <w:t>36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active </w:t>
            </w:r>
            <w:proofErr w:type="spellStart"/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>;</w:t>
            </w:r>
            <w:r w:rsidR="00950FF2" w:rsidRPr="009458D3">
              <w:rPr>
                <w:color w:val="FF0000"/>
              </w:rPr>
              <w:t xml:space="preserve"> </w:t>
            </w:r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>inadequate</w:t>
            </w:r>
            <w:r w:rsidR="00950FF2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950FF2" w:rsidRPr="009458D3">
              <w:rPr>
                <w:rFonts w:ascii="Times New Roman" w:hAnsi="Times New Roman" w:cs="Times New Roman"/>
                <w:color w:val="FF0000"/>
                <w:sz w:val="22"/>
              </w:rPr>
              <w:t>response to NSAIDs.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F62C2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stable </w:t>
            </w:r>
            <w:bookmarkStart w:id="5" w:name="OLE_LINK19"/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>doses of</w:t>
            </w:r>
            <w:bookmarkEnd w:id="5"/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MTX 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>(≤25 mg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 week)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;</w:t>
            </w:r>
            <w:r>
              <w:t xml:space="preserve"> 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9F62C2">
              <w:rPr>
                <w:rFonts w:ascii="Times New Roman" w:hAnsi="Times New Roman" w:cs="Times New Roman"/>
                <w:color w:val="231F20"/>
                <w:sz w:val="22"/>
              </w:rPr>
              <w:t>s</w:t>
            </w:r>
            <w:r w:rsidR="004E2DFE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8256ED" w:rsidRPr="00B514C4">
              <w:rPr>
                <w:rFonts w:ascii="Times New Roman" w:hAnsi="Times New Roman" w:cs="Times New Roman"/>
                <w:color w:val="231F20"/>
                <w:sz w:val="22"/>
              </w:rPr>
              <w:t>(≤10 mg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="008256ED" w:rsidRPr="00E37CB2">
              <w:rPr>
                <w:rFonts w:ascii="Times New Roman" w:hAnsi="Times New Roman" w:cs="Times New Roman"/>
                <w:color w:val="231F20"/>
                <w:sz w:val="22"/>
              </w:rPr>
              <w:t>day</w:t>
            </w:r>
            <w:r w:rsidR="008256ED"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 of prednisone equivalent)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.</w:t>
            </w:r>
            <w:r w:rsidRPr="009F62C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Mease2016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16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9F62C2" w:rsidRPr="009458D3">
              <w:rPr>
                <w:rFonts w:ascii="Times New Roman" w:hAnsi="Times New Roman" w:cs="Times New Roman"/>
                <w:color w:val="FF0000"/>
                <w:sz w:val="22"/>
              </w:rPr>
              <w:t>; an inadequate</w:t>
            </w:r>
            <w:r w:rsidR="009F62C2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9F62C2" w:rsidRPr="009458D3">
              <w:rPr>
                <w:rFonts w:ascii="Times New Roman" w:hAnsi="Times New Roman" w:cs="Times New Roman"/>
                <w:color w:val="FF0000"/>
                <w:sz w:val="22"/>
              </w:rPr>
              <w:t>response to NSAIDs and/or DMARDs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MTX</w:t>
            </w:r>
            <w:r w:rsidR="003E2549">
              <w:rPr>
                <w:rFonts w:ascii="Times New Roman" w:hAnsi="Times New Roman" w:cs="Times New Roman"/>
                <w:color w:val="231F20"/>
                <w:sz w:val="22"/>
              </w:rPr>
              <w:t>, s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table</w:t>
            </w:r>
            <w:r w:rsidR="003E2549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3E2549" w:rsidRPr="00B514C4">
              <w:rPr>
                <w:rFonts w:ascii="Times New Roman" w:hAnsi="Times New Roman" w:cs="Times New Roman"/>
                <w:color w:val="231F20"/>
                <w:sz w:val="22"/>
              </w:rPr>
              <w:t>doses of</w:t>
            </w:r>
            <w:r w:rsidR="003E2549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8256ED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 (≤10 mg/day</w:t>
            </w:r>
            <w:r w:rsidR="00C25FCC" w:rsidRPr="00B514C4">
              <w:rPr>
                <w:rFonts w:ascii="Times New Roman" w:hAnsi="Times New Roman" w:cs="Times New Roman"/>
                <w:color w:val="231F20"/>
                <w:sz w:val="22"/>
              </w:rPr>
              <w:t xml:space="preserve"> prednisone </w:t>
            </w:r>
            <w:r w:rsidR="00C25FCC">
              <w:rPr>
                <w:rFonts w:ascii="Times New Roman" w:hAnsi="Times New Roman" w:cs="Times New Roman" w:hint="eastAsia"/>
                <w:color w:val="231F20"/>
                <w:sz w:val="22"/>
              </w:rPr>
              <w:t>or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C25FCC" w:rsidRPr="00B514C4">
              <w:rPr>
                <w:rFonts w:ascii="Times New Roman" w:hAnsi="Times New Roman" w:cs="Times New Roman"/>
                <w:color w:val="231F20"/>
                <w:sz w:val="22"/>
              </w:rPr>
              <w:t>equivalent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)</w:t>
            </w:r>
            <w:r w:rsidR="003E2549">
              <w:rPr>
                <w:rFonts w:ascii="Times New Roman" w:hAnsi="Times New Roman" w:cs="Times New Roman"/>
                <w:color w:val="231F20"/>
                <w:sz w:val="22"/>
              </w:rPr>
              <w:t>,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and NSAIDs</w:t>
            </w:r>
            <w:r w:rsidR="003E2549">
              <w:rPr>
                <w:rFonts w:ascii="Times New Roman" w:hAnsi="Times New Roman" w:cs="Times New Roman"/>
                <w:color w:val="231F20"/>
                <w:sz w:val="22"/>
              </w:rPr>
              <w:t>.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Mease2017(1)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37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F62C2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9F62C2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active </w:t>
            </w:r>
            <w:bookmarkStart w:id="6" w:name="OLE_LINK9"/>
            <w:proofErr w:type="spellStart"/>
            <w:r w:rsidR="009F62C2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9F62C2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  <w:bookmarkEnd w:id="6"/>
            <w:r w:rsidR="009F62C2" w:rsidRPr="009458D3">
              <w:rPr>
                <w:rFonts w:ascii="Times New Roman" w:hAnsi="Times New Roman" w:cs="Times New Roman"/>
                <w:color w:val="FF0000"/>
                <w:sz w:val="22"/>
              </w:rPr>
              <w:t>inadequate response</w:t>
            </w:r>
          </w:p>
          <w:p w:rsidR="009C211E" w:rsidRPr="009458D3" w:rsidRDefault="009F62C2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or intolerance to ≥1</w:t>
            </w:r>
            <w:r w:rsidR="002118BE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bookmarkStart w:id="7" w:name="_Hlk37588544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non-biologic DMARD</w:t>
            </w:r>
            <w:bookmarkEnd w:id="7"/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MTX, LEF, SSZ or HCQ, NSAIDs and oral </w:t>
            </w:r>
            <w:r w:rsidR="003E2549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s (&lt;10mg/day) 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Mease2015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38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AA580B" w:rsidRPr="009458D3" w:rsidRDefault="00AA580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aged ≥18 years; active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 despite previous</w:t>
            </w:r>
          </w:p>
          <w:p w:rsidR="009C211E" w:rsidRPr="009458D3" w:rsidRDefault="00AA580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treatment with </w:t>
            </w:r>
            <w:r w:rsidR="00122452" w:rsidRPr="009458D3">
              <w:rPr>
                <w:rFonts w:ascii="Times New Roman" w:hAnsi="Times New Roman" w:cs="Times New Roman"/>
                <w:color w:val="FF0000"/>
                <w:sz w:val="22"/>
              </w:rPr>
              <w:t>NSAID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s, DMARDs,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or TNF inhibitors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oral </w:t>
            </w:r>
            <w:r w:rsidR="003E2549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 (≤10 mg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day prednisone or equivalent) and MTX (≤25 mg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>/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week).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Mease2017(2)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39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714B66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18 years of age; ≥6 months duration; </w:t>
            </w:r>
            <w:bookmarkStart w:id="8" w:name="_Hlk37588611"/>
            <w:r w:rsidR="00AA580B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naive to biologic </w:t>
            </w:r>
            <w:bookmarkEnd w:id="8"/>
            <w:r w:rsidR="00AA580B" w:rsidRPr="009458D3">
              <w:rPr>
                <w:rFonts w:ascii="Times New Roman" w:hAnsi="Times New Roman" w:cs="Times New Roman"/>
                <w:color w:val="FF0000"/>
                <w:sz w:val="22"/>
              </w:rPr>
              <w:t>therapy with active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8906AF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NSAIDs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;</w:t>
            </w:r>
            <w:r>
              <w:t xml:space="preserve"> </w:t>
            </w:r>
            <w:proofErr w:type="spellStart"/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cDMARDs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2"/>
              </w:rPr>
              <w:t>;</w:t>
            </w:r>
            <w:r>
              <w:t xml:space="preserve"> 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Topical Steroids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;</w:t>
            </w:r>
            <w:r>
              <w:t xml:space="preserve"> 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Oral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Corticosteroids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 (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≤10 mg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/day prednisone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or equivalent)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Nash 2017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40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714B66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18 years of age; ≥6 months duration; limited to patients who were previously treated with TNF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inhibitors and had an inadequate response to one or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two TNF inhibitors or were intolerant to TNF inhibitors.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714B66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714B66">
              <w:rPr>
                <w:rFonts w:ascii="Times New Roman" w:hAnsi="Times New Roman" w:cs="Times New Roman"/>
                <w:color w:val="231F20"/>
                <w:sz w:val="22"/>
              </w:rPr>
              <w:t>stable doses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 xml:space="preserve"> of</w:t>
            </w: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 xml:space="preserve"> </w:t>
            </w:r>
            <w:proofErr w:type="spellStart"/>
            <w:r w:rsidRPr="00714B66">
              <w:rPr>
                <w:rFonts w:ascii="Times New Roman" w:hAnsi="Times New Roman" w:cs="Times New Roman"/>
                <w:color w:val="231F20"/>
                <w:sz w:val="22"/>
              </w:rPr>
              <w:t>cDMARDs</w:t>
            </w:r>
            <w:proofErr w:type="spellEnd"/>
            <w:r w:rsidRPr="00714B66">
              <w:rPr>
                <w:rFonts w:ascii="Times New Roman" w:hAnsi="Times New Roman" w:cs="Times New Roman"/>
                <w:color w:val="231F20"/>
                <w:sz w:val="22"/>
              </w:rPr>
              <w:t xml:space="preserve">, oral 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Pr="00714B66">
              <w:rPr>
                <w:rFonts w:ascii="Times New Roman" w:hAnsi="Times New Roman" w:cs="Times New Roman"/>
                <w:color w:val="231F20"/>
                <w:sz w:val="22"/>
              </w:rPr>
              <w:t>s,</w:t>
            </w: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 xml:space="preserve"> </w:t>
            </w:r>
            <w:r w:rsidRPr="00714B66">
              <w:rPr>
                <w:rFonts w:ascii="Times New Roman" w:hAnsi="Times New Roman" w:cs="Times New Roman"/>
                <w:color w:val="231F20"/>
                <w:sz w:val="22"/>
              </w:rPr>
              <w:t xml:space="preserve">opiates, 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>NSAID</w:t>
            </w:r>
            <w:r w:rsidRPr="00714B66">
              <w:rPr>
                <w:rFonts w:ascii="Times New Roman" w:hAnsi="Times New Roman" w:cs="Times New Roman"/>
                <w:color w:val="231F20"/>
                <w:sz w:val="22"/>
              </w:rPr>
              <w:t>s, and</w:t>
            </w: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 xml:space="preserve"> </w:t>
            </w:r>
            <w:r w:rsidRPr="00714B66">
              <w:rPr>
                <w:rFonts w:ascii="Times New Roman" w:hAnsi="Times New Roman" w:cs="Times New Roman"/>
                <w:color w:val="231F20"/>
                <w:sz w:val="22"/>
              </w:rPr>
              <w:t>cyclo-oxygenase-2 inhibitors.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37CB2">
              <w:rPr>
                <w:rFonts w:ascii="Times New Roman" w:hAnsi="Times New Roman" w:cs="Times New Roman"/>
                <w:sz w:val="22"/>
              </w:rPr>
              <w:t>Mease</w:t>
            </w:r>
            <w:proofErr w:type="spellEnd"/>
            <w:r w:rsidRPr="00E37CB2">
              <w:rPr>
                <w:rFonts w:ascii="Times New Roman" w:hAnsi="Times New Roman" w:cs="Times New Roman"/>
                <w:sz w:val="22"/>
              </w:rPr>
              <w:t xml:space="preserve"> 2004</w:t>
            </w:r>
            <w:r w:rsidRPr="00E37CB2">
              <w:rPr>
                <w:rFonts w:ascii="Times New Roman" w:hAnsi="Times New Roman" w:cs="Times New Roman"/>
                <w:noProof/>
                <w:sz w:val="22"/>
                <w:vertAlign w:val="superscript"/>
              </w:rPr>
              <w:t>41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8906AF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18 years of age; active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C25FCC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stable dosage of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8906AF" w:rsidRPr="00E37CB2">
              <w:rPr>
                <w:rFonts w:ascii="Times New Roman" w:hAnsi="Times New Roman" w:cs="Times New Roman"/>
                <w:color w:val="231F20"/>
                <w:sz w:val="22"/>
              </w:rPr>
              <w:t>MTX</w:t>
            </w:r>
            <w:r w:rsidR="004E2DFE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≤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25 mg/week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)</w:t>
            </w:r>
            <w:r w:rsidR="008906AF">
              <w:rPr>
                <w:rFonts w:ascii="Times New Roman" w:hAnsi="Times New Roman" w:cs="Times New Roman"/>
                <w:color w:val="231F20"/>
                <w:sz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="004E2DFE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≤10 mg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/day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prednisone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Pr="008906AF">
              <w:rPr>
                <w:rFonts w:ascii="Times New Roman" w:hAnsi="Times New Roman" w:cs="Times New Roman"/>
                <w:color w:val="231F20"/>
                <w:sz w:val="22"/>
              </w:rPr>
              <w:t>or equivalent)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Nash 2018(1)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42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322883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≥ 18 years of age; active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 despite previous treatment with NSAIDs, DMARDS,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or </w:t>
            </w:r>
            <w:r w:rsidR="004E2DFE" w:rsidRPr="009458D3">
              <w:rPr>
                <w:rFonts w:ascii="Times New Roman" w:hAnsi="Times New Roman" w:cs="Times New Roman"/>
                <w:color w:val="FF0000"/>
                <w:sz w:val="22"/>
              </w:rPr>
              <w:t>TNF inhibitors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C25FCC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>s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table doses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>of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>o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ral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 GC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s (≤ 10 mg/day prednisone or equivalent) and MTX (≤ 25 mg/week) 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Nash 2018(2)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43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322883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18 years of age; active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  <w:proofErr w:type="spellStart"/>
            <w:r w:rsidR="00C62D48" w:rsidRPr="009458D3">
              <w:rPr>
                <w:rFonts w:ascii="Times New Roman" w:hAnsi="Times New Roman" w:cs="Times New Roman"/>
                <w:color w:val="FF0000"/>
                <w:sz w:val="22"/>
              </w:rPr>
              <w:t>bDMARD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  <w:r w:rsidR="00C62D48" w:rsidRPr="009458D3">
              <w:rPr>
                <w:rFonts w:ascii="Times New Roman" w:hAnsi="Times New Roman" w:cs="Times New Roman"/>
                <w:color w:val="FF0000"/>
                <w:sz w:val="22"/>
              </w:rPr>
              <w:t>n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aïve Patients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C25FCC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>s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table doses of oral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s (</w:t>
            </w:r>
            <w:bookmarkStart w:id="9" w:name="OLE_LINK20"/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≤ 10 mg/day prednisone or equivalent</w:t>
            </w:r>
            <w:bookmarkEnd w:id="9"/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), NSAIDs or opioid analgesics.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Ritchlin</w:t>
            </w:r>
            <w:proofErr w:type="spellEnd"/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 xml:space="preserve"> 2014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44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E87E74" w:rsidRPr="009458D3" w:rsidRDefault="00E87E74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Adult patients;</w:t>
            </w:r>
            <w:r w:rsidRPr="009458D3">
              <w:rPr>
                <w:rFonts w:hint="eastAsia"/>
                <w:color w:val="FF0000"/>
              </w:rPr>
              <w:t xml:space="preserve"> 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6 months duration; Active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</w:t>
            </w:r>
            <w:r w:rsidRPr="009458D3">
              <w:rPr>
                <w:color w:val="FF0000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despite</w:t>
            </w:r>
          </w:p>
          <w:p w:rsidR="009C211E" w:rsidRPr="009458D3" w:rsidRDefault="00E87E74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3 months of 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, ≥4 weeks of NSAIDs therapy and/or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lastRenderedPageBreak/>
              <w:t>≥8(etanercept, adalimumab, golimumab, certolizumab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pegol) or 14 (infliximab) continuous weeks of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="004E2DFE" w:rsidRPr="009458D3">
              <w:rPr>
                <w:rFonts w:ascii="Times New Roman" w:hAnsi="Times New Roman" w:cs="Times New Roman"/>
                <w:color w:val="FF0000"/>
                <w:sz w:val="22"/>
              </w:rPr>
              <w:t>TNF inhibitors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(or less if patient was intolerant of </w:t>
            </w:r>
            <w:r w:rsidR="004E2DFE" w:rsidRPr="009458D3">
              <w:rPr>
                <w:rFonts w:ascii="Times New Roman" w:hAnsi="Times New Roman" w:cs="Times New Roman"/>
                <w:color w:val="FF0000"/>
                <w:sz w:val="22"/>
              </w:rPr>
              <w:t>TNF inhibitors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)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C25FCC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lastRenderedPageBreak/>
              <w:t>s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table doses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>of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MTX (≤25 mg/week)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,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NSAIDs and oral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s (</w:t>
            </w:r>
            <w:r w:rsidR="00D417CB" w:rsidRPr="00E37CB2">
              <w:rPr>
                <w:rFonts w:ascii="Times New Roman" w:hAnsi="Times New Roman" w:cs="Times New Roman"/>
                <w:color w:val="231F20"/>
                <w:sz w:val="22"/>
              </w:rPr>
              <w:t>≤ 10 mg/day prednisone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)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Schett</w:t>
            </w:r>
            <w:proofErr w:type="spellEnd"/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 xml:space="preserve"> 2012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45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9458D3" w:rsidRDefault="00D417CB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 years of age</w:t>
            </w:r>
            <w:r w:rsidR="00E87E74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; </w:t>
            </w:r>
            <w:r w:rsidR="00E87E74"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="00E87E74" w:rsidRPr="009458D3">
              <w:rPr>
                <w:rFonts w:ascii="Times New Roman" w:hAnsi="Times New Roman" w:cs="Times New Roman"/>
                <w:color w:val="FF0000"/>
                <w:sz w:val="22"/>
              </w:rPr>
              <w:t>6 months duration;</w:t>
            </w:r>
            <w:r w:rsidR="00E87E74" w:rsidRPr="009458D3">
              <w:rPr>
                <w:color w:val="FF0000"/>
              </w:rPr>
              <w:t xml:space="preserve"> </w:t>
            </w:r>
            <w:r w:rsidR="00E87E74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active </w:t>
            </w:r>
            <w:proofErr w:type="spellStart"/>
            <w:r w:rsidR="00E87E74"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="00E87E74" w:rsidRPr="009458D3">
              <w:rPr>
                <w:rFonts w:ascii="Times New Roman" w:hAnsi="Times New Roman" w:cs="Times New Roman"/>
                <w:color w:val="FF0000"/>
                <w:sz w:val="22"/>
              </w:rPr>
              <w:t>;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C25FCC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>s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table doses </w:t>
            </w:r>
            <w:r>
              <w:rPr>
                <w:rFonts w:ascii="Times New Roman" w:hAnsi="Times New Roman" w:cs="Times New Roman" w:hint="eastAsia"/>
                <w:color w:val="231F20"/>
                <w:sz w:val="22"/>
              </w:rPr>
              <w:t>of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MTX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, 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oral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s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(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≤ 10 mg/day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prednisone or equivalent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), and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NSAIDs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.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Wells 2018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46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D177E3" w:rsidRPr="009458D3" w:rsidRDefault="00D177E3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bookmarkStart w:id="10" w:name="OLE_LINK21"/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1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8</w:t>
            </w:r>
            <w:r w:rsidR="00E87E74"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years of age</w:t>
            </w:r>
            <w:bookmarkEnd w:id="10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3 months duration; </w:t>
            </w:r>
            <w:r w:rsidR="00D417CB">
              <w:rPr>
                <w:rFonts w:ascii="Times New Roman" w:hAnsi="Times New Roman" w:cs="Times New Roman"/>
                <w:color w:val="FF0000"/>
                <w:sz w:val="22"/>
              </w:rPr>
              <w:t>n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o prior</w:t>
            </w:r>
          </w:p>
          <w:p w:rsidR="009C211E" w:rsidRPr="009458D3" w:rsidRDefault="00D177E3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treatment with </w:t>
            </w:r>
            <w:bookmarkStart w:id="11" w:name="_Hlk37597991"/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cDMARDs</w:t>
            </w:r>
            <w:bookmarkEnd w:id="11"/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or biologics was allowed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9C211E" w:rsidRPr="00E37CB2" w:rsidRDefault="004E2DF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</w:rPr>
              <w:t>s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table doses of oral </w:t>
            </w:r>
            <w:r w:rsidR="00C25FCC"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s (</w:t>
            </w:r>
            <w:r w:rsidR="00D417CB" w:rsidRPr="00E37CB2">
              <w:rPr>
                <w:rFonts w:ascii="Times New Roman" w:hAnsi="Times New Roman" w:cs="Times New Roman"/>
                <w:color w:val="231F20"/>
                <w:sz w:val="22"/>
              </w:rPr>
              <w:t>≤ 10 mg/day</w:t>
            </w:r>
            <w:r w:rsidR="00D417CB">
              <w:rPr>
                <w:rFonts w:ascii="Times New Roman" w:hAnsi="Times New Roman" w:cs="Times New Roman"/>
                <w:color w:val="231F20"/>
                <w:sz w:val="22"/>
              </w:rPr>
              <w:t xml:space="preserve"> </w:t>
            </w:r>
            <w:r w:rsidR="00D417CB" w:rsidRPr="00E37CB2">
              <w:rPr>
                <w:rFonts w:ascii="Times New Roman" w:hAnsi="Times New Roman" w:cs="Times New Roman"/>
                <w:color w:val="231F20"/>
                <w:sz w:val="22"/>
              </w:rPr>
              <w:t>prednisone or equivalent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)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 xml:space="preserve">, 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>NSAIDs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,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 low-potency topical </w:t>
            </w:r>
            <w:r>
              <w:rPr>
                <w:rFonts w:ascii="Times New Roman" w:hAnsi="Times New Roman" w:cs="Times New Roman"/>
                <w:color w:val="231F20"/>
                <w:sz w:val="22"/>
              </w:rPr>
              <w:t>GC</w:t>
            </w:r>
            <w:r w:rsidR="009C211E"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s </w:t>
            </w:r>
          </w:p>
        </w:tc>
      </w:tr>
      <w:tr w:rsidR="009C211E" w:rsidRPr="00C07DE0" w:rsidTr="009C211E">
        <w:trPr>
          <w:trHeight w:val="239"/>
          <w:jc w:val="center"/>
        </w:trPr>
        <w:tc>
          <w:tcPr>
            <w:tcW w:w="567" w:type="dxa"/>
            <w:tcBorders>
              <w:top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127" w:type="dxa"/>
            <w:tcBorders>
              <w:top w:val="nil"/>
            </w:tcBorders>
          </w:tcPr>
          <w:p w:rsidR="009C211E" w:rsidRPr="00E37CB2" w:rsidRDefault="009C211E" w:rsidP="00BE2A38">
            <w:pPr>
              <w:rPr>
                <w:rFonts w:ascii="Times New Roman" w:hAnsi="Times New Roman" w:cs="Times New Roman"/>
                <w:sz w:val="22"/>
              </w:rPr>
            </w:pPr>
            <w:r w:rsidRPr="00E37CB2">
              <w:rPr>
                <w:rFonts w:ascii="Times New Roman" w:hAnsi="Times New Roman" w:cs="Times New Roman"/>
                <w:color w:val="000000"/>
                <w:sz w:val="22"/>
              </w:rPr>
              <w:t>McInnes 2014</w:t>
            </w:r>
            <w:r w:rsidRPr="00E37CB2">
              <w:rPr>
                <w:rFonts w:ascii="Times New Roman" w:hAnsi="Times New Roman" w:cs="Times New Roman"/>
                <w:noProof/>
                <w:color w:val="000000"/>
                <w:sz w:val="22"/>
                <w:vertAlign w:val="superscript"/>
              </w:rPr>
              <w:t>47</w:t>
            </w:r>
          </w:p>
        </w:tc>
        <w:tc>
          <w:tcPr>
            <w:tcW w:w="5811" w:type="dxa"/>
            <w:tcBorders>
              <w:top w:val="nil"/>
            </w:tcBorders>
          </w:tcPr>
          <w:p w:rsidR="009C211E" w:rsidRPr="009458D3" w:rsidRDefault="00D177E3" w:rsidP="004E2DFE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>≥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18 years of age; moderate-to-severe </w:t>
            </w:r>
            <w:proofErr w:type="spellStart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PsA</w:t>
            </w:r>
            <w:proofErr w:type="spellEnd"/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; disease inadequately controlled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on ≥1 DMARD</w:t>
            </w:r>
            <w:r w:rsidR="004E2DFE">
              <w:rPr>
                <w:rFonts w:ascii="Times New Roman" w:hAnsi="Times New Roman" w:cs="Times New Roman"/>
                <w:color w:val="FF0000"/>
                <w:sz w:val="22"/>
              </w:rPr>
              <w:t>s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 xml:space="preserve"> given for ≥3 months at the maximum tolerated</w:t>
            </w:r>
            <w:r w:rsidRPr="009458D3">
              <w:rPr>
                <w:rFonts w:ascii="Times New Roman" w:hAnsi="Times New Roman" w:cs="Times New Roman" w:hint="eastAsia"/>
                <w:color w:val="FF0000"/>
                <w:sz w:val="22"/>
              </w:rPr>
              <w:t xml:space="preserve"> </w:t>
            </w:r>
            <w:r w:rsidRPr="009458D3">
              <w:rPr>
                <w:rFonts w:ascii="Times New Roman" w:hAnsi="Times New Roman" w:cs="Times New Roman"/>
                <w:color w:val="FF0000"/>
                <w:sz w:val="22"/>
              </w:rPr>
              <w:t>dose;</w:t>
            </w:r>
          </w:p>
        </w:tc>
        <w:tc>
          <w:tcPr>
            <w:tcW w:w="5811" w:type="dxa"/>
            <w:tcBorders>
              <w:top w:val="nil"/>
            </w:tcBorders>
          </w:tcPr>
          <w:p w:rsidR="009C211E" w:rsidRPr="00E37CB2" w:rsidRDefault="009C211E" w:rsidP="004E2DFE">
            <w:pPr>
              <w:jc w:val="left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 xml:space="preserve">MTX, LEF, Chloroquine, </w:t>
            </w:r>
            <w:r w:rsidR="004E2DFE">
              <w:rPr>
                <w:rFonts w:ascii="Times New Roman" w:hAnsi="Times New Roman" w:cs="Times New Roman"/>
                <w:color w:val="231F20"/>
                <w:sz w:val="22"/>
              </w:rPr>
              <w:t xml:space="preserve">and </w:t>
            </w:r>
            <w:r w:rsidRPr="00E37CB2">
              <w:rPr>
                <w:rFonts w:ascii="Times New Roman" w:hAnsi="Times New Roman" w:cs="Times New Roman"/>
                <w:color w:val="231F20"/>
                <w:sz w:val="22"/>
              </w:rPr>
              <w:t>SSZ.</w:t>
            </w:r>
          </w:p>
        </w:tc>
      </w:tr>
    </w:tbl>
    <w:p w:rsidR="002F6956" w:rsidRPr="004E2DFE" w:rsidRDefault="002F6956" w:rsidP="00BB6C84">
      <w:pPr>
        <w:jc w:val="left"/>
        <w:rPr>
          <w:rFonts w:ascii="Times New Roman" w:hAnsi="Times New Roman" w:cs="Times New Roman"/>
          <w:sz w:val="22"/>
        </w:rPr>
      </w:pPr>
      <w:r w:rsidRPr="002F6956">
        <w:rPr>
          <w:rFonts w:ascii="Times New Roman" w:hAnsi="Times New Roman" w:cs="Times New Roman" w:hint="eastAsia"/>
          <w:sz w:val="22"/>
        </w:rPr>
        <w:t>Note</w:t>
      </w:r>
      <w:r w:rsidRPr="002F6956">
        <w:rPr>
          <w:rFonts w:ascii="Times New Roman" w:hAnsi="Times New Roman" w:cs="Times New Roman" w:hint="eastAsia"/>
          <w:sz w:val="22"/>
        </w:rPr>
        <w:t>：</w:t>
      </w:r>
      <w:r w:rsidRPr="002F6956">
        <w:rPr>
          <w:rFonts w:ascii="Times New Roman" w:hAnsi="Times New Roman" w:cs="Times New Roman" w:hint="eastAsia"/>
          <w:sz w:val="22"/>
        </w:rPr>
        <w:t>M</w:t>
      </w:r>
      <w:r w:rsidRPr="002F6956">
        <w:rPr>
          <w:rFonts w:ascii="Times New Roman" w:hAnsi="Times New Roman" w:cs="Times New Roman"/>
          <w:sz w:val="22"/>
        </w:rPr>
        <w:t>TX,</w:t>
      </w:r>
      <w:r>
        <w:rPr>
          <w:rFonts w:ascii="Times New Roman" w:hAnsi="Times New Roman" w:cs="Times New Roman"/>
          <w:sz w:val="22"/>
        </w:rPr>
        <w:t xml:space="preserve"> </w:t>
      </w:r>
      <w:r w:rsidRPr="002F6956">
        <w:rPr>
          <w:rFonts w:ascii="Times New Roman" w:hAnsi="Times New Roman" w:cs="Times New Roman"/>
          <w:sz w:val="22"/>
        </w:rPr>
        <w:t xml:space="preserve">methotrexate; NSAIDS, </w:t>
      </w:r>
      <w:bookmarkStart w:id="12" w:name="_Hlk37599841"/>
      <w:r>
        <w:rPr>
          <w:rFonts w:ascii="Times New Roman" w:hAnsi="Times New Roman" w:cs="Times New Roman" w:hint="eastAsia"/>
          <w:sz w:val="22"/>
        </w:rPr>
        <w:t>n</w:t>
      </w:r>
      <w:r w:rsidRPr="00E329AF">
        <w:rPr>
          <w:rFonts w:ascii="Times New Roman" w:hAnsi="Times New Roman" w:cs="Times New Roman"/>
          <w:sz w:val="22"/>
        </w:rPr>
        <w:t>on-steroidal anti-inflammatory drugs</w:t>
      </w:r>
      <w:bookmarkStart w:id="13" w:name="OLE_LINK1"/>
      <w:bookmarkStart w:id="14" w:name="OLE_LINK2"/>
      <w:bookmarkEnd w:id="12"/>
      <w:r>
        <w:rPr>
          <w:rFonts w:ascii="Times New Roman" w:hAnsi="Times New Roman" w:cs="Times New Roman"/>
          <w:sz w:val="22"/>
        </w:rPr>
        <w:t>;</w:t>
      </w:r>
      <w:bookmarkEnd w:id="13"/>
      <w:bookmarkEnd w:id="14"/>
      <w:r w:rsidRPr="002F695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F6956">
        <w:rPr>
          <w:rFonts w:ascii="Times New Roman" w:hAnsi="Times New Roman" w:cs="Times New Roman"/>
          <w:sz w:val="22"/>
        </w:rPr>
        <w:t>DMARD</w:t>
      </w:r>
      <w:r>
        <w:rPr>
          <w:rFonts w:ascii="Times New Roman" w:hAnsi="Times New Roman" w:cs="Times New Roman" w:hint="eastAsia"/>
          <w:sz w:val="22"/>
        </w:rPr>
        <w:t>s</w:t>
      </w:r>
      <w:r w:rsidRPr="002F6956">
        <w:rPr>
          <w:rFonts w:ascii="Times New Roman" w:hAnsi="Times New Roman" w:cs="Times New Roman"/>
          <w:sz w:val="22"/>
        </w:rPr>
        <w:t>,</w:t>
      </w:r>
      <w:bookmarkStart w:id="15" w:name="_Hlk37599876"/>
      <w:r>
        <w:rPr>
          <w:rFonts w:ascii="Times New Roman" w:hAnsi="Times New Roman" w:cs="Times New Roman" w:hint="eastAsia"/>
          <w:sz w:val="22"/>
        </w:rPr>
        <w:t>d</w:t>
      </w:r>
      <w:r w:rsidRPr="00E329AF">
        <w:rPr>
          <w:rFonts w:ascii="Times New Roman" w:hAnsi="Times New Roman" w:cs="Times New Roman"/>
          <w:sz w:val="22"/>
        </w:rPr>
        <w:t>iseas</w:t>
      </w:r>
      <w:r>
        <w:rPr>
          <w:rFonts w:ascii="Times New Roman" w:hAnsi="Times New Roman" w:cs="Times New Roman"/>
          <w:sz w:val="22"/>
        </w:rPr>
        <w:t>e</w:t>
      </w:r>
      <w:proofErr w:type="spellEnd"/>
      <w:r>
        <w:rPr>
          <w:rFonts w:ascii="Times New Roman" w:hAnsi="Times New Roman" w:cs="Times New Roman"/>
          <w:sz w:val="22"/>
        </w:rPr>
        <w:t>-modifying anti-rheumatic drug</w:t>
      </w:r>
      <w:r>
        <w:rPr>
          <w:rFonts w:ascii="Times New Roman" w:hAnsi="Times New Roman" w:cs="Times New Roman" w:hint="eastAsia"/>
          <w:sz w:val="22"/>
        </w:rPr>
        <w:t>s</w:t>
      </w:r>
      <w:bookmarkEnd w:id="15"/>
      <w:r>
        <w:rPr>
          <w:rFonts w:ascii="Times New Roman" w:hAnsi="Times New Roman" w:cs="Times New Roman"/>
          <w:sz w:val="22"/>
        </w:rPr>
        <w:t>;</w:t>
      </w:r>
      <w:r w:rsidR="00CF45E3">
        <w:rPr>
          <w:rFonts w:ascii="Times New Roman" w:hAnsi="Times New Roman" w:cs="Times New Roman"/>
          <w:sz w:val="22"/>
        </w:rPr>
        <w:t xml:space="preserve"> </w:t>
      </w:r>
      <w:bookmarkStart w:id="16" w:name="OLE_LINK3"/>
      <w:bookmarkStart w:id="17" w:name="OLE_LINK4"/>
      <w:proofErr w:type="spellStart"/>
      <w:r w:rsidR="00CF45E3" w:rsidRPr="00BE2A38">
        <w:rPr>
          <w:rFonts w:ascii="Times New Roman" w:hAnsi="Times New Roman" w:cs="Times New Roman"/>
          <w:color w:val="231F20"/>
          <w:szCs w:val="15"/>
        </w:rPr>
        <w:t>cDMARDs</w:t>
      </w:r>
      <w:bookmarkEnd w:id="16"/>
      <w:bookmarkEnd w:id="17"/>
      <w:proofErr w:type="spellEnd"/>
      <w:r w:rsidR="00CF45E3">
        <w:rPr>
          <w:rFonts w:ascii="Times New Roman" w:hAnsi="Times New Roman" w:cs="Times New Roman"/>
          <w:color w:val="231F20"/>
          <w:szCs w:val="15"/>
        </w:rPr>
        <w:t>, conventional</w:t>
      </w:r>
      <w:r w:rsidR="00CF45E3" w:rsidRPr="00CF45E3">
        <w:rPr>
          <w:rFonts w:ascii="Times New Roman" w:hAnsi="Times New Roman" w:cs="Times New Roman" w:hint="eastAsia"/>
          <w:sz w:val="22"/>
        </w:rPr>
        <w:t xml:space="preserve"> </w:t>
      </w:r>
      <w:r w:rsidR="00CF45E3">
        <w:rPr>
          <w:rFonts w:ascii="Times New Roman" w:hAnsi="Times New Roman" w:cs="Times New Roman" w:hint="eastAsia"/>
          <w:sz w:val="22"/>
        </w:rPr>
        <w:t>d</w:t>
      </w:r>
      <w:r w:rsidR="00CF45E3" w:rsidRPr="00E329AF">
        <w:rPr>
          <w:rFonts w:ascii="Times New Roman" w:hAnsi="Times New Roman" w:cs="Times New Roman"/>
          <w:sz w:val="22"/>
        </w:rPr>
        <w:t>iseas</w:t>
      </w:r>
      <w:r w:rsidR="00CF45E3">
        <w:rPr>
          <w:rFonts w:ascii="Times New Roman" w:hAnsi="Times New Roman" w:cs="Times New Roman"/>
          <w:sz w:val="22"/>
        </w:rPr>
        <w:t>e-modifying anti-rheumatic drug</w:t>
      </w:r>
      <w:r w:rsidR="00CF45E3">
        <w:rPr>
          <w:rFonts w:ascii="Times New Roman" w:hAnsi="Times New Roman" w:cs="Times New Roman" w:hint="eastAsia"/>
          <w:sz w:val="22"/>
        </w:rPr>
        <w:t>s</w:t>
      </w:r>
      <w:r w:rsidR="00CF45E3">
        <w:rPr>
          <w:rFonts w:ascii="Times New Roman" w:hAnsi="Times New Roman" w:cs="Times New Roman"/>
          <w:sz w:val="22"/>
        </w:rPr>
        <w:t xml:space="preserve">; </w:t>
      </w:r>
      <w:proofErr w:type="spellStart"/>
      <w:r w:rsidR="004E2DFE">
        <w:rPr>
          <w:rFonts w:ascii="Times New Roman" w:hAnsi="Times New Roman" w:cs="Times New Roman"/>
          <w:sz w:val="22"/>
        </w:rPr>
        <w:t>bDMARDs</w:t>
      </w:r>
      <w:proofErr w:type="spellEnd"/>
      <w:r w:rsidR="004E2DFE">
        <w:rPr>
          <w:rFonts w:ascii="Times New Roman" w:hAnsi="Times New Roman" w:cs="Times New Roman"/>
          <w:sz w:val="22"/>
        </w:rPr>
        <w:t xml:space="preserve">, biological </w:t>
      </w:r>
      <w:r w:rsidR="004E2DFE">
        <w:rPr>
          <w:rFonts w:ascii="Times New Roman" w:hAnsi="Times New Roman" w:cs="Times New Roman" w:hint="eastAsia"/>
          <w:sz w:val="22"/>
        </w:rPr>
        <w:t>d</w:t>
      </w:r>
      <w:r w:rsidR="004E2DFE" w:rsidRPr="00E329AF">
        <w:rPr>
          <w:rFonts w:ascii="Times New Roman" w:hAnsi="Times New Roman" w:cs="Times New Roman"/>
          <w:sz w:val="22"/>
        </w:rPr>
        <w:t>iseas</w:t>
      </w:r>
      <w:r w:rsidR="004E2DFE">
        <w:rPr>
          <w:rFonts w:ascii="Times New Roman" w:hAnsi="Times New Roman" w:cs="Times New Roman"/>
          <w:sz w:val="22"/>
        </w:rPr>
        <w:t>e-modifying anti-rheumatic drug</w:t>
      </w:r>
      <w:r w:rsidR="004E2DFE">
        <w:rPr>
          <w:rFonts w:ascii="Times New Roman" w:hAnsi="Times New Roman" w:cs="Times New Roman" w:hint="eastAsia"/>
          <w:sz w:val="22"/>
        </w:rPr>
        <w:t>s</w:t>
      </w:r>
      <w:r w:rsidR="004E2DFE">
        <w:rPr>
          <w:rFonts w:ascii="Times New Roman" w:hAnsi="Times New Roman" w:cs="Times New Roman"/>
          <w:sz w:val="22"/>
        </w:rPr>
        <w:t xml:space="preserve">; </w:t>
      </w:r>
      <w:r w:rsidR="00CF45E3" w:rsidRPr="00B514C4">
        <w:rPr>
          <w:rFonts w:ascii="Times New Roman" w:hAnsi="Times New Roman" w:cs="Times New Roman"/>
          <w:sz w:val="22"/>
        </w:rPr>
        <w:t xml:space="preserve">LEF, leflunomide; SSZ, sulfasalazine; HCQ, hydroxy-chloroquine; AZA, azathioprine; </w:t>
      </w:r>
      <w:r w:rsidR="00B514C4" w:rsidRPr="00B514C4">
        <w:rPr>
          <w:rFonts w:ascii="Times New Roman" w:hAnsi="Times New Roman" w:cs="Times New Roman"/>
          <w:sz w:val="22"/>
        </w:rPr>
        <w:t>GC, glucocorticoid</w:t>
      </w:r>
      <w:r w:rsidR="00B514C4">
        <w:rPr>
          <w:rFonts w:ascii="Times New Roman" w:hAnsi="Times New Roman" w:cs="Times New Roman"/>
          <w:sz w:val="22"/>
        </w:rPr>
        <w:t>;</w:t>
      </w:r>
      <w:r w:rsidR="00B514C4" w:rsidRPr="00B514C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E2DFE">
        <w:rPr>
          <w:rFonts w:ascii="Times New Roman" w:hAnsi="Times New Roman" w:cs="Times New Roman"/>
          <w:color w:val="231F20"/>
          <w:sz w:val="22"/>
        </w:rPr>
        <w:t>CsA,</w:t>
      </w:r>
      <w:r w:rsidR="004E2DFE" w:rsidRPr="00E37CB2">
        <w:rPr>
          <w:rFonts w:ascii="Times New Roman" w:hAnsi="Times New Roman" w:cs="Times New Roman"/>
          <w:color w:val="231F20"/>
          <w:sz w:val="22"/>
        </w:rPr>
        <w:t>cyclosporine</w:t>
      </w:r>
      <w:proofErr w:type="spellEnd"/>
      <w:r w:rsidR="004E2DFE" w:rsidRPr="00E37CB2">
        <w:rPr>
          <w:rFonts w:ascii="Times New Roman" w:hAnsi="Times New Roman" w:cs="Times New Roman"/>
          <w:color w:val="231F20"/>
          <w:sz w:val="22"/>
        </w:rPr>
        <w:t xml:space="preserve"> </w:t>
      </w:r>
      <w:r w:rsidR="004E2DFE">
        <w:rPr>
          <w:rFonts w:ascii="Times New Roman" w:hAnsi="Times New Roman" w:cs="Times New Roman" w:hint="eastAsia"/>
          <w:color w:val="231F20"/>
          <w:sz w:val="22"/>
        </w:rPr>
        <w:t>;</w:t>
      </w:r>
      <w:r w:rsidR="004E2DFE" w:rsidRPr="004E2DFE">
        <w:rPr>
          <w:rFonts w:ascii="Times New Roman" w:hAnsi="Times New Roman" w:cs="Times New Roman"/>
          <w:color w:val="231F20"/>
          <w:sz w:val="22"/>
        </w:rPr>
        <w:t xml:space="preserve"> </w:t>
      </w:r>
      <w:r w:rsidR="004E2DFE">
        <w:rPr>
          <w:rFonts w:ascii="Times New Roman" w:hAnsi="Times New Roman" w:cs="Times New Roman"/>
          <w:color w:val="231F20"/>
          <w:sz w:val="22"/>
        </w:rPr>
        <w:t>TAC,</w:t>
      </w:r>
      <w:r w:rsidR="004E2DFE" w:rsidRPr="00E37CB2">
        <w:rPr>
          <w:rFonts w:ascii="Times New Roman" w:hAnsi="Times New Roman" w:cs="Times New Roman"/>
          <w:color w:val="231F20"/>
          <w:sz w:val="22"/>
        </w:rPr>
        <w:t xml:space="preserve"> tacrolimus</w:t>
      </w:r>
      <w:r w:rsidR="004E2DFE">
        <w:rPr>
          <w:rFonts w:ascii="Times New Roman" w:hAnsi="Times New Roman" w:cs="Times New Roman" w:hint="eastAsia"/>
          <w:sz w:val="22"/>
        </w:rPr>
        <w:t>;</w:t>
      </w:r>
      <w:r w:rsidR="004E2DFE">
        <w:rPr>
          <w:rFonts w:ascii="Times New Roman" w:hAnsi="Times New Roman" w:cs="Times New Roman"/>
          <w:sz w:val="22"/>
        </w:rPr>
        <w:t xml:space="preserve"> </w:t>
      </w:r>
      <w:r w:rsidR="00CF45E3" w:rsidRPr="00B514C4">
        <w:rPr>
          <w:rFonts w:ascii="Times New Roman" w:hAnsi="Times New Roman" w:cs="Times New Roman"/>
          <w:sz w:val="22"/>
        </w:rPr>
        <w:t>NA, not available.</w:t>
      </w:r>
    </w:p>
    <w:sectPr w:rsidR="002F6956" w:rsidRPr="004E2DFE" w:rsidSect="009C21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2D" w:rsidRDefault="00CF302D" w:rsidP="00BB6C84">
      <w:r>
        <w:separator/>
      </w:r>
    </w:p>
  </w:endnote>
  <w:endnote w:type="continuationSeparator" w:id="0">
    <w:p w:rsidR="00CF302D" w:rsidRDefault="00CF302D" w:rsidP="00B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2D" w:rsidRDefault="00CF302D" w:rsidP="00BB6C84">
      <w:r>
        <w:separator/>
      </w:r>
    </w:p>
  </w:footnote>
  <w:footnote w:type="continuationSeparator" w:id="0">
    <w:p w:rsidR="00CF302D" w:rsidRDefault="00CF302D" w:rsidP="00BB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34"/>
    <w:rsid w:val="00016EA1"/>
    <w:rsid w:val="00023E08"/>
    <w:rsid w:val="00027829"/>
    <w:rsid w:val="000315D9"/>
    <w:rsid w:val="00050F70"/>
    <w:rsid w:val="00056981"/>
    <w:rsid w:val="000714AE"/>
    <w:rsid w:val="000E30FA"/>
    <w:rsid w:val="000F4472"/>
    <w:rsid w:val="001204C3"/>
    <w:rsid w:val="00122452"/>
    <w:rsid w:val="0015019C"/>
    <w:rsid w:val="00203499"/>
    <w:rsid w:val="002118BE"/>
    <w:rsid w:val="00240B06"/>
    <w:rsid w:val="0026528F"/>
    <w:rsid w:val="00267561"/>
    <w:rsid w:val="0028363E"/>
    <w:rsid w:val="002F6956"/>
    <w:rsid w:val="00322883"/>
    <w:rsid w:val="003E2549"/>
    <w:rsid w:val="003F4595"/>
    <w:rsid w:val="004203B6"/>
    <w:rsid w:val="00443046"/>
    <w:rsid w:val="004A5C28"/>
    <w:rsid w:val="004E2DFE"/>
    <w:rsid w:val="0050194A"/>
    <w:rsid w:val="005041E4"/>
    <w:rsid w:val="0055468E"/>
    <w:rsid w:val="00575A38"/>
    <w:rsid w:val="005C1134"/>
    <w:rsid w:val="006401C4"/>
    <w:rsid w:val="00704A16"/>
    <w:rsid w:val="00714B66"/>
    <w:rsid w:val="00715CA0"/>
    <w:rsid w:val="007F20E5"/>
    <w:rsid w:val="00811857"/>
    <w:rsid w:val="008256ED"/>
    <w:rsid w:val="00844218"/>
    <w:rsid w:val="00860475"/>
    <w:rsid w:val="008906AF"/>
    <w:rsid w:val="008F020D"/>
    <w:rsid w:val="009458D3"/>
    <w:rsid w:val="00950FF2"/>
    <w:rsid w:val="009C211E"/>
    <w:rsid w:val="009F62C2"/>
    <w:rsid w:val="00A67EB2"/>
    <w:rsid w:val="00AA580B"/>
    <w:rsid w:val="00AD287A"/>
    <w:rsid w:val="00B5047B"/>
    <w:rsid w:val="00B514C4"/>
    <w:rsid w:val="00BB6C84"/>
    <w:rsid w:val="00BE2A38"/>
    <w:rsid w:val="00C1432F"/>
    <w:rsid w:val="00C25FCC"/>
    <w:rsid w:val="00C62D48"/>
    <w:rsid w:val="00CA7E96"/>
    <w:rsid w:val="00CD42DC"/>
    <w:rsid w:val="00CD4435"/>
    <w:rsid w:val="00CF302D"/>
    <w:rsid w:val="00CF45E3"/>
    <w:rsid w:val="00D177E3"/>
    <w:rsid w:val="00D417CB"/>
    <w:rsid w:val="00D5087A"/>
    <w:rsid w:val="00D67A78"/>
    <w:rsid w:val="00DA2E8B"/>
    <w:rsid w:val="00E37CB2"/>
    <w:rsid w:val="00E8087C"/>
    <w:rsid w:val="00E8392F"/>
    <w:rsid w:val="00E87E74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81F1B"/>
  <w15:chartTrackingRefBased/>
  <w15:docId w15:val="{EB0B5FC1-AE11-4AF6-97C0-65100E1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C84"/>
    <w:rPr>
      <w:sz w:val="18"/>
      <w:szCs w:val="18"/>
    </w:rPr>
  </w:style>
  <w:style w:type="table" w:styleId="a7">
    <w:name w:val="Table Grid"/>
    <w:basedOn w:val="a1"/>
    <w:uiPriority w:val="39"/>
    <w:rsid w:val="00BB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5019C"/>
    <w:rPr>
      <w:rFonts w:ascii="Times-Roman" w:hAnsi="Times-Roman" w:hint="default"/>
      <w:b w:val="0"/>
      <w:bCs w:val="0"/>
      <w:i w:val="0"/>
      <w:iCs w:val="0"/>
      <w:color w:val="242021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F447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F4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E7AA-0E24-4C3E-B8EB-80C22FB0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24</cp:revision>
  <dcterms:created xsi:type="dcterms:W3CDTF">2019-02-11T03:13:00Z</dcterms:created>
  <dcterms:modified xsi:type="dcterms:W3CDTF">2020-04-12T09:55:00Z</dcterms:modified>
</cp:coreProperties>
</file>