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20" w:right="-720"/>
        <w:rPr>
          <w:b/>
        </w:rPr>
      </w:pPr>
      <w:r>
        <w:rPr>
          <w:b/>
        </w:rPr>
        <w:t>TABLE 1. Baseline Demographic and Clinical Characteristics</w:t>
      </w:r>
    </w:p>
    <w:tbl>
      <w:tblPr>
        <w:tblStyle w:val="6"/>
        <w:tblW w:w="14580" w:type="dxa"/>
        <w:tblInd w:w="-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450"/>
        <w:gridCol w:w="1005"/>
        <w:gridCol w:w="1267"/>
        <w:gridCol w:w="1079"/>
        <w:gridCol w:w="1079"/>
        <w:gridCol w:w="1258"/>
        <w:gridCol w:w="1440"/>
        <w:gridCol w:w="1154"/>
        <w:gridCol w:w="1298"/>
        <w:gridCol w:w="1245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5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1450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1005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267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079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Men (%)</w:t>
            </w:r>
          </w:p>
        </w:tc>
        <w:tc>
          <w:tcPr>
            <w:tcW w:w="1079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 xml:space="preserve">Witnessed </w:t>
            </w:r>
          </w:p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258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BLS</w:t>
            </w:r>
          </w:p>
        </w:tc>
        <w:tc>
          <w:tcPr>
            <w:tcW w:w="1440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Discharge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survival (%)</w:t>
            </w:r>
          </w:p>
        </w:tc>
        <w:tc>
          <w:tcPr>
            <w:tcW w:w="1154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Discharge</w:t>
            </w:r>
          </w:p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CPC 1-2 (%)</w:t>
            </w:r>
          </w:p>
        </w:tc>
        <w:tc>
          <w:tcPr>
            <w:tcW w:w="1298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Discharge</w:t>
            </w:r>
          </w:p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neurological</w:t>
            </w:r>
          </w:p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outcomes (%)</w:t>
            </w:r>
          </w:p>
        </w:tc>
        <w:tc>
          <w:tcPr>
            <w:tcW w:w="1245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90-day</w:t>
            </w:r>
          </w:p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Survival (%)</w:t>
            </w:r>
          </w:p>
        </w:tc>
        <w:tc>
          <w:tcPr>
            <w:tcW w:w="1070" w:type="dxa"/>
            <w:vMerge w:val="restart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90-day</w:t>
            </w:r>
          </w:p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CPC 1-2%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3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10</w:t>
            </w:r>
          </w:p>
        </w:tc>
        <w:tc>
          <w:tcPr>
            <w:tcW w:w="1450" w:type="dxa"/>
            <w:vMerge w:val="restart"/>
          </w:tcPr>
          <w:p>
            <w:pPr>
              <w:spacing w:after="0" w:line="240" w:lineRule="auto"/>
            </w:pPr>
            <w:r>
              <w:t>Early/late/no CAG</w:t>
            </w:r>
          </w:p>
        </w:tc>
        <w:tc>
          <w:tcPr>
            <w:tcW w:w="100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82/162</w:t>
            </w:r>
          </w:p>
        </w:tc>
        <w:tc>
          <w:tcPr>
            <w:tcW w:w="1267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59/62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82/78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85/80</w:t>
            </w:r>
          </w:p>
        </w:tc>
        <w:tc>
          <w:tcPr>
            <w:tcW w:w="125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57/56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154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54/89</w:t>
            </w:r>
          </w:p>
          <w:p>
            <w:pPr>
              <w:spacing w:after="0" w:line="240" w:lineRule="auto"/>
              <w:ind w:left="-720" w:right="-720"/>
              <w:jc w:val="center"/>
            </w:pPr>
            <w:r>
              <w:t>(100/90)</w:t>
            </w:r>
          </w:p>
        </w:tc>
        <w:tc>
          <w:tcPr>
            <w:tcW w:w="129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4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11</w:t>
            </w:r>
          </w:p>
        </w:tc>
        <w:tc>
          <w:tcPr>
            <w:tcW w:w="1450" w:type="dxa"/>
            <w:vMerge w:val="restart"/>
          </w:tcPr>
          <w:p>
            <w:pPr>
              <w:spacing w:after="0" w:line="240" w:lineRule="auto"/>
            </w:pPr>
            <w:r>
              <w:t>Early/late/no CAG</w:t>
            </w:r>
          </w:p>
        </w:tc>
        <w:tc>
          <w:tcPr>
            <w:tcW w:w="100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252/292</w:t>
            </w:r>
          </w:p>
        </w:tc>
        <w:tc>
          <w:tcPr>
            <w:tcW w:w="1267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65/68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81/78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90/90</w:t>
            </w:r>
          </w:p>
        </w:tc>
        <w:tc>
          <w:tcPr>
            <w:tcW w:w="125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73/68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154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9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15</w:t>
            </w:r>
          </w:p>
        </w:tc>
        <w:tc>
          <w:tcPr>
            <w:tcW w:w="1450" w:type="dxa"/>
            <w:vMerge w:val="restart"/>
          </w:tcPr>
          <w:p>
            <w:pPr>
              <w:spacing w:after="0" w:line="240" w:lineRule="auto"/>
            </w:pPr>
            <w:r>
              <w:t>Early/late/no CAG</w:t>
            </w:r>
          </w:p>
        </w:tc>
        <w:tc>
          <w:tcPr>
            <w:tcW w:w="100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130/73</w:t>
            </w:r>
          </w:p>
        </w:tc>
        <w:tc>
          <w:tcPr>
            <w:tcW w:w="1267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5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95/50</w:t>
            </w:r>
          </w:p>
          <w:p>
            <w:pPr>
              <w:spacing w:after="0" w:line="240" w:lineRule="auto"/>
              <w:ind w:left="-720" w:right="-720"/>
              <w:jc w:val="center"/>
            </w:pPr>
            <w:r>
              <w:t>(73/68)</w:t>
            </w:r>
          </w:p>
        </w:tc>
        <w:tc>
          <w:tcPr>
            <w:tcW w:w="1154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86/39</w:t>
            </w:r>
          </w:p>
          <w:p>
            <w:pPr>
              <w:spacing w:after="0" w:line="240" w:lineRule="auto"/>
              <w:ind w:left="-720" w:right="-720"/>
              <w:jc w:val="center"/>
            </w:pPr>
            <w:r>
              <w:t>(66/53)</w:t>
            </w:r>
          </w:p>
        </w:tc>
        <w:tc>
          <w:tcPr>
            <w:tcW w:w="129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4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12</w:t>
            </w:r>
          </w:p>
        </w:tc>
        <w:tc>
          <w:tcPr>
            <w:tcW w:w="1450" w:type="dxa"/>
            <w:vMerge w:val="restart"/>
          </w:tcPr>
          <w:p>
            <w:pPr>
              <w:spacing w:after="0" w:line="240" w:lineRule="auto"/>
            </w:pPr>
            <w:r>
              <w:t>Early/late/no CAG</w:t>
            </w:r>
          </w:p>
        </w:tc>
        <w:tc>
          <w:tcPr>
            <w:tcW w:w="100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122/147</w:t>
            </w:r>
          </w:p>
        </w:tc>
        <w:tc>
          <w:tcPr>
            <w:tcW w:w="1267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61/63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68/73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85/85</w:t>
            </w:r>
          </w:p>
        </w:tc>
        <w:tc>
          <w:tcPr>
            <w:tcW w:w="125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54/59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80/71</w:t>
            </w:r>
          </w:p>
          <w:p>
            <w:pPr>
              <w:spacing w:after="0" w:line="240" w:lineRule="auto"/>
              <w:ind w:left="-720" w:right="-720"/>
              <w:jc w:val="center"/>
            </w:pPr>
            <w:r>
              <w:t>(65.6/48.6)</w:t>
            </w:r>
          </w:p>
        </w:tc>
        <w:tc>
          <w:tcPr>
            <w:tcW w:w="1154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74/65</w:t>
            </w:r>
          </w:p>
          <w:p>
            <w:pPr>
              <w:spacing w:after="0" w:line="240" w:lineRule="auto"/>
              <w:ind w:left="-720" w:right="-720"/>
              <w:jc w:val="center"/>
            </w:pPr>
            <w:r>
              <w:t>(60.7/44.5)</w:t>
            </w:r>
          </w:p>
        </w:tc>
        <w:tc>
          <w:tcPr>
            <w:tcW w:w="129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4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30</w:t>
            </w:r>
          </w:p>
        </w:tc>
        <w:tc>
          <w:tcPr>
            <w:tcW w:w="1450" w:type="dxa"/>
            <w:vMerge w:val="restart"/>
          </w:tcPr>
          <w:p>
            <w:pPr>
              <w:spacing w:after="0" w:line="240" w:lineRule="auto"/>
            </w:pPr>
            <w:r>
              <w:t>Early/late/no CAG</w:t>
            </w:r>
          </w:p>
        </w:tc>
        <w:tc>
          <w:tcPr>
            <w:tcW w:w="100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183/364</w:t>
            </w:r>
          </w:p>
        </w:tc>
        <w:tc>
          <w:tcPr>
            <w:tcW w:w="1267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5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106/59</w:t>
            </w:r>
          </w:p>
          <w:p>
            <w:pPr>
              <w:spacing w:after="0" w:line="240" w:lineRule="auto"/>
              <w:ind w:left="-720" w:right="-720"/>
              <w:jc w:val="center"/>
            </w:pPr>
            <w:r>
              <w:t>(57.9/92)</w:t>
            </w:r>
          </w:p>
        </w:tc>
        <w:tc>
          <w:tcPr>
            <w:tcW w:w="1154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98/59</w:t>
            </w:r>
          </w:p>
          <w:p>
            <w:pPr>
              <w:spacing w:after="0" w:line="240" w:lineRule="auto"/>
              <w:ind w:left="-720" w:right="-720"/>
              <w:jc w:val="center"/>
            </w:pPr>
            <w:r>
              <w:t>(92.5/94.9)</w:t>
            </w:r>
          </w:p>
        </w:tc>
        <w:tc>
          <w:tcPr>
            <w:tcW w:w="129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4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13</w:t>
            </w:r>
          </w:p>
        </w:tc>
        <w:tc>
          <w:tcPr>
            <w:tcW w:w="1450" w:type="dxa"/>
            <w:vMerge w:val="restart"/>
          </w:tcPr>
          <w:p>
            <w:pPr>
              <w:spacing w:after="0" w:line="240" w:lineRule="auto"/>
            </w:pPr>
            <w:r>
              <w:t>Early/late/no CAG</w:t>
            </w:r>
          </w:p>
        </w:tc>
        <w:tc>
          <w:tcPr>
            <w:tcW w:w="100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25/74</w:t>
            </w:r>
          </w:p>
        </w:tc>
        <w:tc>
          <w:tcPr>
            <w:tcW w:w="1267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59/58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92/74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48/41</w:t>
            </w:r>
          </w:p>
        </w:tc>
        <w:tc>
          <w:tcPr>
            <w:tcW w:w="125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52/42</w:t>
            </w:r>
          </w:p>
        </w:tc>
        <w:tc>
          <w:tcPr>
            <w:tcW w:w="1440" w:type="dxa"/>
            <w:vMerge w:val="restart"/>
            <w:noWrap/>
          </w:tcPr>
          <w:p>
            <w:pPr>
              <w:spacing w:after="0" w:line="240" w:lineRule="auto"/>
              <w:ind w:left="-720" w:right="-720"/>
              <w:jc w:val="center"/>
            </w:pPr>
            <w:r>
              <w:t>16/15</w:t>
            </w:r>
          </w:p>
          <w:p>
            <w:pPr>
              <w:spacing w:after="0" w:line="240" w:lineRule="auto"/>
              <w:ind w:left="-720" w:right="-720"/>
              <w:jc w:val="center"/>
            </w:pPr>
            <w:r>
              <w:t>(94/100)</w:t>
            </w:r>
          </w:p>
        </w:tc>
        <w:tc>
          <w:tcPr>
            <w:tcW w:w="1154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10/13</w:t>
            </w:r>
          </w:p>
          <w:p>
            <w:pPr>
              <w:spacing w:after="0" w:line="240" w:lineRule="auto"/>
              <w:ind w:left="-720" w:right="-720"/>
              <w:jc w:val="center"/>
            </w:pPr>
            <w:r>
              <w:t>(59/87)</w:t>
            </w:r>
          </w:p>
        </w:tc>
        <w:tc>
          <w:tcPr>
            <w:tcW w:w="129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4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14</w:t>
            </w:r>
          </w:p>
        </w:tc>
        <w:tc>
          <w:tcPr>
            <w:tcW w:w="1450" w:type="dxa"/>
            <w:vMerge w:val="restart"/>
          </w:tcPr>
          <w:p>
            <w:pPr>
              <w:spacing w:after="0" w:line="240" w:lineRule="auto"/>
            </w:pPr>
            <w:r>
              <w:t>Early/late/no CAG</w:t>
            </w:r>
          </w:p>
        </w:tc>
        <w:tc>
          <w:tcPr>
            <w:tcW w:w="100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18/18</w:t>
            </w:r>
          </w:p>
        </w:tc>
        <w:tc>
          <w:tcPr>
            <w:tcW w:w="1267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5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154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9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4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16</w:t>
            </w:r>
          </w:p>
        </w:tc>
        <w:tc>
          <w:tcPr>
            <w:tcW w:w="1450" w:type="dxa"/>
            <w:vMerge w:val="restart"/>
          </w:tcPr>
          <w:p>
            <w:pPr>
              <w:spacing w:after="0" w:line="240" w:lineRule="auto"/>
            </w:pPr>
            <w:r>
              <w:t>Early/late/no CAG</w:t>
            </w:r>
          </w:p>
        </w:tc>
        <w:tc>
          <w:tcPr>
            <w:tcW w:w="100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128/63</w:t>
            </w:r>
          </w:p>
        </w:tc>
        <w:tc>
          <w:tcPr>
            <w:tcW w:w="1267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63/60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5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rPr>
                <w:rFonts w:hint="eastAsia"/>
              </w:rPr>
              <w:t>(</w:t>
            </w:r>
            <w:r>
              <w:t>61/41)</w:t>
            </w:r>
          </w:p>
        </w:tc>
        <w:tc>
          <w:tcPr>
            <w:tcW w:w="1154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t>28/10)</w:t>
            </w:r>
          </w:p>
        </w:tc>
        <w:tc>
          <w:tcPr>
            <w:tcW w:w="129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128/155</w:t>
            </w:r>
          </w:p>
          <w:p>
            <w:pPr>
              <w:spacing w:after="0" w:line="240" w:lineRule="auto"/>
              <w:ind w:left="-720" w:right="-720"/>
              <w:jc w:val="center"/>
              <w:rPr>
                <w:rFonts w:hint="eastAsia"/>
              </w:rPr>
            </w:pPr>
            <w:r>
              <w:t>(47/21)</w:t>
            </w:r>
          </w:p>
        </w:tc>
        <w:tc>
          <w:tcPr>
            <w:tcW w:w="124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17</w:t>
            </w:r>
          </w:p>
        </w:tc>
        <w:tc>
          <w:tcPr>
            <w:tcW w:w="1450" w:type="dxa"/>
            <w:vMerge w:val="restart"/>
          </w:tcPr>
          <w:p>
            <w:pPr>
              <w:spacing w:after="0" w:line="240" w:lineRule="auto"/>
            </w:pPr>
            <w:r>
              <w:t>Early/late/no CAG</w:t>
            </w:r>
          </w:p>
        </w:tc>
        <w:tc>
          <w:tcPr>
            <w:tcW w:w="100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112/115</w:t>
            </w:r>
          </w:p>
        </w:tc>
        <w:tc>
          <w:tcPr>
            <w:tcW w:w="1267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57.24/57.23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75.9/73.9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75/62.6</w:t>
            </w:r>
          </w:p>
        </w:tc>
        <w:tc>
          <w:tcPr>
            <w:tcW w:w="125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50.9/50.4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154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9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4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07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3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</w:t>
            </w:r>
          </w:p>
        </w:tc>
        <w:tc>
          <w:tcPr>
            <w:tcW w:w="1450" w:type="dxa"/>
            <w:vMerge w:val="restart"/>
          </w:tcPr>
          <w:p>
            <w:pPr>
              <w:spacing w:after="0" w:line="240" w:lineRule="auto"/>
              <w:ind w:right="53"/>
            </w:pPr>
            <w:r>
              <w:t>Early/late/no CAG</w:t>
            </w:r>
          </w:p>
        </w:tc>
        <w:tc>
          <w:tcPr>
            <w:tcW w:w="100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273/265</w:t>
            </w:r>
          </w:p>
        </w:tc>
        <w:tc>
          <w:tcPr>
            <w:tcW w:w="1267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65.7/64.9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81.7/76.2</w:t>
            </w:r>
          </w:p>
        </w:tc>
        <w:tc>
          <w:tcPr>
            <w:tcW w:w="1079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79.9/76.6</w:t>
            </w:r>
          </w:p>
        </w:tc>
        <w:tc>
          <w:tcPr>
            <w:tcW w:w="125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44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rPr>
                <w:rFonts w:hint="eastAsia"/>
              </w:rPr>
              <w:t>(</w:t>
            </w:r>
            <w:r>
              <w:t>65.2/68.7)</w:t>
            </w:r>
          </w:p>
        </w:tc>
        <w:tc>
          <w:tcPr>
            <w:tcW w:w="1154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133/142</w:t>
            </w:r>
          </w:p>
          <w:p>
            <w:pPr>
              <w:spacing w:after="0" w:line="240" w:lineRule="auto"/>
              <w:ind w:left="-720" w:right="-720"/>
              <w:jc w:val="center"/>
              <w:rPr>
                <w:rFonts w:hint="eastAsia"/>
              </w:rPr>
            </w:pPr>
            <w:r>
              <w:t>(51.6/57)</w:t>
            </w:r>
          </w:p>
        </w:tc>
        <w:tc>
          <w:tcPr>
            <w:tcW w:w="1298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N/A</w:t>
            </w:r>
          </w:p>
        </w:tc>
        <w:tc>
          <w:tcPr>
            <w:tcW w:w="1245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t>171/170</w:t>
            </w:r>
          </w:p>
          <w:p>
            <w:pPr>
              <w:spacing w:after="0" w:line="240" w:lineRule="auto"/>
              <w:ind w:left="-720" w:right="-720"/>
              <w:jc w:val="center"/>
            </w:pPr>
            <w:r>
              <w:t>(62.8/64.4)</w:t>
            </w:r>
          </w:p>
        </w:tc>
        <w:tc>
          <w:tcPr>
            <w:tcW w:w="1070" w:type="dxa"/>
            <w:vMerge w:val="restart"/>
          </w:tcPr>
          <w:p>
            <w:pPr>
              <w:spacing w:after="0" w:line="240" w:lineRule="auto"/>
              <w:ind w:left="-720" w:right="-720"/>
              <w:jc w:val="center"/>
            </w:pPr>
            <w:r>
              <w:rPr>
                <w:rFonts w:hint="eastAsia"/>
              </w:rPr>
              <w:t>(</w:t>
            </w:r>
            <w:r>
              <w:t>62.9/64.4)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5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450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005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267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079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258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440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154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298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245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  <w:tc>
          <w:tcPr>
            <w:tcW w:w="1070" w:type="dxa"/>
            <w:vMerge w:val="continue"/>
          </w:tcPr>
          <w:p>
            <w:pPr>
              <w:spacing w:after="0" w:line="240" w:lineRule="auto"/>
              <w:ind w:left="-720" w:right="-720"/>
            </w:pPr>
          </w:p>
        </w:tc>
      </w:tr>
    </w:tbl>
    <w:p>
      <w:pPr>
        <w:ind w:left="-720" w:right="-720"/>
      </w:pPr>
    </w:p>
    <w:p>
      <w:pPr>
        <w:ind w:left="-720" w:right="-720"/>
        <w:rPr>
          <w:b/>
        </w:rPr>
      </w:pPr>
      <w:r>
        <w:rPr>
          <w:b/>
        </w:rPr>
        <w:t>TABLE 1. Continued</w:t>
      </w:r>
    </w:p>
    <w:tbl>
      <w:tblPr>
        <w:tblStyle w:val="6"/>
        <w:tblW w:w="14773" w:type="dxa"/>
        <w:tblInd w:w="-7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12"/>
        <w:gridCol w:w="957"/>
        <w:gridCol w:w="1710"/>
        <w:gridCol w:w="1635"/>
        <w:gridCol w:w="1579"/>
        <w:gridCol w:w="1635"/>
        <w:gridCol w:w="1050"/>
        <w:gridCol w:w="1020"/>
        <w:gridCol w:w="1541"/>
        <w:gridCol w:w="843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32" w:hRule="atLeast"/>
        </w:trPr>
        <w:tc>
          <w:tcPr>
            <w:tcW w:w="421" w:type="dxa"/>
            <w:textDirection w:val="btLr"/>
          </w:tcPr>
          <w:p>
            <w:pPr>
              <w:spacing w:after="0" w:line="240" w:lineRule="auto"/>
              <w:ind w:left="-720" w:right="-720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1412" w:type="dxa"/>
            <w:textDirection w:val="btLr"/>
          </w:tcPr>
          <w:p>
            <w:pPr>
              <w:spacing w:after="0" w:line="240" w:lineRule="auto"/>
              <w:ind w:left="46" w:right="113"/>
              <w:jc w:val="center"/>
              <w:rPr>
                <w:b/>
              </w:rPr>
            </w:pPr>
            <w:r>
              <w:rPr>
                <w:b/>
              </w:rPr>
              <w:t>1-month survival (%)</w:t>
            </w:r>
          </w:p>
        </w:tc>
        <w:tc>
          <w:tcPr>
            <w:tcW w:w="957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1-month CPC 1-2</w:t>
            </w:r>
          </w:p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710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1-month</w:t>
            </w:r>
          </w:p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good</w:t>
            </w:r>
          </w:p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neurologic outcomes (%)</w:t>
            </w:r>
          </w:p>
        </w:tc>
        <w:tc>
          <w:tcPr>
            <w:tcW w:w="1635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6-month survival (%)</w:t>
            </w:r>
          </w:p>
        </w:tc>
        <w:tc>
          <w:tcPr>
            <w:tcW w:w="1579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6-month CPC 1-2</w:t>
            </w:r>
          </w:p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(%)</w:t>
            </w:r>
          </w:p>
        </w:tc>
        <w:tc>
          <w:tcPr>
            <w:tcW w:w="1635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6-month good neurologic  outcomes (%)</w:t>
            </w:r>
          </w:p>
        </w:tc>
        <w:tc>
          <w:tcPr>
            <w:tcW w:w="1050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VF/VT (%)</w:t>
            </w:r>
          </w:p>
        </w:tc>
        <w:tc>
          <w:tcPr>
            <w:tcW w:w="1020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TH (%)</w:t>
            </w:r>
          </w:p>
        </w:tc>
        <w:tc>
          <w:tcPr>
            <w:tcW w:w="1541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GCS on presentation</w:t>
            </w:r>
          </w:p>
        </w:tc>
        <w:tc>
          <w:tcPr>
            <w:tcW w:w="843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Asystole/</w:t>
            </w:r>
          </w:p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PEA (%)</w:t>
            </w:r>
          </w:p>
        </w:tc>
        <w:tc>
          <w:tcPr>
            <w:tcW w:w="970" w:type="dxa"/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PCI 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421" w:type="dxa"/>
          </w:tcPr>
          <w:p>
            <w:pPr>
              <w:spacing w:after="0" w:line="240" w:lineRule="auto"/>
              <w:ind w:left="-720" w:right="-720"/>
              <w:jc w:val="center"/>
            </w:pPr>
            <w:r>
              <w:t>10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</w:pPr>
            <w:r>
              <w:t>54/87</w:t>
            </w:r>
          </w:p>
          <w:p>
            <w:pPr>
              <w:spacing w:after="0" w:line="240" w:lineRule="auto"/>
              <w:jc w:val="center"/>
            </w:pPr>
            <w:r>
              <w:t>(66/54)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53/79</w:t>
            </w:r>
          </w:p>
          <w:p>
            <w:pPr>
              <w:spacing w:after="0" w:line="240" w:lineRule="auto"/>
              <w:jc w:val="center"/>
            </w:pPr>
            <w:r>
              <w:t>(65/49)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t>90/68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</w:pPr>
            <w:r>
              <w:t>98/83</w:t>
            </w:r>
          </w:p>
        </w:tc>
        <w:tc>
          <w:tcPr>
            <w:tcW w:w="1541" w:type="dxa"/>
          </w:tcPr>
          <w:p>
            <w:pPr>
              <w:spacing w:after="0" w:line="240" w:lineRule="auto"/>
              <w:jc w:val="center"/>
            </w:pPr>
            <w:r>
              <w:t>≤8</w:t>
            </w:r>
          </w:p>
        </w:tc>
        <w:tc>
          <w:tcPr>
            <w:tcW w:w="843" w:type="dxa"/>
          </w:tcPr>
          <w:p>
            <w:pPr>
              <w:spacing w:after="0" w:line="240" w:lineRule="auto"/>
              <w:jc w:val="center"/>
            </w:pPr>
            <w:r>
              <w:t>10/32</w:t>
            </w:r>
          </w:p>
        </w:tc>
        <w:tc>
          <w:tcPr>
            <w:tcW w:w="970" w:type="dxa"/>
          </w:tcPr>
          <w:p>
            <w:pPr>
              <w:spacing w:after="0" w:line="240" w:lineRule="auto"/>
              <w:jc w:val="center"/>
            </w:pPr>
            <w:r>
              <w:t>29/15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421" w:type="dxa"/>
          </w:tcPr>
          <w:p>
            <w:pPr>
              <w:spacing w:after="0" w:line="240" w:lineRule="auto"/>
              <w:ind w:left="-720" w:right="-720"/>
              <w:jc w:val="center"/>
            </w:pPr>
            <w:r>
              <w:t>11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130/133</w:t>
            </w:r>
          </w:p>
          <w:p>
            <w:pPr>
              <w:spacing w:after="0" w:line="240" w:lineRule="auto"/>
              <w:jc w:val="center"/>
            </w:pPr>
            <w:r>
              <w:t>(52/46)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122/119 (49/41)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t>80/70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</w:pPr>
            <w:r>
              <w:t>100/100</w:t>
            </w:r>
          </w:p>
        </w:tc>
        <w:tc>
          <w:tcPr>
            <w:tcW w:w="1541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843" w:type="dxa"/>
          </w:tcPr>
          <w:p>
            <w:pPr>
              <w:spacing w:after="0" w:line="240" w:lineRule="auto"/>
              <w:jc w:val="center"/>
            </w:pPr>
            <w:r>
              <w:t>20/29</w:t>
            </w:r>
          </w:p>
        </w:tc>
        <w:tc>
          <w:tcPr>
            <w:tcW w:w="970" w:type="dxa"/>
          </w:tcPr>
          <w:p>
            <w:pPr>
              <w:spacing w:after="0" w:line="240" w:lineRule="auto"/>
              <w:jc w:val="center"/>
            </w:pPr>
            <w:r>
              <w:t>40/9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21" w:type="dxa"/>
          </w:tcPr>
          <w:p>
            <w:pPr>
              <w:spacing w:after="0" w:line="240" w:lineRule="auto"/>
              <w:ind w:left="-720" w:right="-720"/>
              <w:jc w:val="center"/>
            </w:pPr>
            <w:r>
              <w:t>15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t>100/100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541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843" w:type="dxa"/>
          </w:tcPr>
          <w:p>
            <w:pPr>
              <w:spacing w:after="0" w:line="240" w:lineRule="auto"/>
              <w:jc w:val="center"/>
            </w:pPr>
            <w:r>
              <w:t>00/00</w:t>
            </w:r>
          </w:p>
        </w:tc>
        <w:tc>
          <w:tcPr>
            <w:tcW w:w="970" w:type="dxa"/>
          </w:tcPr>
          <w:p>
            <w:pPr>
              <w:spacing w:after="0" w:line="240" w:lineRule="auto"/>
              <w:jc w:val="center"/>
            </w:pPr>
            <w:r>
              <w:t>36/10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21" w:type="dxa"/>
          </w:tcPr>
          <w:p>
            <w:pPr>
              <w:spacing w:after="0" w:line="240" w:lineRule="auto"/>
              <w:ind w:left="-720" w:right="-720"/>
              <w:jc w:val="center"/>
            </w:pPr>
            <w:r>
              <w:t>12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69/57</w:t>
            </w:r>
          </w:p>
          <w:p>
            <w:pPr>
              <w:spacing w:after="0" w:line="240" w:lineRule="auto"/>
              <w:jc w:val="center"/>
            </w:pPr>
            <w:r>
              <w:t>(60/40.4)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</w:pPr>
            <w:r>
              <w:t>69/56</w:t>
            </w:r>
          </w:p>
          <w:p>
            <w:pPr>
              <w:spacing w:after="0" w:line="240" w:lineRule="auto"/>
              <w:jc w:val="center"/>
            </w:pPr>
            <w:r>
              <w:t>(60/39.7)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t>100/100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</w:pPr>
            <w:r>
              <w:t>100/100</w:t>
            </w:r>
          </w:p>
        </w:tc>
        <w:tc>
          <w:tcPr>
            <w:tcW w:w="1541" w:type="dxa"/>
          </w:tcPr>
          <w:p>
            <w:pPr>
              <w:spacing w:after="0" w:line="240" w:lineRule="auto"/>
              <w:jc w:val="center"/>
            </w:pPr>
            <w:r>
              <w:t>≥3</w:t>
            </w:r>
          </w:p>
        </w:tc>
        <w:tc>
          <w:tcPr>
            <w:tcW w:w="843" w:type="dxa"/>
          </w:tcPr>
          <w:p>
            <w:pPr>
              <w:spacing w:after="0" w:line="240" w:lineRule="auto"/>
              <w:jc w:val="center"/>
            </w:pPr>
            <w:r>
              <w:t>00/00</w:t>
            </w:r>
          </w:p>
        </w:tc>
        <w:tc>
          <w:tcPr>
            <w:tcW w:w="970" w:type="dxa"/>
          </w:tcPr>
          <w:p>
            <w:pPr>
              <w:spacing w:after="0" w:line="240" w:lineRule="auto"/>
              <w:jc w:val="center"/>
            </w:pPr>
            <w:r>
              <w:t>11/33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21" w:type="dxa"/>
          </w:tcPr>
          <w:p>
            <w:pPr>
              <w:spacing w:after="0" w:line="240" w:lineRule="auto"/>
              <w:ind w:left="-720" w:right="-720"/>
              <w:jc w:val="center"/>
            </w:pPr>
            <w:r>
              <w:t>30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541" w:type="dxa"/>
          </w:tcPr>
          <w:p>
            <w:pPr>
              <w:spacing w:after="0" w:line="240" w:lineRule="auto"/>
              <w:jc w:val="center"/>
            </w:pPr>
            <w:r>
              <w:t>&gt;3</w:t>
            </w:r>
          </w:p>
        </w:tc>
        <w:tc>
          <w:tcPr>
            <w:tcW w:w="843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7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21" w:type="dxa"/>
          </w:tcPr>
          <w:p>
            <w:pPr>
              <w:spacing w:after="0" w:line="240" w:lineRule="auto"/>
              <w:ind w:left="-720" w:right="-720"/>
              <w:jc w:val="center"/>
            </w:pPr>
            <w:r>
              <w:t>13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12/13</w:t>
            </w:r>
          </w:p>
          <w:p>
            <w:pPr>
              <w:spacing w:after="0" w:line="240" w:lineRule="auto"/>
              <w:jc w:val="center"/>
            </w:pPr>
            <w:r>
              <w:t>(71/87)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/>
              </w:rPr>
            </w:pPr>
            <w:r>
              <w:t>11/12</w:t>
            </w:r>
          </w:p>
          <w:p>
            <w:pPr>
              <w:spacing w:after="0" w:line="240" w:lineRule="auto"/>
              <w:jc w:val="center"/>
            </w:pPr>
            <w:r>
              <w:rPr>
                <w:rFonts w:eastAsia="宋体"/>
              </w:rPr>
              <w:t>(</w:t>
            </w:r>
            <w:r>
              <w:t>65/80)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t>88/69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</w:pPr>
            <w:r>
              <w:t>100/100</w:t>
            </w:r>
          </w:p>
        </w:tc>
        <w:tc>
          <w:tcPr>
            <w:tcW w:w="1541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843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7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21" w:type="dxa"/>
          </w:tcPr>
          <w:p>
            <w:pPr>
              <w:spacing w:after="0" w:line="240" w:lineRule="auto"/>
              <w:ind w:left="-720" w:right="-720"/>
              <w:jc w:val="center"/>
            </w:pPr>
            <w:r>
              <w:t>14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</w:pPr>
            <w:r>
              <w:t>9/6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(50/40)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jc w:val="center"/>
            </w:pPr>
            <w:r>
              <w:t>9/7</w:t>
            </w:r>
          </w:p>
          <w:p>
            <w:pPr>
              <w:spacing w:after="0" w:line="240" w:lineRule="auto"/>
              <w:jc w:val="center"/>
            </w:pPr>
            <w:r>
              <w:t>(50/50)</w:t>
            </w: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</w:pPr>
            <w:r>
              <w:t>9/7</w:t>
            </w:r>
          </w:p>
          <w:p>
            <w:pPr>
              <w:spacing w:after="0" w:line="240" w:lineRule="auto"/>
              <w:jc w:val="center"/>
            </w:pPr>
            <w:r>
              <w:t>(50/47)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541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843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70" w:type="dxa"/>
          </w:tcPr>
          <w:p>
            <w:pPr>
              <w:spacing w:after="0" w:line="240" w:lineRule="auto"/>
              <w:jc w:val="center"/>
            </w:pPr>
            <w:r>
              <w:t>39/33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21" w:type="dxa"/>
          </w:tcPr>
          <w:p>
            <w:pPr>
              <w:spacing w:after="0" w:line="240" w:lineRule="auto"/>
              <w:ind w:left="-720" w:right="-720"/>
              <w:jc w:val="center"/>
            </w:pPr>
            <w:r>
              <w:t>16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541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843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7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21" w:type="dxa"/>
          </w:tcPr>
          <w:p>
            <w:pPr>
              <w:spacing w:after="0" w:line="240" w:lineRule="auto"/>
              <w:ind w:left="-720" w:right="-720"/>
              <w:jc w:val="center"/>
            </w:pPr>
            <w:r>
              <w:t>17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</w:rPr>
            </w:pPr>
            <w:r>
              <w:rPr>
                <w:rFonts w:eastAsia="宋体"/>
              </w:rPr>
              <w:t>(67.1/75.3)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Times New Roman"/>
              </w:rPr>
            </w:pP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  <w:rPr>
                <w:rFonts w:ascii="宋体" w:hAnsi="宋体" w:eastAsia="宋体"/>
              </w:rPr>
            </w:pPr>
            <w:r>
              <w:rPr>
                <w:rFonts w:eastAsia="宋体" w:cs="Times New Roman"/>
              </w:rPr>
              <w:t>(</w:t>
            </w:r>
            <w:r>
              <w:rPr>
                <w:rFonts w:eastAsia="宋体"/>
              </w:rPr>
              <w:t>35.6/50.7)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  <w:rPr>
                <w:rFonts w:hint="eastAsia" w:ascii="Times New Roman" w:hAnsi="Times New Roman" w:eastAsia="Times New Roman"/>
              </w:rPr>
            </w:pPr>
            <w:r>
              <w:t>N/A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541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843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70" w:type="dxa"/>
          </w:tcPr>
          <w:p>
            <w:pPr>
              <w:spacing w:after="0" w:line="240" w:lineRule="auto"/>
              <w:jc w:val="center"/>
            </w:pPr>
            <w:r>
              <w:t>28/21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21" w:type="dxa"/>
          </w:tcPr>
          <w:p>
            <w:pPr>
              <w:spacing w:after="0" w:line="240" w:lineRule="auto"/>
              <w:ind w:left="-720" w:right="-720"/>
              <w:jc w:val="center"/>
            </w:pPr>
            <w:r>
              <w:t>1</w:t>
            </w:r>
          </w:p>
        </w:tc>
        <w:tc>
          <w:tcPr>
            <w:tcW w:w="1412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57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579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635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5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020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1541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3" w:type="dxa"/>
          </w:tcPr>
          <w:p>
            <w:pPr>
              <w:spacing w:after="0" w:line="240" w:lineRule="auto"/>
              <w:jc w:val="center"/>
            </w:pPr>
            <w:r>
              <w:t>N/A</w:t>
            </w:r>
          </w:p>
        </w:tc>
        <w:tc>
          <w:tcPr>
            <w:tcW w:w="970" w:type="dxa"/>
          </w:tcPr>
          <w:p>
            <w:pPr>
              <w:spacing w:after="0" w:line="240" w:lineRule="auto"/>
              <w:jc w:val="center"/>
            </w:pPr>
            <w:r>
              <w:t>176/178</w:t>
            </w:r>
          </w:p>
        </w:tc>
      </w:tr>
    </w:tbl>
    <w:p>
      <w:pPr>
        <w:ind w:left="-720" w:right="-720"/>
      </w:pPr>
      <w:r>
        <w:t xml:space="preserve">BLS = basic life support; CPC 1-2 = cerebral performance categories 1 and 2; VF/VT = ventricular fibrillation/ventricular tachycardia; </w:t>
      </w:r>
      <w:r>
        <w:rPr>
          <w:rFonts w:hint="eastAsia" w:eastAsia="宋体"/>
          <w:lang w:val="en-US" w:eastAsia="zh-CN"/>
        </w:rPr>
        <w:t>TH=</w:t>
      </w:r>
      <w:r>
        <w:rPr>
          <w:rFonts w:hAnsi="Arial" w:eastAsia="宋体" w:cs="Arial" w:asciiTheme="minorAscii"/>
          <w:i w:val="0"/>
          <w:caps w:val="0"/>
          <w:color w:val="auto"/>
          <w:spacing w:val="0"/>
          <w:sz w:val="22"/>
          <w:szCs w:val="22"/>
          <w:u w:val="none"/>
        </w:rPr>
        <w:t>Therapeutic Hypothermia</w:t>
      </w:r>
      <w:r>
        <w:t xml:space="preserve"> ; GCS = Glasgow Coma Sco</w:t>
      </w:r>
      <w:bookmarkStart w:id="0" w:name="_GoBack"/>
      <w:bookmarkEnd w:id="0"/>
      <w:r>
        <w:t>re; PEA = pulseless electrical activity; PCI = percutaneous coronary intervention.</w:t>
      </w:r>
    </w:p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02"/>
    <w:rsid w:val="00010FE2"/>
    <w:rsid w:val="00017702"/>
    <w:rsid w:val="000868DE"/>
    <w:rsid w:val="001435C9"/>
    <w:rsid w:val="00143F3A"/>
    <w:rsid w:val="00192F24"/>
    <w:rsid w:val="00330FFE"/>
    <w:rsid w:val="003B4C25"/>
    <w:rsid w:val="00514EC7"/>
    <w:rsid w:val="00542E59"/>
    <w:rsid w:val="006141FB"/>
    <w:rsid w:val="00860A53"/>
    <w:rsid w:val="0086315B"/>
    <w:rsid w:val="008A36A7"/>
    <w:rsid w:val="009140ED"/>
    <w:rsid w:val="0095506B"/>
    <w:rsid w:val="00A83CBF"/>
    <w:rsid w:val="00AB5117"/>
    <w:rsid w:val="00AD1572"/>
    <w:rsid w:val="00B33C5E"/>
    <w:rsid w:val="00C01A9F"/>
    <w:rsid w:val="00CA6F70"/>
    <w:rsid w:val="00DE260C"/>
    <w:rsid w:val="00DE7B6D"/>
    <w:rsid w:val="00E3705B"/>
    <w:rsid w:val="41E5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0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3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annotation subject"/>
    <w:basedOn w:val="2"/>
    <w:next w:val="2"/>
    <w:link w:val="11"/>
    <w:semiHidden/>
    <w:unhideWhenUsed/>
    <w:qFormat/>
    <w:uiPriority w:val="99"/>
    <w:rPr>
      <w:b/>
      <w:bCs/>
    </w:r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annotation reference"/>
    <w:basedOn w:val="7"/>
    <w:semiHidden/>
    <w:unhideWhenUsed/>
    <w:uiPriority w:val="99"/>
    <w:rPr>
      <w:sz w:val="16"/>
      <w:szCs w:val="16"/>
    </w:rPr>
  </w:style>
  <w:style w:type="character" w:customStyle="1" w:styleId="9">
    <w:name w:val="Balloon Text Char"/>
    <w:basedOn w:val="7"/>
    <w:link w:val="3"/>
    <w:semiHidden/>
    <w:uiPriority w:val="99"/>
    <w:rPr>
      <w:rFonts w:ascii="Segoe UI" w:hAnsi="Segoe UI" w:cs="Segoe UI"/>
      <w:sz w:val="18"/>
      <w:szCs w:val="18"/>
    </w:rPr>
  </w:style>
  <w:style w:type="character" w:customStyle="1" w:styleId="10">
    <w:name w:val="Comment Text Char"/>
    <w:basedOn w:val="7"/>
    <w:link w:val="2"/>
    <w:semiHidden/>
    <w:uiPriority w:val="99"/>
    <w:rPr>
      <w:sz w:val="20"/>
      <w:szCs w:val="20"/>
    </w:rPr>
  </w:style>
  <w:style w:type="character" w:customStyle="1" w:styleId="11">
    <w:name w:val="Comment Subject Char"/>
    <w:basedOn w:val="10"/>
    <w:link w:val="4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University of Florida Academic Health Center</Company>
  <Pages>3</Pages>
  <Words>365</Words>
  <Characters>2083</Characters>
  <Lines>17</Lines>
  <Paragraphs>4</Paragraphs>
  <TotalTime>62</TotalTime>
  <ScaleCrop>false</ScaleCrop>
  <LinksUpToDate>false</LinksUpToDate>
  <CharactersWithSpaces>2444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2019-08-22T16:16:00Z</dcterms:created>
  <dc:creator>Astrom,Rebecca Corey</dc:creator>
  <cp:lastModifiedBy>admin</cp:lastModifiedBy>
  <dcterms:modified xsi:type="dcterms:W3CDTF">2019-08-24T02:51:34Z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