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8F" w:rsidRPr="00306C64" w:rsidRDefault="005B1E8F" w:rsidP="005B1E8F">
      <w:pPr>
        <w:spacing w:after="0"/>
        <w:rPr>
          <w:rFonts w:cs="Times New Roman"/>
          <w:b/>
          <w:color w:val="000000" w:themeColor="text1"/>
          <w:szCs w:val="24"/>
        </w:rPr>
      </w:pPr>
      <w:r w:rsidRPr="00306C64">
        <w:rPr>
          <w:rFonts w:cs="Times New Roman"/>
          <w:b/>
          <w:color w:val="000000" w:themeColor="text1"/>
          <w:szCs w:val="24"/>
        </w:rPr>
        <w:t>SUPPLEMENT FILE</w:t>
      </w:r>
    </w:p>
    <w:p w:rsidR="000A7AF9" w:rsidRDefault="000A7AF9" w:rsidP="005B1E8F">
      <w:pPr>
        <w:spacing w:after="0"/>
        <w:rPr>
          <w:rFonts w:cs="Times New Roman"/>
          <w:color w:val="000000" w:themeColor="text1"/>
          <w:szCs w:val="24"/>
        </w:rPr>
      </w:pPr>
    </w:p>
    <w:p w:rsidR="000A7AF9" w:rsidRDefault="007C1B31" w:rsidP="005B1E8F">
      <w:pPr>
        <w:spacing w:after="0"/>
        <w:rPr>
          <w:rFonts w:cs="Times New Roman"/>
          <w:color w:val="000000" w:themeColor="text1"/>
          <w:szCs w:val="24"/>
        </w:rPr>
      </w:pPr>
      <w:r w:rsidRPr="007C1B31">
        <w:rPr>
          <w:rFonts w:cs="Times New Roman"/>
          <w:b/>
          <w:color w:val="000000" w:themeColor="text1"/>
          <w:sz w:val="22"/>
          <w:szCs w:val="24"/>
        </w:rPr>
        <w:t xml:space="preserve">Efficacy and Safety of </w:t>
      </w:r>
      <w:r w:rsidRPr="007C1B31">
        <w:rPr>
          <w:rFonts w:cs="Times New Roman"/>
          <w:b/>
          <w:i/>
          <w:color w:val="000000" w:themeColor="text1"/>
          <w:sz w:val="22"/>
          <w:szCs w:val="24"/>
        </w:rPr>
        <w:t>Bacillus coagulans</w:t>
      </w:r>
      <w:r w:rsidRPr="007C1B31">
        <w:rPr>
          <w:rFonts w:cs="Times New Roman"/>
          <w:b/>
          <w:color w:val="000000" w:themeColor="text1"/>
          <w:sz w:val="22"/>
          <w:szCs w:val="24"/>
        </w:rPr>
        <w:t xml:space="preserve"> LBSC in Irritable Bowel Syndrome: A Prospective, Interventional, Randomized, Double-Blind, Placebo-Controlled Clinical Study [CONSORT Compliant]</w:t>
      </w:r>
    </w:p>
    <w:p w:rsidR="005B1E8F" w:rsidRPr="00306C64" w:rsidRDefault="005B1E8F" w:rsidP="005B1E8F">
      <w:pPr>
        <w:spacing w:after="0"/>
        <w:rPr>
          <w:rFonts w:cs="Times New Roman"/>
          <w:color w:val="000000" w:themeColor="text1"/>
          <w:sz w:val="20"/>
          <w:szCs w:val="24"/>
        </w:rPr>
      </w:pPr>
      <w:r w:rsidRPr="00306C64">
        <w:rPr>
          <w:rFonts w:cs="Times New Roman"/>
          <w:color w:val="000000" w:themeColor="text1"/>
          <w:sz w:val="20"/>
          <w:szCs w:val="24"/>
        </w:rPr>
        <w:t xml:space="preserve">Anil Kumar Gupta and Chiranjit Maity* </w:t>
      </w:r>
    </w:p>
    <w:p w:rsidR="00920962" w:rsidRPr="00306C64" w:rsidRDefault="00920962" w:rsidP="005B1E8F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0000" w:themeColor="text1"/>
          <w:sz w:val="20"/>
          <w:szCs w:val="24"/>
        </w:rPr>
      </w:pPr>
    </w:p>
    <w:p w:rsidR="00920962" w:rsidRPr="00306C64" w:rsidRDefault="005B1E8F" w:rsidP="00920962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0000" w:themeColor="text1"/>
          <w:sz w:val="20"/>
          <w:szCs w:val="24"/>
        </w:rPr>
      </w:pPr>
      <w:r w:rsidRPr="00306C64">
        <w:rPr>
          <w:rFonts w:eastAsia="Times New Roman" w:cs="Times New Roman"/>
          <w:b/>
          <w:i/>
          <w:color w:val="000000" w:themeColor="text1"/>
          <w:sz w:val="20"/>
          <w:szCs w:val="24"/>
        </w:rPr>
        <w:t xml:space="preserve">* </w:t>
      </w:r>
      <w:r w:rsidR="00920962" w:rsidRPr="00306C64">
        <w:rPr>
          <w:rFonts w:eastAsia="Times New Roman" w:cs="Times New Roman"/>
          <w:b/>
          <w:i/>
          <w:color w:val="000000" w:themeColor="text1"/>
          <w:sz w:val="20"/>
          <w:szCs w:val="24"/>
        </w:rPr>
        <w:t>Corresponding author</w:t>
      </w:r>
    </w:p>
    <w:p w:rsidR="00920962" w:rsidRPr="00306C64" w:rsidRDefault="00920962" w:rsidP="0092096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4"/>
        </w:rPr>
      </w:pPr>
      <w:r w:rsidRPr="00306C64">
        <w:rPr>
          <w:rFonts w:eastAsia="Times New Roman" w:cs="Times New Roman"/>
          <w:color w:val="000000" w:themeColor="text1"/>
          <w:sz w:val="20"/>
          <w:szCs w:val="24"/>
        </w:rPr>
        <w:t>Dr. Chiranjit Maity</w:t>
      </w:r>
    </w:p>
    <w:p w:rsidR="00920962" w:rsidRPr="00306C64" w:rsidRDefault="00920962" w:rsidP="00920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Style w:val="Hyperlink"/>
          <w:rFonts w:eastAsia="Times New Roman" w:cs="Times New Roman"/>
          <w:color w:val="000000" w:themeColor="text1"/>
          <w:sz w:val="20"/>
          <w:szCs w:val="24"/>
        </w:rPr>
      </w:pPr>
      <w:r w:rsidRPr="00306C64">
        <w:rPr>
          <w:rFonts w:eastAsia="Times New Roman" w:cs="Times New Roman"/>
          <w:color w:val="000000" w:themeColor="text1"/>
          <w:sz w:val="20"/>
          <w:szCs w:val="24"/>
        </w:rPr>
        <w:t xml:space="preserve">Email: </w:t>
      </w:r>
      <w:hyperlink r:id="rId7" w:history="1">
        <w:r w:rsidRPr="00306C64">
          <w:rPr>
            <w:rStyle w:val="Hyperlink"/>
            <w:rFonts w:eastAsia="Times New Roman" w:cs="Times New Roman"/>
            <w:color w:val="000000" w:themeColor="text1"/>
            <w:sz w:val="20"/>
            <w:szCs w:val="24"/>
          </w:rPr>
          <w:t>chiranjit@advancedenzymes.com</w:t>
        </w:r>
      </w:hyperlink>
      <w:r w:rsidRPr="00306C64">
        <w:rPr>
          <w:rStyle w:val="Hyperlink"/>
          <w:rFonts w:eastAsia="Times New Roman" w:cs="Times New Roman"/>
          <w:color w:val="000000" w:themeColor="text1"/>
          <w:sz w:val="20"/>
          <w:szCs w:val="24"/>
        </w:rPr>
        <w:t xml:space="preserve"> </w:t>
      </w:r>
    </w:p>
    <w:p w:rsidR="00920962" w:rsidRPr="00306C64" w:rsidRDefault="00920962" w:rsidP="0092096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0"/>
          <w:szCs w:val="24"/>
        </w:rPr>
      </w:pPr>
      <w:r w:rsidRPr="00306C64">
        <w:rPr>
          <w:rFonts w:cs="Times New Roman"/>
          <w:color w:val="000000" w:themeColor="text1"/>
          <w:sz w:val="20"/>
          <w:szCs w:val="24"/>
        </w:rPr>
        <w:t xml:space="preserve">Probiotics Laboratory, Advanced Enzyme Technologies Ltd., </w:t>
      </w:r>
    </w:p>
    <w:p w:rsidR="00920962" w:rsidRPr="00306C64" w:rsidRDefault="00920962" w:rsidP="0092096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4"/>
        </w:rPr>
      </w:pPr>
      <w:r w:rsidRPr="00306C64">
        <w:rPr>
          <w:rFonts w:cs="Times New Roman"/>
          <w:color w:val="000000" w:themeColor="text1"/>
          <w:sz w:val="20"/>
          <w:szCs w:val="24"/>
        </w:rPr>
        <w:t>5</w:t>
      </w:r>
      <w:r w:rsidRPr="00306C64">
        <w:rPr>
          <w:rFonts w:cs="Times New Roman"/>
          <w:color w:val="000000" w:themeColor="text1"/>
          <w:sz w:val="20"/>
          <w:szCs w:val="24"/>
          <w:vertAlign w:val="superscript"/>
        </w:rPr>
        <w:t>Th</w:t>
      </w:r>
      <w:r w:rsidRPr="00306C64">
        <w:rPr>
          <w:rFonts w:cs="Times New Roman"/>
          <w:color w:val="000000" w:themeColor="text1"/>
          <w:sz w:val="20"/>
          <w:szCs w:val="24"/>
        </w:rPr>
        <w:t xml:space="preserve"> Floor, A-Wing, </w:t>
      </w:r>
      <w:r w:rsidRPr="00306C64">
        <w:rPr>
          <w:rFonts w:eastAsia="Times New Roman" w:cs="Times New Roman"/>
          <w:color w:val="000000" w:themeColor="text1"/>
          <w:sz w:val="20"/>
          <w:szCs w:val="24"/>
        </w:rPr>
        <w:t xml:space="preserve">Sun Magnetica, LIC Service Road </w:t>
      </w:r>
    </w:p>
    <w:p w:rsidR="00920962" w:rsidRPr="00306C64" w:rsidRDefault="00920962" w:rsidP="0092096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4"/>
        </w:rPr>
      </w:pPr>
      <w:r w:rsidRPr="00306C64">
        <w:rPr>
          <w:rFonts w:eastAsia="Times New Roman" w:cs="Times New Roman"/>
          <w:color w:val="000000" w:themeColor="text1"/>
          <w:sz w:val="20"/>
          <w:szCs w:val="24"/>
        </w:rPr>
        <w:t xml:space="preserve">Louiswadi, Thane (W) - 400 604 </w:t>
      </w:r>
    </w:p>
    <w:p w:rsidR="00920962" w:rsidRPr="00306C64" w:rsidRDefault="00920962" w:rsidP="00920962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0"/>
        </w:rPr>
      </w:pPr>
      <w:r w:rsidRPr="00306C64">
        <w:rPr>
          <w:rFonts w:eastAsia="Times New Roman" w:cs="Times New Roman"/>
          <w:color w:val="000000" w:themeColor="text1"/>
          <w:sz w:val="20"/>
          <w:szCs w:val="24"/>
        </w:rPr>
        <w:t>Maharashtra, India</w:t>
      </w:r>
    </w:p>
    <w:p w:rsidR="00920962" w:rsidRPr="00306C64" w:rsidRDefault="00920962" w:rsidP="00920962">
      <w:pPr>
        <w:spacing w:after="0" w:line="240" w:lineRule="auto"/>
        <w:rPr>
          <w:sz w:val="20"/>
        </w:rPr>
      </w:pPr>
    </w:p>
    <w:p w:rsidR="00920962" w:rsidRDefault="00920962"/>
    <w:p w:rsidR="0086449F" w:rsidRDefault="0086449F"/>
    <w:p w:rsidR="0086449F" w:rsidRPr="00810BF1" w:rsidRDefault="0086449F" w:rsidP="0086449F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Style w:val="Hyperlink"/>
          <w:rFonts w:eastAsia="Times New Roman"/>
          <w:b/>
          <w:color w:val="000000" w:themeColor="text1"/>
          <w:sz w:val="36"/>
        </w:rPr>
      </w:pPr>
      <w:r w:rsidRPr="00810BF1">
        <w:rPr>
          <w:rStyle w:val="Hyperlink"/>
          <w:rFonts w:eastAsia="Times New Roman"/>
          <w:b/>
          <w:color w:val="000000" w:themeColor="text1"/>
          <w:sz w:val="36"/>
        </w:rPr>
        <w:t>Methods</w:t>
      </w:r>
    </w:p>
    <w:p w:rsidR="0086449F" w:rsidRPr="00810BF1" w:rsidRDefault="0086449F" w:rsidP="0086449F">
      <w:pPr>
        <w:pStyle w:val="Subtitle"/>
        <w:spacing w:line="360" w:lineRule="auto"/>
        <w:rPr>
          <w:rStyle w:val="Hyperlink"/>
          <w:rFonts w:ascii="Times New Roman" w:hAnsi="Times New Roman" w:cs="Times New Roman"/>
          <w:i w:val="0"/>
          <w:color w:val="auto"/>
        </w:rPr>
      </w:pPr>
      <w:r w:rsidRPr="00810BF1">
        <w:rPr>
          <w:rStyle w:val="Hyperlink"/>
          <w:rFonts w:ascii="Times New Roman" w:hAnsi="Times New Roman" w:cs="Times New Roman"/>
          <w:i w:val="0"/>
          <w:color w:val="auto"/>
        </w:rPr>
        <w:t xml:space="preserve">Method of </w:t>
      </w:r>
      <w:r>
        <w:rPr>
          <w:rStyle w:val="Hyperlink"/>
          <w:rFonts w:ascii="Times New Roman" w:hAnsi="Times New Roman" w:cs="Times New Roman"/>
          <w:i w:val="0"/>
          <w:color w:val="auto"/>
        </w:rPr>
        <w:t>A</w:t>
      </w:r>
      <w:r w:rsidRPr="00810BF1">
        <w:rPr>
          <w:rStyle w:val="Hyperlink"/>
          <w:rFonts w:ascii="Times New Roman" w:hAnsi="Times New Roman" w:cs="Times New Roman"/>
          <w:i w:val="0"/>
          <w:color w:val="auto"/>
        </w:rPr>
        <w:t xml:space="preserve">nalysis </w:t>
      </w:r>
    </w:p>
    <w:p w:rsidR="0086449F" w:rsidRDefault="0086449F" w:rsidP="000C5EB4">
      <w:pPr>
        <w:jc w:val="both"/>
        <w:rPr>
          <w:bCs/>
          <w:sz w:val="20"/>
        </w:rPr>
      </w:pPr>
      <w:r>
        <w:rPr>
          <w:bCs/>
          <w:sz w:val="20"/>
        </w:rPr>
        <w:t xml:space="preserve">The investigational product (IP) </w:t>
      </w:r>
      <w:r w:rsidRPr="00111B4E">
        <w:rPr>
          <w:bCs/>
          <w:sz w:val="20"/>
        </w:rPr>
        <w:t>contain</w:t>
      </w:r>
      <w:r>
        <w:rPr>
          <w:bCs/>
          <w:sz w:val="20"/>
        </w:rPr>
        <w:t xml:space="preserve">ing </w:t>
      </w:r>
      <w:r w:rsidRPr="00111B4E">
        <w:rPr>
          <w:bCs/>
          <w:sz w:val="20"/>
        </w:rPr>
        <w:t xml:space="preserve">active ingredient, </w:t>
      </w:r>
      <w:r w:rsidRPr="00111B4E">
        <w:rPr>
          <w:bCs/>
          <w:i/>
          <w:sz w:val="20"/>
        </w:rPr>
        <w:t>Bacillus coagulans</w:t>
      </w:r>
      <w:r w:rsidRPr="00111B4E">
        <w:rPr>
          <w:bCs/>
          <w:sz w:val="20"/>
        </w:rPr>
        <w:t xml:space="preserve"> LBSC </w:t>
      </w:r>
      <w:r>
        <w:rPr>
          <w:bCs/>
          <w:sz w:val="20"/>
        </w:rPr>
        <w:t>[</w:t>
      </w:r>
      <w:r w:rsidRPr="00111B4E">
        <w:rPr>
          <w:bCs/>
          <w:sz w:val="20"/>
        </w:rPr>
        <w:t xml:space="preserve">2000 million </w:t>
      </w:r>
      <w:r w:rsidR="00E33318">
        <w:rPr>
          <w:bCs/>
          <w:sz w:val="20"/>
        </w:rPr>
        <w:t xml:space="preserve">active </w:t>
      </w:r>
      <w:r w:rsidRPr="00111B4E">
        <w:rPr>
          <w:bCs/>
          <w:sz w:val="20"/>
        </w:rPr>
        <w:t xml:space="preserve">spores per </w:t>
      </w:r>
      <w:r>
        <w:rPr>
          <w:bCs/>
          <w:sz w:val="20"/>
        </w:rPr>
        <w:t xml:space="preserve">gram per </w:t>
      </w:r>
      <w:r w:rsidRPr="00111B4E">
        <w:rPr>
          <w:bCs/>
          <w:sz w:val="20"/>
        </w:rPr>
        <w:t>sachet (2000×10</w:t>
      </w:r>
      <w:r w:rsidRPr="00111B4E">
        <w:rPr>
          <w:bCs/>
          <w:sz w:val="20"/>
          <w:vertAlign w:val="superscript"/>
        </w:rPr>
        <w:t>6</w:t>
      </w:r>
      <w:r w:rsidRPr="00111B4E">
        <w:rPr>
          <w:bCs/>
          <w:sz w:val="20"/>
        </w:rPr>
        <w:t xml:space="preserve"> </w:t>
      </w:r>
      <w:r w:rsidR="00E33318">
        <w:rPr>
          <w:bCs/>
          <w:sz w:val="20"/>
        </w:rPr>
        <w:t xml:space="preserve">active </w:t>
      </w:r>
      <w:r w:rsidRPr="00111B4E">
        <w:rPr>
          <w:bCs/>
          <w:sz w:val="20"/>
        </w:rPr>
        <w:t xml:space="preserve">spore/g/sachet) which is equivalent to 2 billion </w:t>
      </w:r>
      <w:r w:rsidR="00E33318">
        <w:rPr>
          <w:bCs/>
          <w:sz w:val="20"/>
        </w:rPr>
        <w:t xml:space="preserve">active </w:t>
      </w:r>
      <w:r w:rsidRPr="00111B4E">
        <w:rPr>
          <w:bCs/>
          <w:sz w:val="20"/>
        </w:rPr>
        <w:t xml:space="preserve">spores per </w:t>
      </w:r>
      <w:r>
        <w:rPr>
          <w:bCs/>
          <w:sz w:val="20"/>
        </w:rPr>
        <w:t xml:space="preserve">gram per </w:t>
      </w:r>
      <w:r w:rsidRPr="00111B4E">
        <w:rPr>
          <w:bCs/>
          <w:sz w:val="20"/>
        </w:rPr>
        <w:t>sachet (2×10</w:t>
      </w:r>
      <w:r w:rsidRPr="00111B4E">
        <w:rPr>
          <w:bCs/>
          <w:sz w:val="20"/>
          <w:vertAlign w:val="superscript"/>
        </w:rPr>
        <w:t>9</w:t>
      </w:r>
      <w:r w:rsidRPr="00111B4E">
        <w:rPr>
          <w:bCs/>
          <w:sz w:val="20"/>
        </w:rPr>
        <w:t xml:space="preserve"> </w:t>
      </w:r>
      <w:r w:rsidR="00E33318">
        <w:rPr>
          <w:bCs/>
          <w:sz w:val="20"/>
        </w:rPr>
        <w:t xml:space="preserve">active </w:t>
      </w:r>
      <w:r w:rsidRPr="00111B4E">
        <w:rPr>
          <w:bCs/>
          <w:sz w:val="20"/>
        </w:rPr>
        <w:t>spore/g/sachet)</w:t>
      </w:r>
      <w:r>
        <w:rPr>
          <w:bCs/>
          <w:sz w:val="20"/>
        </w:rPr>
        <w:t>]</w:t>
      </w:r>
      <w:r w:rsidRPr="00111B4E">
        <w:rPr>
          <w:bCs/>
          <w:sz w:val="20"/>
        </w:rPr>
        <w:t xml:space="preserve">, was supplied by Advanced Enzyme Technologies Ltd., Thane, India. The viable spore count </w:t>
      </w:r>
      <w:r>
        <w:rPr>
          <w:bCs/>
          <w:sz w:val="20"/>
        </w:rPr>
        <w:t>of</w:t>
      </w:r>
      <w:r w:rsidRPr="00111B4E">
        <w:rPr>
          <w:bCs/>
          <w:sz w:val="20"/>
        </w:rPr>
        <w:t xml:space="preserve"> </w:t>
      </w:r>
      <w:r w:rsidRPr="00111B4E">
        <w:rPr>
          <w:bCs/>
          <w:i/>
          <w:sz w:val="20"/>
        </w:rPr>
        <w:t>B. coagulans</w:t>
      </w:r>
      <w:r w:rsidRPr="00111B4E">
        <w:rPr>
          <w:bCs/>
          <w:sz w:val="20"/>
        </w:rPr>
        <w:t xml:space="preserve"> LBSC was determined by pour plate technique. Briefly, one sachet of </w:t>
      </w:r>
      <w:r>
        <w:rPr>
          <w:bCs/>
          <w:sz w:val="20"/>
        </w:rPr>
        <w:t>IP</w:t>
      </w:r>
      <w:r w:rsidRPr="00111B4E">
        <w:rPr>
          <w:bCs/>
          <w:sz w:val="20"/>
        </w:rPr>
        <w:t xml:space="preserve"> powder (1.00 g) was suspended in tween peptone water (%, compositions: protease peptone, </w:t>
      </w:r>
      <w:r w:rsidRPr="00111B4E">
        <w:rPr>
          <w:sz w:val="20"/>
        </w:rPr>
        <w:t>1.0 %</w:t>
      </w:r>
      <w:r w:rsidRPr="00111B4E">
        <w:rPr>
          <w:bCs/>
          <w:sz w:val="20"/>
        </w:rPr>
        <w:t xml:space="preserve">; sodium chloride, </w:t>
      </w:r>
      <w:r w:rsidRPr="00111B4E">
        <w:rPr>
          <w:sz w:val="20"/>
        </w:rPr>
        <w:t>0.5 %</w:t>
      </w:r>
      <w:r w:rsidRPr="00111B4E">
        <w:rPr>
          <w:bCs/>
          <w:sz w:val="20"/>
        </w:rPr>
        <w:t xml:space="preserve">; disodium phosphate, </w:t>
      </w:r>
      <w:r w:rsidRPr="00111B4E">
        <w:rPr>
          <w:sz w:val="20"/>
        </w:rPr>
        <w:t>0.35 %</w:t>
      </w:r>
      <w:r w:rsidRPr="00111B4E">
        <w:rPr>
          <w:bCs/>
          <w:sz w:val="20"/>
        </w:rPr>
        <w:t xml:space="preserve">; monosodium phosphate, </w:t>
      </w:r>
      <w:r w:rsidRPr="00111B4E">
        <w:rPr>
          <w:sz w:val="20"/>
        </w:rPr>
        <w:t>0.15</w:t>
      </w:r>
      <w:r w:rsidRPr="00111B4E">
        <w:rPr>
          <w:bCs/>
          <w:sz w:val="20"/>
        </w:rPr>
        <w:t xml:space="preserve">; tween 80, </w:t>
      </w:r>
      <w:r w:rsidRPr="00111B4E">
        <w:rPr>
          <w:sz w:val="20"/>
        </w:rPr>
        <w:t>0.2 %</w:t>
      </w:r>
      <w:r w:rsidRPr="00111B4E">
        <w:rPr>
          <w:bCs/>
          <w:sz w:val="20"/>
        </w:rPr>
        <w:t>) and serially diluted. The diluted samples were given heat shock in a water bath for 30 min at 75°C, followed by immediate cooling to below 45°C. 1.0 ml of thus obtained treated spore suspension was dispensed in petriplate and presterilized molten GYE agar (</w:t>
      </w:r>
      <w:r>
        <w:rPr>
          <w:bCs/>
          <w:sz w:val="20"/>
        </w:rPr>
        <w:t xml:space="preserve">M963, </w:t>
      </w:r>
      <w:r w:rsidRPr="00111B4E">
        <w:rPr>
          <w:bCs/>
          <w:sz w:val="20"/>
        </w:rPr>
        <w:t xml:space="preserve">HiMedia, Mumbai, India) was added to the plates. The plates were allowed to solidify and invertedly incubated at 37 °C for 48–72 h. The activity was expressed in colony forming units of viable spores per gram (cfu/g) of powder by taking the average mean of results. The placebo contained only the excipient, </w:t>
      </w:r>
      <w:r>
        <w:rPr>
          <w:bCs/>
          <w:sz w:val="20"/>
        </w:rPr>
        <w:t>maltodextrin. B</w:t>
      </w:r>
      <w:r w:rsidRPr="00111B4E">
        <w:rPr>
          <w:bCs/>
          <w:sz w:val="20"/>
        </w:rPr>
        <w:t xml:space="preserve">oth the investigational and placebo product had stringently passed </w:t>
      </w:r>
      <w:r>
        <w:rPr>
          <w:bCs/>
          <w:sz w:val="20"/>
        </w:rPr>
        <w:t>through</w:t>
      </w:r>
      <w:r w:rsidRPr="00111B4E">
        <w:rPr>
          <w:bCs/>
          <w:sz w:val="20"/>
        </w:rPr>
        <w:t xml:space="preserve"> other required specifications</w:t>
      </w:r>
      <w:r>
        <w:rPr>
          <w:bCs/>
          <w:sz w:val="20"/>
        </w:rPr>
        <w:t xml:space="preserve"> like physical appearance, microscopic appearance, strength, and microbial limit [other aerobic microbial count, yeast &amp; mold count, </w:t>
      </w:r>
      <w:r w:rsidRPr="00BF51FB">
        <w:rPr>
          <w:bCs/>
          <w:i/>
          <w:sz w:val="20"/>
        </w:rPr>
        <w:t>E. coli</w:t>
      </w:r>
      <w:r>
        <w:rPr>
          <w:bCs/>
          <w:sz w:val="20"/>
        </w:rPr>
        <w:t xml:space="preserve">, </w:t>
      </w:r>
      <w:r w:rsidRPr="00BF51FB">
        <w:rPr>
          <w:bCs/>
          <w:i/>
          <w:sz w:val="20"/>
        </w:rPr>
        <w:t>Salmonella</w:t>
      </w:r>
      <w:r>
        <w:rPr>
          <w:bCs/>
          <w:sz w:val="20"/>
        </w:rPr>
        <w:t xml:space="preserve"> spp., </w:t>
      </w:r>
      <w:r w:rsidRPr="00BF51FB">
        <w:rPr>
          <w:bCs/>
          <w:i/>
          <w:sz w:val="20"/>
        </w:rPr>
        <w:t>S. aureus</w:t>
      </w:r>
      <w:r>
        <w:rPr>
          <w:bCs/>
          <w:sz w:val="20"/>
        </w:rPr>
        <w:t xml:space="preserve"> and </w:t>
      </w:r>
      <w:r w:rsidRPr="00BF51FB">
        <w:rPr>
          <w:bCs/>
          <w:i/>
          <w:sz w:val="20"/>
        </w:rPr>
        <w:t>P. aeruginosa</w:t>
      </w:r>
      <w:r>
        <w:rPr>
          <w:bCs/>
          <w:sz w:val="20"/>
        </w:rPr>
        <w:t xml:space="preserve">]. All microbial limits were analysed following standard Indian Pharmacopeia guidelines or other international standard guidelines. </w:t>
      </w:r>
      <w:r w:rsidRPr="00111B4E">
        <w:rPr>
          <w:bCs/>
          <w:sz w:val="20"/>
        </w:rPr>
        <w:t>All the analys</w:t>
      </w:r>
      <w:r>
        <w:rPr>
          <w:bCs/>
          <w:sz w:val="20"/>
        </w:rPr>
        <w:t>e</w:t>
      </w:r>
      <w:r w:rsidRPr="00111B4E">
        <w:rPr>
          <w:bCs/>
          <w:sz w:val="20"/>
        </w:rPr>
        <w:t>s w</w:t>
      </w:r>
      <w:r>
        <w:rPr>
          <w:bCs/>
          <w:sz w:val="20"/>
        </w:rPr>
        <w:t>ere</w:t>
      </w:r>
      <w:r w:rsidRPr="00111B4E">
        <w:rPr>
          <w:bCs/>
          <w:sz w:val="20"/>
        </w:rPr>
        <w:t xml:space="preserve"> performed in triplicate</w:t>
      </w:r>
      <w:r>
        <w:rPr>
          <w:bCs/>
          <w:sz w:val="20"/>
        </w:rPr>
        <w:t xml:space="preserve">, for </w:t>
      </w:r>
      <w:r w:rsidRPr="00111B4E">
        <w:rPr>
          <w:bCs/>
          <w:sz w:val="20"/>
        </w:rPr>
        <w:t>thr</w:t>
      </w:r>
      <w:r>
        <w:rPr>
          <w:bCs/>
          <w:sz w:val="20"/>
        </w:rPr>
        <w:t>ee times</w:t>
      </w:r>
      <w:r w:rsidRPr="00111B4E">
        <w:rPr>
          <w:bCs/>
          <w:sz w:val="20"/>
        </w:rPr>
        <w:t>.</w:t>
      </w:r>
    </w:p>
    <w:p w:rsidR="00552534" w:rsidRDefault="00552534" w:rsidP="000C5EB4">
      <w:pPr>
        <w:jc w:val="both"/>
        <w:rPr>
          <w:bCs/>
          <w:sz w:val="20"/>
        </w:rPr>
      </w:pPr>
    </w:p>
    <w:p w:rsidR="00552534" w:rsidRDefault="00552534" w:rsidP="000C5EB4">
      <w:pPr>
        <w:jc w:val="both"/>
        <w:rPr>
          <w:bCs/>
          <w:sz w:val="20"/>
        </w:rPr>
      </w:pPr>
    </w:p>
    <w:p w:rsidR="00552534" w:rsidRDefault="00552534" w:rsidP="000C5EB4">
      <w:pPr>
        <w:jc w:val="both"/>
        <w:rPr>
          <w:bCs/>
          <w:sz w:val="20"/>
        </w:rPr>
      </w:pPr>
    </w:p>
    <w:p w:rsidR="00552534" w:rsidRDefault="00552534" w:rsidP="00552534">
      <w:pPr>
        <w:pStyle w:val="Subtitle"/>
        <w:spacing w:line="360" w:lineRule="auto"/>
        <w:rPr>
          <w:rStyle w:val="Hyperlink"/>
          <w:rFonts w:ascii="Times New Roman" w:hAnsi="Times New Roman" w:cs="Times New Roman"/>
          <w:i w:val="0"/>
          <w:color w:val="auto"/>
        </w:rPr>
      </w:pPr>
      <w:r w:rsidRPr="00552534">
        <w:rPr>
          <w:rStyle w:val="Hyperlink"/>
          <w:rFonts w:ascii="Times New Roman" w:hAnsi="Times New Roman" w:cs="Times New Roman"/>
          <w:i w:val="0"/>
          <w:color w:val="auto"/>
        </w:rPr>
        <w:lastRenderedPageBreak/>
        <w:t xml:space="preserve">Details of Exclusion </w:t>
      </w:r>
      <w:r>
        <w:rPr>
          <w:rStyle w:val="Hyperlink"/>
          <w:rFonts w:ascii="Times New Roman" w:hAnsi="Times New Roman" w:cs="Times New Roman"/>
          <w:i w:val="0"/>
          <w:color w:val="auto"/>
        </w:rPr>
        <w:t>and Withdrawal</w:t>
      </w:r>
      <w:r w:rsidRPr="00552534">
        <w:rPr>
          <w:rStyle w:val="Hyperlink"/>
          <w:rFonts w:ascii="Times New Roman" w:hAnsi="Times New Roman" w:cs="Times New Roman"/>
          <w:i w:val="0"/>
          <w:color w:val="auto"/>
        </w:rPr>
        <w:t xml:space="preserve"> Criteria</w:t>
      </w:r>
    </w:p>
    <w:p w:rsidR="00552534" w:rsidRPr="00552534" w:rsidRDefault="00552534" w:rsidP="00552534">
      <w:pPr>
        <w:pStyle w:val="Subtitle"/>
        <w:spacing w:line="360" w:lineRule="auto"/>
        <w:rPr>
          <w:rFonts w:ascii="Times New Roman" w:hAnsi="Times New Roman" w:cs="Times New Roman"/>
          <w:i w:val="0"/>
          <w:color w:val="auto"/>
          <w:u w:val="single"/>
        </w:rPr>
      </w:pPr>
      <w:r w:rsidRPr="00E508D0">
        <w:rPr>
          <w:rFonts w:ascii="Times New Roman" w:hAnsi="Times New Roman" w:cs="Times New Roman"/>
          <w:color w:val="000000" w:themeColor="text1"/>
        </w:rPr>
        <w:t>Exclusion Criteria</w:t>
      </w:r>
    </w:p>
    <w:p w:rsidR="00552534" w:rsidRPr="00E508D0" w:rsidRDefault="00552534" w:rsidP="00552534">
      <w:pPr>
        <w:spacing w:after="0"/>
        <w:ind w:left="360"/>
        <w:rPr>
          <w:rFonts w:cs="Times New Roman"/>
          <w:color w:val="000000" w:themeColor="text1"/>
          <w:lang w:bidi="en-US"/>
        </w:rPr>
      </w:pPr>
      <w:r w:rsidRPr="00E508D0">
        <w:rPr>
          <w:rFonts w:cs="Times New Roman"/>
          <w:color w:val="000000" w:themeColor="text1"/>
        </w:rPr>
        <w:t>The subjects who had following criteria were excluded for the study</w:t>
      </w:r>
    </w:p>
    <w:p w:rsidR="00552534" w:rsidRPr="005806A0" w:rsidRDefault="00552534" w:rsidP="00552534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Times New Roman" w:hAnsi="Times New Roman"/>
        </w:rPr>
      </w:pPr>
      <w:bookmarkStart w:id="0" w:name="_Toc355349082"/>
      <w:bookmarkStart w:id="1" w:name="_Toc460510765"/>
      <w:bookmarkStart w:id="2" w:name="_Toc461465182"/>
      <w:bookmarkStart w:id="3" w:name="_Toc461986822"/>
      <w:bookmarkStart w:id="4" w:name="_Toc463020791"/>
      <w:bookmarkStart w:id="5" w:name="_Toc464305439"/>
      <w:bookmarkStart w:id="6" w:name="_Toc467161457"/>
      <w:bookmarkStart w:id="7" w:name="_Toc458175423"/>
      <w:r w:rsidRPr="005806A0">
        <w:rPr>
          <w:rFonts w:ascii="Times New Roman" w:hAnsi="Times New Roman"/>
        </w:rPr>
        <w:t>On antibiotics or laxatives within the preceding 6 weeks.</w:t>
      </w:r>
    </w:p>
    <w:p w:rsidR="00552534" w:rsidRPr="005806A0" w:rsidRDefault="00552534" w:rsidP="00552534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Times New Roman" w:hAnsi="Times New Roman"/>
        </w:rPr>
      </w:pPr>
      <w:r w:rsidRPr="005806A0">
        <w:rPr>
          <w:rFonts w:ascii="Times New Roman" w:hAnsi="Times New Roman"/>
        </w:rPr>
        <w:t>Presence of inflammatory bowel disease</w:t>
      </w:r>
    </w:p>
    <w:p w:rsidR="00552534" w:rsidRPr="005806A0" w:rsidRDefault="00552534" w:rsidP="00552534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Times New Roman" w:hAnsi="Times New Roman"/>
        </w:rPr>
      </w:pPr>
      <w:r w:rsidRPr="005806A0">
        <w:rPr>
          <w:rFonts w:ascii="Times New Roman" w:hAnsi="Times New Roman"/>
        </w:rPr>
        <w:t>Presence of acute GI tract infection</w:t>
      </w:r>
    </w:p>
    <w:p w:rsidR="00552534" w:rsidRPr="005806A0" w:rsidRDefault="00552534" w:rsidP="00552534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Times New Roman" w:hAnsi="Times New Roman"/>
        </w:rPr>
      </w:pPr>
      <w:r w:rsidRPr="005806A0">
        <w:rPr>
          <w:rFonts w:ascii="Times New Roman" w:hAnsi="Times New Roman"/>
        </w:rPr>
        <w:t>Presence of fever, abdominal mass, signs of bowel obstruction</w:t>
      </w:r>
    </w:p>
    <w:p w:rsidR="00552534" w:rsidRPr="005806A0" w:rsidRDefault="00552534" w:rsidP="00552534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Times New Roman" w:hAnsi="Times New Roman"/>
        </w:rPr>
      </w:pPr>
      <w:r w:rsidRPr="005806A0">
        <w:rPr>
          <w:rFonts w:ascii="Times New Roman" w:hAnsi="Times New Roman"/>
        </w:rPr>
        <w:t>History of colon cancer or diverticulitis</w:t>
      </w:r>
    </w:p>
    <w:p w:rsidR="00552534" w:rsidRPr="005806A0" w:rsidRDefault="00552534" w:rsidP="00552534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Times New Roman" w:hAnsi="Times New Roman"/>
        </w:rPr>
      </w:pPr>
      <w:r w:rsidRPr="005806A0">
        <w:rPr>
          <w:rFonts w:ascii="Times New Roman" w:hAnsi="Times New Roman"/>
        </w:rPr>
        <w:t>Infection by human immunodeficiency virus (HIV), hepatitis B virus and hepatitis C virus</w:t>
      </w:r>
    </w:p>
    <w:p w:rsidR="00552534" w:rsidRPr="005806A0" w:rsidRDefault="00552534" w:rsidP="00552534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Times New Roman" w:hAnsi="Times New Roman"/>
        </w:rPr>
      </w:pPr>
      <w:r w:rsidRPr="005806A0">
        <w:rPr>
          <w:rFonts w:ascii="Times New Roman" w:hAnsi="Times New Roman"/>
        </w:rPr>
        <w:t>Patients with celiac disease defined by biopsy of the duodenal mucosa.</w:t>
      </w:r>
    </w:p>
    <w:p w:rsidR="00552534" w:rsidRPr="005806A0" w:rsidRDefault="00552534" w:rsidP="00552534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Times New Roman" w:hAnsi="Times New Roman"/>
        </w:rPr>
      </w:pPr>
      <w:r w:rsidRPr="005806A0">
        <w:rPr>
          <w:rFonts w:ascii="Times New Roman" w:hAnsi="Times New Roman"/>
        </w:rPr>
        <w:t>History of scleroderma and gastroparesis</w:t>
      </w:r>
    </w:p>
    <w:p w:rsidR="00552534" w:rsidRPr="005806A0" w:rsidRDefault="00552534" w:rsidP="00552534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Times New Roman" w:hAnsi="Times New Roman"/>
        </w:rPr>
      </w:pPr>
      <w:r w:rsidRPr="005806A0">
        <w:rPr>
          <w:rFonts w:ascii="Times New Roman" w:hAnsi="Times New Roman"/>
        </w:rPr>
        <w:t>Hypothyroidism</w:t>
      </w:r>
    </w:p>
    <w:bookmarkEnd w:id="0"/>
    <w:bookmarkEnd w:id="1"/>
    <w:bookmarkEnd w:id="2"/>
    <w:bookmarkEnd w:id="3"/>
    <w:bookmarkEnd w:id="4"/>
    <w:bookmarkEnd w:id="5"/>
    <w:bookmarkEnd w:id="6"/>
    <w:p w:rsidR="00552534" w:rsidRDefault="00552534" w:rsidP="00552534">
      <w:pPr>
        <w:pStyle w:val="Heading3"/>
        <w:spacing w:before="0" w:line="360" w:lineRule="auto"/>
        <w:rPr>
          <w:rFonts w:ascii="Times New Roman" w:hAnsi="Times New Roman" w:cs="Times New Roman"/>
          <w:b w:val="0"/>
          <w:color w:val="000000" w:themeColor="text1"/>
        </w:rPr>
      </w:pPr>
    </w:p>
    <w:p w:rsidR="00552534" w:rsidRPr="00552534" w:rsidRDefault="00552534" w:rsidP="00552534">
      <w:pPr>
        <w:pStyle w:val="Heading3"/>
        <w:spacing w:before="0" w:line="360" w:lineRule="auto"/>
        <w:rPr>
          <w:rFonts w:ascii="Times New Roman" w:hAnsi="Times New Roman" w:cs="Times New Roman"/>
          <w:b w:val="0"/>
          <w:i/>
          <w:color w:val="000000" w:themeColor="text1"/>
          <w:sz w:val="24"/>
        </w:rPr>
      </w:pPr>
      <w:r w:rsidRPr="00552534">
        <w:rPr>
          <w:rFonts w:ascii="Times New Roman" w:hAnsi="Times New Roman" w:cs="Times New Roman"/>
          <w:b w:val="0"/>
          <w:i/>
          <w:color w:val="000000" w:themeColor="text1"/>
          <w:sz w:val="24"/>
        </w:rPr>
        <w:t xml:space="preserve">Withdrawal Criteria      </w:t>
      </w:r>
    </w:p>
    <w:p w:rsidR="00552534" w:rsidRPr="00552534" w:rsidRDefault="00552534" w:rsidP="00552534">
      <w:pPr>
        <w:pStyle w:val="Body"/>
        <w:rPr>
          <w:szCs w:val="24"/>
        </w:rPr>
      </w:pPr>
      <w:bookmarkStart w:id="8" w:name="_Toc458175424"/>
      <w:bookmarkStart w:id="9" w:name="_Toc461465183"/>
      <w:bookmarkStart w:id="10" w:name="_Toc461986823"/>
      <w:bookmarkStart w:id="11" w:name="_Toc463020792"/>
      <w:bookmarkEnd w:id="7"/>
      <w:r w:rsidRPr="00552534">
        <w:rPr>
          <w:szCs w:val="24"/>
        </w:rPr>
        <w:t>The patient can be withdrawn from the study by the investigator for any of the following:</w:t>
      </w:r>
    </w:p>
    <w:p w:rsidR="00552534" w:rsidRPr="00552534" w:rsidRDefault="00552534" w:rsidP="0055253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ヒラギノ角ゴ Pro W3" w:hAnsi="Times New Roman"/>
          <w:sz w:val="24"/>
          <w:szCs w:val="24"/>
          <w:lang w:val="en-IN" w:eastAsia="ru-RU" w:bidi="en-US"/>
        </w:rPr>
      </w:pPr>
      <w:r w:rsidRPr="00552534">
        <w:rPr>
          <w:rFonts w:ascii="Times New Roman" w:eastAsia="ヒラギノ角ゴ Pro W3" w:hAnsi="Times New Roman"/>
          <w:sz w:val="24"/>
          <w:szCs w:val="24"/>
          <w:lang w:val="en-IN" w:eastAsia="ru-RU" w:bidi="en-US"/>
        </w:rPr>
        <w:t>Occurrence of an adverse event, associated with the administration of the IP and requiring its cancellation.</w:t>
      </w:r>
    </w:p>
    <w:p w:rsidR="00552534" w:rsidRPr="00552534" w:rsidRDefault="00552534" w:rsidP="0055253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ヒラギノ角ゴ Pro W3" w:hAnsi="Times New Roman"/>
          <w:sz w:val="24"/>
          <w:szCs w:val="24"/>
          <w:lang w:val="en-IN" w:eastAsia="ru-RU" w:bidi="en-US"/>
        </w:rPr>
      </w:pPr>
      <w:r w:rsidRPr="00552534">
        <w:rPr>
          <w:rFonts w:ascii="Times New Roman" w:eastAsia="ヒラギノ角ゴ Pro W3" w:hAnsi="Times New Roman"/>
          <w:sz w:val="24"/>
          <w:szCs w:val="24"/>
          <w:lang w:val="en-IN" w:eastAsia="ru-RU" w:bidi="en-US"/>
        </w:rPr>
        <w:t>Emergence of any diseases or conditions during the study that worsen the prognosis of the patient, as well as make it impossible for the patient to continue his/her participation in the clinical study.</w:t>
      </w:r>
    </w:p>
    <w:p w:rsidR="00552534" w:rsidRPr="00552534" w:rsidRDefault="00552534" w:rsidP="0055253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ヒラギノ角ゴ Pro W3" w:hAnsi="Times New Roman"/>
          <w:sz w:val="24"/>
          <w:szCs w:val="24"/>
          <w:lang w:val="en-IN" w:eastAsia="ru-RU" w:bidi="en-US"/>
        </w:rPr>
      </w:pPr>
      <w:r w:rsidRPr="00552534">
        <w:rPr>
          <w:rFonts w:ascii="Times New Roman" w:eastAsia="ヒラギノ角ゴ Pro W3" w:hAnsi="Times New Roman"/>
          <w:sz w:val="24"/>
          <w:szCs w:val="24"/>
          <w:lang w:val="en-IN" w:eastAsia="ru-RU" w:bidi="en-US"/>
        </w:rPr>
        <w:t>The need for a forbidden concomitant therapy.</w:t>
      </w:r>
    </w:p>
    <w:p w:rsidR="00552534" w:rsidRPr="00552534" w:rsidRDefault="00552534" w:rsidP="0055253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ヒラギノ角ゴ Pro W3" w:hAnsi="Times New Roman"/>
          <w:sz w:val="24"/>
          <w:szCs w:val="24"/>
          <w:lang w:val="en-IN" w:eastAsia="ru-RU" w:bidi="en-US"/>
        </w:rPr>
      </w:pPr>
      <w:r w:rsidRPr="00552534">
        <w:rPr>
          <w:rFonts w:ascii="Times New Roman" w:eastAsia="ヒラギノ角ゴ Pro W3" w:hAnsi="Times New Roman"/>
          <w:sz w:val="24"/>
          <w:szCs w:val="24"/>
          <w:lang w:val="en-IN" w:eastAsia="ru-RU" w:bidi="en-US"/>
        </w:rPr>
        <w:t>Pregnancy of the patient.</w:t>
      </w:r>
    </w:p>
    <w:p w:rsidR="00552534" w:rsidRPr="00552534" w:rsidRDefault="00552534" w:rsidP="0055253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ヒラギノ角ゴ Pro W3" w:hAnsi="Times New Roman"/>
          <w:sz w:val="24"/>
          <w:szCs w:val="24"/>
          <w:lang w:val="en-IN" w:eastAsia="ru-RU" w:bidi="en-US"/>
        </w:rPr>
      </w:pPr>
      <w:r w:rsidRPr="00552534">
        <w:rPr>
          <w:rFonts w:ascii="Times New Roman" w:eastAsia="ヒラギノ角ゴ Pro W3" w:hAnsi="Times New Roman"/>
          <w:sz w:val="24"/>
          <w:szCs w:val="24"/>
          <w:lang w:val="en-IN" w:eastAsia="ru-RU" w:bidi="en-US"/>
        </w:rPr>
        <w:t xml:space="preserve">Violation of the study protocol, like </w:t>
      </w:r>
    </w:p>
    <w:p w:rsidR="00552534" w:rsidRPr="00552534" w:rsidRDefault="00552534" w:rsidP="00552534">
      <w:pPr>
        <w:pStyle w:val="ListParagraph"/>
        <w:widowControl w:val="0"/>
        <w:suppressAutoHyphens/>
        <w:autoSpaceDE w:val="0"/>
        <w:autoSpaceDN w:val="0"/>
        <w:adjustRightInd w:val="0"/>
        <w:spacing w:after="0"/>
        <w:ind w:left="990"/>
        <w:jc w:val="both"/>
        <w:rPr>
          <w:rFonts w:ascii="Times New Roman" w:eastAsia="ヒラギノ角ゴ Pro W3" w:hAnsi="Times New Roman"/>
          <w:sz w:val="24"/>
          <w:szCs w:val="24"/>
          <w:lang w:val="en-IN" w:eastAsia="ru-RU" w:bidi="en-US"/>
        </w:rPr>
      </w:pPr>
      <w:r w:rsidRPr="00552534">
        <w:rPr>
          <w:rFonts w:ascii="Times New Roman" w:eastAsia="ヒラギノ角ゴ Pro W3" w:hAnsi="Times New Roman"/>
          <w:sz w:val="24"/>
          <w:szCs w:val="24"/>
          <w:lang w:val="en-IN" w:eastAsia="ru-RU" w:bidi="en-US"/>
        </w:rPr>
        <w:t>Improper inclusion of the patient who did not meet the inclusion criteria and/or met the relevant exclusion criteria; other violations of the protocol, which, according to the investigators, are significant.</w:t>
      </w:r>
    </w:p>
    <w:p w:rsidR="00552534" w:rsidRPr="00552534" w:rsidRDefault="00552534" w:rsidP="0055253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ヒラギノ角ゴ Pro W3" w:hAnsi="Times New Roman"/>
          <w:sz w:val="24"/>
          <w:szCs w:val="24"/>
          <w:lang w:val="en-IN" w:eastAsia="ru-RU"/>
        </w:rPr>
      </w:pPr>
      <w:r w:rsidRPr="00552534">
        <w:rPr>
          <w:rFonts w:ascii="Times New Roman" w:eastAsia="ヒラギノ角ゴ Pro W3" w:hAnsi="Times New Roman"/>
          <w:sz w:val="24"/>
          <w:szCs w:val="24"/>
          <w:lang w:val="en-IN" w:eastAsia="ru-RU"/>
        </w:rPr>
        <w:t xml:space="preserve">Withdrawal of the informed consent by the patient </w:t>
      </w:r>
    </w:p>
    <w:bookmarkEnd w:id="8"/>
    <w:bookmarkEnd w:id="9"/>
    <w:bookmarkEnd w:id="10"/>
    <w:bookmarkEnd w:id="11"/>
    <w:p w:rsidR="00552534" w:rsidRPr="00552534" w:rsidRDefault="00552534" w:rsidP="00552534">
      <w:pPr>
        <w:rPr>
          <w:lang w:val="en-GB" w:eastAsia="es-ES"/>
        </w:rPr>
      </w:pPr>
    </w:p>
    <w:p w:rsidR="00552534" w:rsidRPr="00810BF1" w:rsidRDefault="00552534" w:rsidP="00552534">
      <w:pPr>
        <w:pStyle w:val="Subtitle"/>
        <w:spacing w:line="360" w:lineRule="auto"/>
        <w:rPr>
          <w:rStyle w:val="Hyperlink"/>
          <w:rFonts w:ascii="Times New Roman" w:hAnsi="Times New Roman" w:cs="Times New Roman"/>
          <w:i w:val="0"/>
          <w:color w:val="auto"/>
        </w:rPr>
      </w:pPr>
      <w:r w:rsidRPr="00810BF1">
        <w:rPr>
          <w:rStyle w:val="Hyperlink"/>
          <w:rFonts w:ascii="Times New Roman" w:hAnsi="Times New Roman" w:cs="Times New Roman"/>
          <w:i w:val="0"/>
          <w:color w:val="auto"/>
        </w:rPr>
        <w:t xml:space="preserve"> </w:t>
      </w:r>
    </w:p>
    <w:p w:rsidR="00552534" w:rsidRDefault="00552534" w:rsidP="000C5EB4">
      <w:pPr>
        <w:jc w:val="both"/>
      </w:pPr>
    </w:p>
    <w:p w:rsidR="00A82DD4" w:rsidRDefault="00A82DD4" w:rsidP="000C5EB4">
      <w:pPr>
        <w:jc w:val="both"/>
      </w:pPr>
    </w:p>
    <w:p w:rsidR="00A82DD4" w:rsidRDefault="00A82DD4" w:rsidP="000C5EB4">
      <w:pPr>
        <w:jc w:val="both"/>
      </w:pPr>
    </w:p>
    <w:p w:rsidR="00A82DD4" w:rsidRDefault="00A82DD4" w:rsidP="000C5EB4">
      <w:pPr>
        <w:jc w:val="both"/>
      </w:pPr>
    </w:p>
    <w:p w:rsidR="00A82DD4" w:rsidRDefault="00A82DD4" w:rsidP="000C5EB4">
      <w:pPr>
        <w:jc w:val="both"/>
      </w:pPr>
    </w:p>
    <w:p w:rsidR="00A82DD4" w:rsidRDefault="00A82DD4" w:rsidP="000C5EB4">
      <w:pPr>
        <w:jc w:val="both"/>
      </w:pPr>
    </w:p>
    <w:p w:rsidR="0046776A" w:rsidRPr="00061011" w:rsidRDefault="0046776A" w:rsidP="0046776A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eastAsia="Times New Roman"/>
          <w:sz w:val="32"/>
          <w:lang w:eastAsia="ru-RU"/>
        </w:rPr>
      </w:pPr>
      <w:r w:rsidRPr="00061011">
        <w:rPr>
          <w:rFonts w:eastAsia="Times New Roman"/>
          <w:b/>
          <w:bCs/>
        </w:rPr>
        <w:lastRenderedPageBreak/>
        <w:t xml:space="preserve">Supplement Table 1 </w:t>
      </w:r>
      <w:r w:rsidRPr="00061011">
        <w:rPr>
          <w:rFonts w:eastAsia="Times New Roman"/>
          <w:bCs/>
        </w:rPr>
        <w:t>Results of vital examinations at different visits</w:t>
      </w:r>
      <w:r w:rsidR="0006073C">
        <w:rPr>
          <w:rFonts w:eastAsia="Times New Roman"/>
          <w:bCs/>
        </w:rPr>
        <w:t xml:space="preserve"> (visit 01 – visit 0</w:t>
      </w:r>
      <w:r w:rsidR="00E33318">
        <w:rPr>
          <w:rFonts w:eastAsia="Times New Roman"/>
          <w:bCs/>
        </w:rPr>
        <w:t>5</w:t>
      </w:r>
      <w:r w:rsidR="0006073C">
        <w:rPr>
          <w:rFonts w:eastAsia="Times New Roman"/>
          <w:bCs/>
        </w:rPr>
        <w:t>) from both Test-G and Placebo-H arm</w:t>
      </w:r>
      <w:r w:rsidRPr="00061011">
        <w:rPr>
          <w:rFonts w:eastAsia="Times New Roman"/>
          <w:lang w:eastAsia="ru-RU"/>
        </w:rPr>
        <w:t>. Values are expressed as mean ± SD.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263"/>
        <w:gridCol w:w="1889"/>
        <w:gridCol w:w="438"/>
        <w:gridCol w:w="889"/>
        <w:gridCol w:w="1181"/>
        <w:gridCol w:w="366"/>
        <w:gridCol w:w="1327"/>
        <w:gridCol w:w="377"/>
        <w:gridCol w:w="950"/>
        <w:gridCol w:w="1380"/>
      </w:tblGrid>
      <w:tr w:rsidR="002A22CE" w:rsidRPr="00061011" w:rsidTr="00AA24CE">
        <w:trPr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E6CAD" w:rsidRPr="00061011" w:rsidRDefault="002E6CAD" w:rsidP="0046776A">
            <w:pPr>
              <w:spacing w:after="0" w:line="240" w:lineRule="auto"/>
              <w:rPr>
                <w:b/>
                <w:bCs/>
              </w:rPr>
            </w:pPr>
            <w:r w:rsidRPr="00061011">
              <w:rPr>
                <w:b/>
                <w:bCs/>
              </w:rPr>
              <w:t>Study arms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E6CAD" w:rsidRPr="00061011" w:rsidRDefault="002E6CAD" w:rsidP="0046776A">
            <w:pPr>
              <w:spacing w:after="0" w:line="240" w:lineRule="auto"/>
              <w:rPr>
                <w:b/>
                <w:bCs/>
              </w:rPr>
            </w:pPr>
            <w:r w:rsidRPr="00061011">
              <w:rPr>
                <w:b/>
                <w:bCs/>
              </w:rPr>
              <w:t>Parameters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E6CAD" w:rsidRPr="00061011" w:rsidRDefault="002E6CAD" w:rsidP="0046776A">
            <w:pPr>
              <w:spacing w:after="0" w:line="240" w:lineRule="auto"/>
              <w:jc w:val="center"/>
              <w:rPr>
                <w:b/>
                <w:bCs/>
              </w:rPr>
            </w:pPr>
            <w:r w:rsidRPr="00061011">
              <w:rPr>
                <w:b/>
                <w:bCs/>
              </w:rPr>
              <w:t>Visit 01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E6CAD" w:rsidRPr="00061011" w:rsidRDefault="002E6CAD" w:rsidP="0046776A">
            <w:pPr>
              <w:spacing w:after="0" w:line="240" w:lineRule="auto"/>
              <w:jc w:val="center"/>
              <w:rPr>
                <w:b/>
                <w:bCs/>
              </w:rPr>
            </w:pPr>
            <w:r w:rsidRPr="00061011">
              <w:rPr>
                <w:b/>
                <w:bCs/>
              </w:rPr>
              <w:t>Visit 02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E6CAD" w:rsidRPr="00061011" w:rsidRDefault="002E6CAD" w:rsidP="0046776A">
            <w:pPr>
              <w:spacing w:after="0" w:line="240" w:lineRule="auto"/>
              <w:jc w:val="center"/>
              <w:rPr>
                <w:b/>
                <w:bCs/>
              </w:rPr>
            </w:pPr>
            <w:r w:rsidRPr="00061011">
              <w:rPr>
                <w:b/>
                <w:bCs/>
              </w:rPr>
              <w:t>Visit 03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E6CAD" w:rsidRPr="00061011" w:rsidRDefault="002E6CAD" w:rsidP="0046776A">
            <w:pPr>
              <w:spacing w:after="0" w:line="240" w:lineRule="auto"/>
              <w:jc w:val="center"/>
              <w:rPr>
                <w:b/>
                <w:bCs/>
              </w:rPr>
            </w:pPr>
            <w:r w:rsidRPr="00061011">
              <w:rPr>
                <w:b/>
                <w:bCs/>
              </w:rPr>
              <w:t>Visit 04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E6CAD" w:rsidRPr="00061011" w:rsidRDefault="002E6CAD" w:rsidP="0046776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 05</w:t>
            </w:r>
          </w:p>
        </w:tc>
      </w:tr>
      <w:tr w:rsidR="002A22CE" w:rsidRPr="00061011" w:rsidTr="00AA24CE">
        <w:trPr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:rsidR="002E6CAD" w:rsidRPr="00061011" w:rsidRDefault="002E6CAD" w:rsidP="002E6CAD">
            <w:pPr>
              <w:spacing w:after="0" w:line="240" w:lineRule="auto"/>
              <w:rPr>
                <w:b/>
                <w:bCs/>
              </w:rPr>
            </w:pPr>
            <w:r w:rsidRPr="00061011">
              <w:rPr>
                <w:b/>
                <w:bCs/>
              </w:rPr>
              <w:t>Test-</w:t>
            </w:r>
            <w:r>
              <w:rPr>
                <w:b/>
                <w:bCs/>
              </w:rPr>
              <w:t>G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A93D5D" w:rsidRDefault="002E6CAD" w:rsidP="0046776A">
            <w:pPr>
              <w:spacing w:after="0" w:line="240" w:lineRule="auto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 xml:space="preserve">Pulse </w:t>
            </w:r>
          </w:p>
          <w:p w:rsidR="002E6CAD" w:rsidRPr="00A93D5D" w:rsidRDefault="002E6CAD" w:rsidP="0046776A">
            <w:pPr>
              <w:spacing w:after="0" w:line="240" w:lineRule="auto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(per minute)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73.1±3.34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72.25±3.37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70.63±2.49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72.79±4.81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71.15±</w:t>
            </w:r>
            <w:r w:rsidR="00A1196C" w:rsidRPr="00A93D5D">
              <w:rPr>
                <w:bCs/>
                <w:sz w:val="22"/>
              </w:rPr>
              <w:t>3.85</w:t>
            </w:r>
          </w:p>
        </w:tc>
      </w:tr>
      <w:tr w:rsidR="002A22CE" w:rsidRPr="00061011" w:rsidTr="00AA24CE">
        <w:trPr>
          <w:jc w:val="center"/>
        </w:trPr>
        <w:tc>
          <w:tcPr>
            <w:tcW w:w="1263" w:type="dxa"/>
            <w:vMerge/>
          </w:tcPr>
          <w:p w:rsidR="002E6CAD" w:rsidRPr="00061011" w:rsidRDefault="002E6CAD" w:rsidP="004677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89" w:type="dxa"/>
            <w:shd w:val="clear" w:color="auto" w:fill="auto"/>
          </w:tcPr>
          <w:p w:rsidR="002E6CAD" w:rsidRPr="00A93D5D" w:rsidRDefault="002E6CAD" w:rsidP="0046776A">
            <w:pPr>
              <w:spacing w:after="0" w:line="240" w:lineRule="auto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Respiratory rate (per minute)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19.00±1.77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19.70±1.62</w:t>
            </w:r>
          </w:p>
        </w:tc>
        <w:tc>
          <w:tcPr>
            <w:tcW w:w="1327" w:type="dxa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19.47±2.19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22.47±13.56</w:t>
            </w:r>
          </w:p>
        </w:tc>
        <w:tc>
          <w:tcPr>
            <w:tcW w:w="1380" w:type="dxa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2</w:t>
            </w:r>
            <w:r w:rsidR="00A1196C" w:rsidRPr="00A93D5D">
              <w:rPr>
                <w:bCs/>
                <w:sz w:val="22"/>
              </w:rPr>
              <w:t>0.10</w:t>
            </w:r>
            <w:r w:rsidRPr="00A93D5D">
              <w:rPr>
                <w:bCs/>
                <w:sz w:val="22"/>
              </w:rPr>
              <w:t>±</w:t>
            </w:r>
            <w:r w:rsidR="00A1196C" w:rsidRPr="00A93D5D">
              <w:rPr>
                <w:bCs/>
                <w:sz w:val="22"/>
              </w:rPr>
              <w:t>2.05</w:t>
            </w:r>
          </w:p>
        </w:tc>
      </w:tr>
      <w:tr w:rsidR="002A22CE" w:rsidRPr="00061011" w:rsidTr="00AA24CE">
        <w:trPr>
          <w:jc w:val="center"/>
        </w:trPr>
        <w:tc>
          <w:tcPr>
            <w:tcW w:w="1263" w:type="dxa"/>
            <w:vMerge/>
          </w:tcPr>
          <w:p w:rsidR="002E6CAD" w:rsidRPr="00061011" w:rsidRDefault="002E6CAD" w:rsidP="004677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89" w:type="dxa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ind w:right="-119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Systolic blood pressure (mm/Hg)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118.10±9.64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117.90±28.97</w:t>
            </w:r>
          </w:p>
        </w:tc>
        <w:tc>
          <w:tcPr>
            <w:tcW w:w="1327" w:type="dxa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117.84±7.78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117.32±6.63</w:t>
            </w:r>
          </w:p>
        </w:tc>
        <w:tc>
          <w:tcPr>
            <w:tcW w:w="1380" w:type="dxa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11</w:t>
            </w:r>
            <w:r w:rsidR="00A1196C" w:rsidRPr="00A93D5D">
              <w:rPr>
                <w:bCs/>
                <w:sz w:val="22"/>
              </w:rPr>
              <w:t>9.79</w:t>
            </w:r>
            <w:r w:rsidRPr="00A93D5D">
              <w:rPr>
                <w:bCs/>
                <w:sz w:val="22"/>
              </w:rPr>
              <w:t>±</w:t>
            </w:r>
            <w:r w:rsidR="00A1196C" w:rsidRPr="00A93D5D">
              <w:rPr>
                <w:bCs/>
                <w:sz w:val="22"/>
              </w:rPr>
              <w:t>5.12</w:t>
            </w:r>
          </w:p>
        </w:tc>
      </w:tr>
      <w:tr w:rsidR="002A22CE" w:rsidRPr="00061011" w:rsidTr="00AA24CE">
        <w:trPr>
          <w:jc w:val="center"/>
        </w:trPr>
        <w:tc>
          <w:tcPr>
            <w:tcW w:w="1263" w:type="dxa"/>
            <w:vMerge/>
          </w:tcPr>
          <w:p w:rsidR="002E6CAD" w:rsidRPr="00061011" w:rsidRDefault="002E6CAD" w:rsidP="004677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89" w:type="dxa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ind w:right="-119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Diastolic blood pressure (mm/Hg)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77.40±7.71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77.90±8.19</w:t>
            </w:r>
          </w:p>
        </w:tc>
        <w:tc>
          <w:tcPr>
            <w:tcW w:w="1327" w:type="dxa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77.16±7.81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77.47±7.65</w:t>
            </w:r>
          </w:p>
        </w:tc>
        <w:tc>
          <w:tcPr>
            <w:tcW w:w="1380" w:type="dxa"/>
          </w:tcPr>
          <w:p w:rsidR="002E6CAD" w:rsidRPr="00A93D5D" w:rsidRDefault="00A1196C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75.58</w:t>
            </w:r>
            <w:r w:rsidR="002E6CAD" w:rsidRPr="00A93D5D">
              <w:rPr>
                <w:bCs/>
                <w:sz w:val="22"/>
              </w:rPr>
              <w:t>±7.</w:t>
            </w:r>
            <w:r w:rsidRPr="00A93D5D">
              <w:rPr>
                <w:bCs/>
                <w:sz w:val="22"/>
              </w:rPr>
              <w:t>23</w:t>
            </w:r>
          </w:p>
        </w:tc>
      </w:tr>
      <w:tr w:rsidR="002A22CE" w:rsidRPr="00061011" w:rsidTr="00976203">
        <w:trPr>
          <w:jc w:val="center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2E6CAD" w:rsidRPr="00061011" w:rsidRDefault="002E6CAD" w:rsidP="004677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2E6CAD" w:rsidRPr="00A93D5D" w:rsidRDefault="002E6CAD" w:rsidP="0046776A">
            <w:pPr>
              <w:spacing w:after="0" w:line="240" w:lineRule="auto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Temperature (°F)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98.18±0.46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98.21±0.47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98.23±0.47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98.21±0.46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98.2</w:t>
            </w:r>
            <w:r w:rsidR="00A1196C" w:rsidRPr="00A93D5D">
              <w:rPr>
                <w:bCs/>
                <w:sz w:val="22"/>
              </w:rPr>
              <w:t>3</w:t>
            </w:r>
            <w:r w:rsidRPr="00A93D5D">
              <w:rPr>
                <w:bCs/>
                <w:sz w:val="22"/>
              </w:rPr>
              <w:t>±0.4</w:t>
            </w:r>
            <w:r w:rsidR="00A1196C" w:rsidRPr="00A93D5D">
              <w:rPr>
                <w:bCs/>
                <w:sz w:val="22"/>
              </w:rPr>
              <w:t>1</w:t>
            </w:r>
          </w:p>
        </w:tc>
      </w:tr>
      <w:tr w:rsidR="002A22CE" w:rsidRPr="00061011" w:rsidTr="00976203">
        <w:trPr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6CAD" w:rsidRPr="00061011" w:rsidRDefault="002E6CAD" w:rsidP="002E6CAD">
            <w:pPr>
              <w:spacing w:after="0" w:line="240" w:lineRule="auto"/>
              <w:rPr>
                <w:b/>
                <w:bCs/>
              </w:rPr>
            </w:pPr>
            <w:r w:rsidRPr="00061011">
              <w:rPr>
                <w:b/>
                <w:bCs/>
              </w:rPr>
              <w:t>Placebo-</w:t>
            </w:r>
            <w:r>
              <w:rPr>
                <w:b/>
                <w:bCs/>
              </w:rPr>
              <w:t>H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A93D5D" w:rsidRDefault="002E6CAD" w:rsidP="0046776A">
            <w:pPr>
              <w:spacing w:after="0" w:line="240" w:lineRule="auto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 xml:space="preserve">Pulse </w:t>
            </w:r>
          </w:p>
          <w:p w:rsidR="002E6CAD" w:rsidRPr="00A93D5D" w:rsidRDefault="002E6CAD" w:rsidP="0046776A">
            <w:pPr>
              <w:spacing w:after="0" w:line="240" w:lineRule="auto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(per minute)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71.30±4.78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70.75±4.34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70.84±3.85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70.58±4.10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</w:t>
            </w:r>
            <w:r w:rsidR="00A1196C" w:rsidRPr="00A93D5D">
              <w:rPr>
                <w:bCs/>
                <w:sz w:val="22"/>
              </w:rPr>
              <w:t>1.47</w:t>
            </w:r>
            <w:r w:rsidRPr="00A93D5D">
              <w:rPr>
                <w:bCs/>
                <w:sz w:val="22"/>
              </w:rPr>
              <w:t>±</w:t>
            </w:r>
            <w:r w:rsidR="00A1196C" w:rsidRPr="00A93D5D">
              <w:rPr>
                <w:bCs/>
                <w:sz w:val="22"/>
              </w:rPr>
              <w:t>3.02</w:t>
            </w:r>
          </w:p>
        </w:tc>
      </w:tr>
      <w:tr w:rsidR="002A22CE" w:rsidRPr="00061011" w:rsidTr="00AA24CE">
        <w:trPr>
          <w:jc w:val="center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2E6CAD" w:rsidRPr="00061011" w:rsidRDefault="002E6CAD" w:rsidP="0046776A">
            <w:pPr>
              <w:spacing w:after="0" w:line="240" w:lineRule="auto"/>
              <w:rPr>
                <w:bCs/>
              </w:rPr>
            </w:pPr>
          </w:p>
        </w:tc>
        <w:tc>
          <w:tcPr>
            <w:tcW w:w="1889" w:type="dxa"/>
            <w:shd w:val="clear" w:color="auto" w:fill="auto"/>
          </w:tcPr>
          <w:p w:rsidR="002E6CAD" w:rsidRPr="00A93D5D" w:rsidRDefault="002E6CAD" w:rsidP="0046776A">
            <w:pPr>
              <w:spacing w:after="0" w:line="240" w:lineRule="auto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Respiratory rate (per minute)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19.75±1.99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19.70±2.54</w:t>
            </w:r>
          </w:p>
        </w:tc>
        <w:tc>
          <w:tcPr>
            <w:tcW w:w="1327" w:type="dxa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19.58±2.36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19.89±1.41</w:t>
            </w:r>
          </w:p>
        </w:tc>
        <w:tc>
          <w:tcPr>
            <w:tcW w:w="1380" w:type="dxa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19.</w:t>
            </w:r>
            <w:r w:rsidR="00A1196C" w:rsidRPr="00A93D5D">
              <w:rPr>
                <w:bCs/>
                <w:sz w:val="22"/>
              </w:rPr>
              <w:t>42</w:t>
            </w:r>
            <w:r w:rsidRPr="00A93D5D">
              <w:rPr>
                <w:bCs/>
                <w:sz w:val="22"/>
              </w:rPr>
              <w:t>±</w:t>
            </w:r>
            <w:r w:rsidR="00A1196C" w:rsidRPr="00A93D5D">
              <w:rPr>
                <w:bCs/>
                <w:sz w:val="22"/>
              </w:rPr>
              <w:t>1.38</w:t>
            </w:r>
          </w:p>
        </w:tc>
      </w:tr>
      <w:tr w:rsidR="002A22CE" w:rsidRPr="00061011" w:rsidTr="00AA24CE">
        <w:trPr>
          <w:jc w:val="center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2E6CAD" w:rsidRPr="00061011" w:rsidRDefault="002E6CAD" w:rsidP="0046776A">
            <w:pPr>
              <w:spacing w:after="0" w:line="240" w:lineRule="auto"/>
              <w:rPr>
                <w:bCs/>
              </w:rPr>
            </w:pPr>
          </w:p>
        </w:tc>
        <w:tc>
          <w:tcPr>
            <w:tcW w:w="1889" w:type="dxa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ind w:right="-119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Systolic blood pressure (mm/Hg)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116.00±8.02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119.70±6.75</w:t>
            </w:r>
          </w:p>
        </w:tc>
        <w:tc>
          <w:tcPr>
            <w:tcW w:w="1327" w:type="dxa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115.79±8.46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115.58±7.70</w:t>
            </w:r>
          </w:p>
        </w:tc>
        <w:tc>
          <w:tcPr>
            <w:tcW w:w="1380" w:type="dxa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11</w:t>
            </w:r>
            <w:r w:rsidR="00A1196C" w:rsidRPr="00A93D5D">
              <w:rPr>
                <w:bCs/>
                <w:sz w:val="22"/>
              </w:rPr>
              <w:t>7.58</w:t>
            </w:r>
            <w:r w:rsidRPr="00A93D5D">
              <w:rPr>
                <w:bCs/>
                <w:sz w:val="22"/>
              </w:rPr>
              <w:t>±</w:t>
            </w:r>
            <w:r w:rsidR="002A22CE" w:rsidRPr="00A93D5D">
              <w:rPr>
                <w:bCs/>
                <w:sz w:val="22"/>
              </w:rPr>
              <w:t>5.11</w:t>
            </w:r>
          </w:p>
        </w:tc>
      </w:tr>
      <w:tr w:rsidR="002A22CE" w:rsidRPr="00061011" w:rsidTr="00AA24CE">
        <w:trPr>
          <w:jc w:val="center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2E6CAD" w:rsidRPr="00061011" w:rsidRDefault="002E6CAD" w:rsidP="0046776A">
            <w:pPr>
              <w:spacing w:after="0" w:line="240" w:lineRule="auto"/>
              <w:rPr>
                <w:bCs/>
              </w:rPr>
            </w:pPr>
          </w:p>
        </w:tc>
        <w:tc>
          <w:tcPr>
            <w:tcW w:w="1889" w:type="dxa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ind w:right="-119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Diastolic blood pressure (mm/Hg)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E6CAD" w:rsidRPr="00A93D5D" w:rsidRDefault="002E6CAD" w:rsidP="00B001D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</w:t>
            </w:r>
            <w:r w:rsidR="00B001D8">
              <w:rPr>
                <w:bCs/>
                <w:sz w:val="22"/>
              </w:rPr>
              <w:t>6</w:t>
            </w:r>
            <w:r w:rsidRPr="00A93D5D">
              <w:rPr>
                <w:bCs/>
                <w:sz w:val="22"/>
              </w:rPr>
              <w:t>.70±7.66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76.80±7.35</w:t>
            </w:r>
          </w:p>
        </w:tc>
        <w:tc>
          <w:tcPr>
            <w:tcW w:w="1327" w:type="dxa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75.68±8.52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73.79±9.28</w:t>
            </w:r>
          </w:p>
        </w:tc>
        <w:tc>
          <w:tcPr>
            <w:tcW w:w="1380" w:type="dxa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7</w:t>
            </w:r>
            <w:r w:rsidR="00A1196C" w:rsidRPr="00A93D5D">
              <w:rPr>
                <w:bCs/>
                <w:sz w:val="22"/>
              </w:rPr>
              <w:t>4.95</w:t>
            </w:r>
            <w:r w:rsidRPr="00A93D5D">
              <w:rPr>
                <w:bCs/>
                <w:sz w:val="22"/>
              </w:rPr>
              <w:t>±</w:t>
            </w:r>
            <w:r w:rsidR="002A22CE" w:rsidRPr="00A93D5D">
              <w:rPr>
                <w:bCs/>
                <w:sz w:val="22"/>
              </w:rPr>
              <w:t>6.94</w:t>
            </w:r>
          </w:p>
        </w:tc>
      </w:tr>
      <w:tr w:rsidR="002A22CE" w:rsidRPr="00516C08" w:rsidTr="00976203">
        <w:trPr>
          <w:jc w:val="center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2E6CAD" w:rsidRPr="00061011" w:rsidRDefault="002E6CAD" w:rsidP="0046776A">
            <w:pPr>
              <w:spacing w:after="0" w:line="240" w:lineRule="auto"/>
              <w:rPr>
                <w:bCs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2E6CAD" w:rsidRPr="00A93D5D" w:rsidRDefault="002E6CAD" w:rsidP="0046776A">
            <w:pPr>
              <w:spacing w:after="0" w:line="240" w:lineRule="auto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Temperature (°F)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98.05±0.49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98.26±0.36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98.26±0.49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98.22±0.51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2E6CAD" w:rsidRPr="00A93D5D" w:rsidRDefault="002E6CAD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98.2</w:t>
            </w:r>
            <w:r w:rsidR="00A1196C" w:rsidRPr="00A93D5D">
              <w:rPr>
                <w:bCs/>
                <w:sz w:val="22"/>
              </w:rPr>
              <w:t>6</w:t>
            </w:r>
            <w:r w:rsidRPr="00A93D5D">
              <w:rPr>
                <w:bCs/>
                <w:sz w:val="22"/>
              </w:rPr>
              <w:t>±0.</w:t>
            </w:r>
            <w:r w:rsidR="002A22CE" w:rsidRPr="00A93D5D">
              <w:rPr>
                <w:bCs/>
                <w:sz w:val="22"/>
              </w:rPr>
              <w:t>39</w:t>
            </w:r>
          </w:p>
        </w:tc>
      </w:tr>
      <w:tr w:rsidR="00B001D8" w:rsidRPr="00516C08" w:rsidTr="00976203">
        <w:trPr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001D8" w:rsidRPr="00A93D5D" w:rsidRDefault="00B001D8" w:rsidP="00B001D8">
            <w:pPr>
              <w:spacing w:after="0" w:line="240" w:lineRule="auto"/>
              <w:rPr>
                <w:bCs/>
                <w:sz w:val="22"/>
              </w:rPr>
            </w:pPr>
            <w:r w:rsidRPr="00B001D8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 xml:space="preserve">mean </w:t>
            </w:r>
            <w:r w:rsidRPr="00B001D8">
              <w:rPr>
                <w:b/>
                <w:bCs/>
              </w:rPr>
              <w:t>difference (Test-G to Placebo-H)</w:t>
            </w:r>
            <w:r>
              <w:rPr>
                <w:b/>
                <w:bCs/>
              </w:rPr>
              <w:t xml:space="preserve"> by o</w:t>
            </w:r>
            <w:r w:rsidRPr="00B001D8">
              <w:rPr>
                <w:b/>
                <w:bCs/>
              </w:rPr>
              <w:t>ne-</w:t>
            </w:r>
            <w:r>
              <w:rPr>
                <w:b/>
                <w:bCs/>
              </w:rPr>
              <w:t>w</w:t>
            </w:r>
            <w:r w:rsidRPr="00B001D8">
              <w:rPr>
                <w:b/>
                <w:bCs/>
              </w:rPr>
              <w:t>ay ANOVA</w:t>
            </w:r>
          </w:p>
        </w:tc>
      </w:tr>
      <w:tr w:rsidR="00B001D8" w:rsidRPr="00516C08" w:rsidTr="001E681B">
        <w:trPr>
          <w:jc w:val="center"/>
        </w:trPr>
        <w:tc>
          <w:tcPr>
            <w:tcW w:w="1263" w:type="dxa"/>
            <w:tcBorders>
              <w:top w:val="single" w:sz="4" w:space="0" w:color="auto"/>
            </w:tcBorders>
          </w:tcPr>
          <w:p w:rsidR="00B001D8" w:rsidRPr="00061011" w:rsidRDefault="00B001D8" w:rsidP="0046776A">
            <w:pPr>
              <w:spacing w:after="0" w:line="240" w:lineRule="auto"/>
              <w:rPr>
                <w:bCs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01D8" w:rsidRPr="00A93D5D" w:rsidRDefault="00B001D8" w:rsidP="00B001D8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01D8" w:rsidRPr="003C1929" w:rsidRDefault="00B001D8" w:rsidP="00B001D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C1929">
              <w:rPr>
                <w:b/>
                <w:bCs/>
                <w:sz w:val="22"/>
              </w:rPr>
              <w:t xml:space="preserve">F ratio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01D8" w:rsidRPr="003C1929" w:rsidRDefault="00B001D8" w:rsidP="00A93D5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C1929">
              <w:rPr>
                <w:b/>
                <w:bCs/>
                <w:sz w:val="22"/>
              </w:rPr>
              <w:t>P value (p&lt;0.05)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</w:tcBorders>
          </w:tcPr>
          <w:p w:rsidR="00B001D8" w:rsidRPr="00A93D5D" w:rsidRDefault="00B001D8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1E681B" w:rsidRPr="00516C08" w:rsidTr="001E681B">
        <w:trPr>
          <w:jc w:val="center"/>
        </w:trPr>
        <w:tc>
          <w:tcPr>
            <w:tcW w:w="3590" w:type="dxa"/>
            <w:gridSpan w:val="3"/>
          </w:tcPr>
          <w:p w:rsidR="001E681B" w:rsidRPr="00A93D5D" w:rsidRDefault="001E681B" w:rsidP="00B001D8">
            <w:pPr>
              <w:spacing w:after="0" w:line="240" w:lineRule="auto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Pulse (per minute)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1E681B" w:rsidRPr="00A93D5D" w:rsidRDefault="001E681B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C23717">
              <w:rPr>
                <w:bCs/>
                <w:sz w:val="22"/>
              </w:rPr>
              <w:t>3.913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1E681B" w:rsidRPr="00A93D5D" w:rsidRDefault="001E681B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Pr="00C23717">
              <w:rPr>
                <w:bCs/>
                <w:sz w:val="22"/>
              </w:rPr>
              <w:t>.083</w:t>
            </w:r>
          </w:p>
        </w:tc>
        <w:tc>
          <w:tcPr>
            <w:tcW w:w="2330" w:type="dxa"/>
            <w:gridSpan w:val="2"/>
          </w:tcPr>
          <w:p w:rsidR="001E681B" w:rsidRPr="00A93D5D" w:rsidRDefault="001E681B" w:rsidP="00B001D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1E681B" w:rsidRPr="00516C08" w:rsidTr="001E681B">
        <w:trPr>
          <w:jc w:val="center"/>
        </w:trPr>
        <w:tc>
          <w:tcPr>
            <w:tcW w:w="3590" w:type="dxa"/>
            <w:gridSpan w:val="3"/>
          </w:tcPr>
          <w:p w:rsidR="001E681B" w:rsidRPr="00A93D5D" w:rsidRDefault="001E681B" w:rsidP="00B001D8">
            <w:pPr>
              <w:spacing w:after="0" w:line="240" w:lineRule="auto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Respiratory rate (per minute)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1E681B" w:rsidRPr="00A93D5D" w:rsidRDefault="001E681B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EE3121">
              <w:rPr>
                <w:bCs/>
                <w:sz w:val="22"/>
              </w:rPr>
              <w:t>0.614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1E681B" w:rsidRPr="00A93D5D" w:rsidRDefault="001E681B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Pr="00EE3121">
              <w:rPr>
                <w:bCs/>
                <w:sz w:val="22"/>
              </w:rPr>
              <w:t>.455</w:t>
            </w:r>
          </w:p>
        </w:tc>
        <w:tc>
          <w:tcPr>
            <w:tcW w:w="2330" w:type="dxa"/>
            <w:gridSpan w:val="2"/>
          </w:tcPr>
          <w:p w:rsidR="001E681B" w:rsidRPr="00A93D5D" w:rsidRDefault="001E681B" w:rsidP="00B001D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1E681B" w:rsidRPr="00516C08" w:rsidTr="001E681B">
        <w:trPr>
          <w:jc w:val="center"/>
        </w:trPr>
        <w:tc>
          <w:tcPr>
            <w:tcW w:w="3590" w:type="dxa"/>
            <w:gridSpan w:val="3"/>
          </w:tcPr>
          <w:p w:rsidR="001E681B" w:rsidRPr="00A93D5D" w:rsidRDefault="001E681B" w:rsidP="00B001D8">
            <w:pPr>
              <w:spacing w:after="0" w:line="240" w:lineRule="auto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Systolic blood pressure (mm/Hg)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1E681B" w:rsidRPr="00A93D5D" w:rsidRDefault="001E681B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EE3121">
              <w:rPr>
                <w:bCs/>
                <w:sz w:val="22"/>
              </w:rPr>
              <w:t>2.033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1E681B" w:rsidRPr="00A93D5D" w:rsidRDefault="001E681B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Pr="00EE3121">
              <w:rPr>
                <w:bCs/>
                <w:sz w:val="22"/>
              </w:rPr>
              <w:t>.191</w:t>
            </w:r>
          </w:p>
        </w:tc>
        <w:tc>
          <w:tcPr>
            <w:tcW w:w="2330" w:type="dxa"/>
            <w:gridSpan w:val="2"/>
          </w:tcPr>
          <w:p w:rsidR="001E681B" w:rsidRPr="00A93D5D" w:rsidRDefault="001E681B" w:rsidP="00B001D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1E681B" w:rsidRPr="00516C08" w:rsidTr="001E681B">
        <w:trPr>
          <w:jc w:val="center"/>
        </w:trPr>
        <w:tc>
          <w:tcPr>
            <w:tcW w:w="3590" w:type="dxa"/>
            <w:gridSpan w:val="3"/>
          </w:tcPr>
          <w:p w:rsidR="001E681B" w:rsidRPr="00A93D5D" w:rsidRDefault="001E681B" w:rsidP="00B001D8">
            <w:pPr>
              <w:spacing w:after="0" w:line="240" w:lineRule="auto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Diastolic blood pressure (mm/Hg)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1E681B" w:rsidRPr="00492469" w:rsidRDefault="001E681B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492469">
              <w:rPr>
                <w:bCs/>
                <w:sz w:val="22"/>
              </w:rPr>
              <w:t>4.833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1E681B" w:rsidRPr="00492469" w:rsidRDefault="001E681B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492469">
              <w:rPr>
                <w:bCs/>
                <w:sz w:val="22"/>
              </w:rPr>
              <w:t>0.059</w:t>
            </w:r>
          </w:p>
        </w:tc>
        <w:tc>
          <w:tcPr>
            <w:tcW w:w="2330" w:type="dxa"/>
            <w:gridSpan w:val="2"/>
          </w:tcPr>
          <w:p w:rsidR="001E681B" w:rsidRPr="00A93D5D" w:rsidRDefault="001E681B" w:rsidP="00B001D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1E681B" w:rsidRPr="00516C08" w:rsidTr="001E681B">
        <w:trPr>
          <w:jc w:val="center"/>
        </w:trPr>
        <w:tc>
          <w:tcPr>
            <w:tcW w:w="3590" w:type="dxa"/>
            <w:gridSpan w:val="3"/>
            <w:tcBorders>
              <w:bottom w:val="single" w:sz="4" w:space="0" w:color="auto"/>
            </w:tcBorders>
          </w:tcPr>
          <w:p w:rsidR="001E681B" w:rsidRPr="00A93D5D" w:rsidRDefault="001E681B" w:rsidP="00B001D8">
            <w:pPr>
              <w:spacing w:after="0" w:line="240" w:lineRule="auto"/>
              <w:rPr>
                <w:bCs/>
                <w:sz w:val="22"/>
              </w:rPr>
            </w:pPr>
            <w:r w:rsidRPr="00A93D5D">
              <w:rPr>
                <w:bCs/>
                <w:sz w:val="22"/>
              </w:rPr>
              <w:t>Temperature (°F)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81B" w:rsidRPr="00492469" w:rsidRDefault="001E681B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492469">
              <w:rPr>
                <w:bCs/>
                <w:sz w:val="22"/>
              </w:rPr>
              <w:t>0.002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681B" w:rsidRPr="00492469" w:rsidRDefault="001E681B" w:rsidP="00A93D5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492469">
              <w:rPr>
                <w:bCs/>
                <w:sz w:val="22"/>
              </w:rPr>
              <w:t>0.962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1E681B" w:rsidRPr="00A93D5D" w:rsidRDefault="001E681B" w:rsidP="00B001D8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</w:tbl>
    <w:p w:rsidR="0046776A" w:rsidRDefault="0046776A" w:rsidP="0046776A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eastAsia="Times New Roman"/>
          <w:b/>
          <w:bCs/>
        </w:rPr>
      </w:pPr>
    </w:p>
    <w:p w:rsidR="0046776A" w:rsidRDefault="0046776A" w:rsidP="0046776A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eastAsia="Times New Roman"/>
          <w:b/>
          <w:bCs/>
        </w:rPr>
      </w:pPr>
    </w:p>
    <w:p w:rsidR="00792542" w:rsidRDefault="00792542" w:rsidP="0046776A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eastAsia="Times New Roman"/>
          <w:b/>
          <w:bCs/>
        </w:rPr>
      </w:pPr>
    </w:p>
    <w:p w:rsidR="00792542" w:rsidRDefault="00792542" w:rsidP="0046776A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eastAsia="Times New Roman"/>
          <w:b/>
          <w:bCs/>
        </w:rPr>
      </w:pPr>
    </w:p>
    <w:p w:rsidR="00792542" w:rsidRDefault="00792542" w:rsidP="0046776A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eastAsia="Times New Roman"/>
          <w:b/>
          <w:bCs/>
        </w:rPr>
      </w:pPr>
    </w:p>
    <w:p w:rsidR="00792542" w:rsidRDefault="00792542" w:rsidP="0046776A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eastAsia="Times New Roman"/>
          <w:b/>
          <w:bCs/>
        </w:rPr>
      </w:pPr>
    </w:p>
    <w:p w:rsidR="00792542" w:rsidRDefault="00792542" w:rsidP="0046776A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eastAsia="Times New Roman"/>
          <w:b/>
          <w:bCs/>
        </w:rPr>
      </w:pPr>
    </w:p>
    <w:p w:rsidR="00792542" w:rsidRDefault="00792542" w:rsidP="0046776A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eastAsia="Times New Roman"/>
          <w:b/>
          <w:bCs/>
        </w:rPr>
      </w:pPr>
    </w:p>
    <w:p w:rsidR="00792542" w:rsidRDefault="00792542" w:rsidP="0046776A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eastAsia="Times New Roman"/>
          <w:b/>
          <w:bCs/>
        </w:rPr>
      </w:pPr>
    </w:p>
    <w:p w:rsidR="00792542" w:rsidRDefault="00792542" w:rsidP="0046776A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eastAsia="Times New Roman"/>
          <w:b/>
          <w:bCs/>
        </w:rPr>
      </w:pPr>
    </w:p>
    <w:p w:rsidR="00792542" w:rsidRDefault="00792542" w:rsidP="0046776A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eastAsia="Times New Roman"/>
          <w:b/>
          <w:bCs/>
        </w:rPr>
      </w:pPr>
    </w:p>
    <w:p w:rsidR="00A82DD4" w:rsidRPr="00717BCE" w:rsidRDefault="00A82DD4" w:rsidP="00A82DD4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eastAsia="Times New Roman"/>
          <w:sz w:val="32"/>
          <w:lang w:eastAsia="ru-RU"/>
        </w:rPr>
      </w:pPr>
      <w:r w:rsidRPr="00717BCE">
        <w:rPr>
          <w:rFonts w:eastAsia="Times New Roman"/>
          <w:b/>
          <w:bCs/>
        </w:rPr>
        <w:lastRenderedPageBreak/>
        <w:t xml:space="preserve">Supplement Table </w:t>
      </w:r>
      <w:r w:rsidR="0046776A" w:rsidRPr="00717BCE">
        <w:rPr>
          <w:rFonts w:eastAsia="Times New Roman"/>
          <w:b/>
          <w:bCs/>
        </w:rPr>
        <w:t>2</w:t>
      </w:r>
      <w:r w:rsidRPr="00717BCE">
        <w:rPr>
          <w:rFonts w:eastAsia="Times New Roman"/>
          <w:b/>
          <w:bCs/>
        </w:rPr>
        <w:t xml:space="preserve"> </w:t>
      </w:r>
      <w:r w:rsidRPr="00717BCE">
        <w:rPr>
          <w:rFonts w:eastAsia="Times New Roman"/>
          <w:bCs/>
        </w:rPr>
        <w:t xml:space="preserve">Results of hematological and biochemical parameters at </w:t>
      </w:r>
      <w:r w:rsidR="00717BCE" w:rsidRPr="00717BCE">
        <w:rPr>
          <w:rFonts w:eastAsia="Times New Roman"/>
          <w:bCs/>
        </w:rPr>
        <w:t>baseline</w:t>
      </w:r>
      <w:r w:rsidRPr="00717BCE">
        <w:rPr>
          <w:rFonts w:eastAsia="Times New Roman"/>
          <w:lang w:eastAsia="ru-RU"/>
        </w:rPr>
        <w:t xml:space="preserve"> and at </w:t>
      </w:r>
      <w:r w:rsidR="0025190D">
        <w:rPr>
          <w:rFonts w:eastAsia="Times New Roman"/>
          <w:lang w:eastAsia="ru-RU"/>
        </w:rPr>
        <w:t xml:space="preserve">the </w:t>
      </w:r>
      <w:bookmarkStart w:id="12" w:name="_GoBack"/>
      <w:bookmarkEnd w:id="12"/>
      <w:r w:rsidRPr="00717BCE">
        <w:rPr>
          <w:rFonts w:eastAsia="Times New Roman"/>
          <w:lang w:eastAsia="ru-RU"/>
        </w:rPr>
        <w:t>end of treatment (EOT) in Test-G and Placebo-H group. Values expressed as mean ± S.D.</w:t>
      </w:r>
    </w:p>
    <w:tbl>
      <w:tblPr>
        <w:tblStyle w:val="TableGrid"/>
        <w:tblW w:w="10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1028"/>
        <w:gridCol w:w="1711"/>
        <w:gridCol w:w="1626"/>
        <w:gridCol w:w="996"/>
        <w:gridCol w:w="1688"/>
        <w:gridCol w:w="1873"/>
      </w:tblGrid>
      <w:tr w:rsidR="00BC7840" w:rsidRPr="00BC7840" w:rsidTr="00D513C0">
        <w:trPr>
          <w:jc w:val="center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71A3C" w:rsidRPr="00BC7840" w:rsidRDefault="00D71A3C" w:rsidP="00A82DD4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C7840">
              <w:rPr>
                <w:rFonts w:cs="Times New Roman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71A3C" w:rsidRPr="00BC7840" w:rsidRDefault="00D71A3C" w:rsidP="00A82DD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7840">
              <w:rPr>
                <w:rFonts w:cs="Times New Roman"/>
                <w:b/>
                <w:bCs/>
                <w:sz w:val="20"/>
                <w:szCs w:val="20"/>
              </w:rPr>
              <w:t>Visit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71A3C" w:rsidRPr="00BC7840" w:rsidRDefault="00D71A3C" w:rsidP="00717B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7840">
              <w:rPr>
                <w:rFonts w:cs="Times New Roman"/>
                <w:b/>
                <w:bCs/>
                <w:sz w:val="20"/>
                <w:szCs w:val="20"/>
              </w:rPr>
              <w:t>Test-G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71A3C" w:rsidRPr="00BC7840" w:rsidRDefault="00D71A3C" w:rsidP="00717B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7840">
              <w:rPr>
                <w:rFonts w:cs="Times New Roman"/>
                <w:b/>
                <w:bCs/>
                <w:sz w:val="20"/>
                <w:szCs w:val="20"/>
              </w:rPr>
              <w:t>Placebo-H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71A3C" w:rsidRPr="00BC7840" w:rsidRDefault="00D71A3C" w:rsidP="00BC784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7840">
              <w:rPr>
                <w:rFonts w:cs="Times New Roman"/>
                <w:b/>
                <w:bCs/>
                <w:sz w:val="20"/>
                <w:szCs w:val="20"/>
              </w:rPr>
              <w:t>P value</w:t>
            </w:r>
            <w:r w:rsidR="003C192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3C1929" w:rsidRPr="003C1929">
              <w:rPr>
                <w:b/>
                <w:bCs/>
                <w:sz w:val="22"/>
              </w:rPr>
              <w:t>(p&lt;0.05)</w:t>
            </w:r>
            <w:r w:rsidR="003C192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71A3C" w:rsidRPr="00BC7840" w:rsidRDefault="00D71A3C" w:rsidP="00BC784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7840">
              <w:rPr>
                <w:rFonts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71A3C" w:rsidRPr="00BC7840" w:rsidRDefault="00D71A3C" w:rsidP="00853E2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7840">
              <w:rPr>
                <w:rFonts w:cs="Times New Roman"/>
                <w:b/>
                <w:bCs/>
                <w:sz w:val="20"/>
                <w:szCs w:val="20"/>
              </w:rPr>
              <w:t>Normal range</w:t>
            </w:r>
          </w:p>
        </w:tc>
      </w:tr>
      <w:tr w:rsidR="00BC7840" w:rsidRPr="00BC7840" w:rsidTr="00D513C0">
        <w:trPr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</w:tcBorders>
          </w:tcPr>
          <w:p w:rsidR="00D71A3C" w:rsidRPr="00BC7840" w:rsidRDefault="00D71A3C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Hemoglobin (g%)</w:t>
            </w:r>
          </w:p>
          <w:p w:rsidR="00D71A3C" w:rsidRPr="00BC7840" w:rsidRDefault="00D71A3C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71A3C" w:rsidRPr="00BC7840" w:rsidRDefault="00D71A3C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D71A3C" w:rsidRPr="00BC7840" w:rsidRDefault="00D71A3C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14.2±1.80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</w:tcPr>
          <w:p w:rsidR="00D71A3C" w:rsidRPr="00BC7840" w:rsidRDefault="00D71A3C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14.3±1.60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71A3C" w:rsidRPr="00BC7840" w:rsidRDefault="00D71A3C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0.8574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D71A3C" w:rsidRPr="00BC7840" w:rsidRDefault="00D71A3C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-1.02 - 1.22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:rsidR="00D71A3C" w:rsidRPr="00BC7840" w:rsidRDefault="00D71A3C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13-16 (Male)</w:t>
            </w:r>
          </w:p>
          <w:p w:rsidR="00D71A3C" w:rsidRPr="00BC7840" w:rsidRDefault="00D71A3C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12-15 (Female)</w:t>
            </w:r>
          </w:p>
        </w:tc>
      </w:tr>
      <w:tr w:rsidR="00BC7840" w:rsidRPr="00BC7840" w:rsidTr="00D513C0">
        <w:trPr>
          <w:jc w:val="center"/>
        </w:trPr>
        <w:tc>
          <w:tcPr>
            <w:tcW w:w="2014" w:type="dxa"/>
            <w:vMerge/>
          </w:tcPr>
          <w:p w:rsidR="00D71A3C" w:rsidRPr="00BC7840" w:rsidRDefault="00D71A3C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:rsidR="00D71A3C" w:rsidRPr="00BC7840" w:rsidRDefault="00F021A1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  <w:shd w:val="clear" w:color="auto" w:fill="auto"/>
          </w:tcPr>
          <w:p w:rsidR="00D71A3C" w:rsidRPr="00BC7840" w:rsidRDefault="00D71A3C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14.00±1.70</w:t>
            </w:r>
          </w:p>
        </w:tc>
        <w:tc>
          <w:tcPr>
            <w:tcW w:w="1626" w:type="dxa"/>
            <w:shd w:val="clear" w:color="auto" w:fill="auto"/>
          </w:tcPr>
          <w:p w:rsidR="00D71A3C" w:rsidRPr="00BC7840" w:rsidRDefault="00D71A3C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13.9±1.40</w:t>
            </w:r>
          </w:p>
        </w:tc>
        <w:tc>
          <w:tcPr>
            <w:tcW w:w="996" w:type="dxa"/>
          </w:tcPr>
          <w:p w:rsidR="00D71A3C" w:rsidRPr="00BC7840" w:rsidRDefault="00EF70BF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0.8442</w:t>
            </w:r>
          </w:p>
        </w:tc>
        <w:tc>
          <w:tcPr>
            <w:tcW w:w="1688" w:type="dxa"/>
          </w:tcPr>
          <w:p w:rsidR="00D71A3C" w:rsidRPr="00BC7840" w:rsidRDefault="00D71A3C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-1.12 -</w:t>
            </w:r>
            <w:r w:rsidRPr="00BC7840">
              <w:rPr>
                <w:rFonts w:cs="Times New Roman"/>
                <w:bCs/>
                <w:sz w:val="20"/>
                <w:szCs w:val="20"/>
              </w:rPr>
              <w:tab/>
              <w:t>0.92</w:t>
            </w:r>
          </w:p>
        </w:tc>
        <w:tc>
          <w:tcPr>
            <w:tcW w:w="1873" w:type="dxa"/>
            <w:vMerge/>
          </w:tcPr>
          <w:p w:rsidR="00D71A3C" w:rsidRPr="00BC7840" w:rsidRDefault="00D71A3C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7840" w:rsidRPr="00BC7840" w:rsidTr="00D513C0">
        <w:trPr>
          <w:jc w:val="center"/>
        </w:trPr>
        <w:tc>
          <w:tcPr>
            <w:tcW w:w="2014" w:type="dxa"/>
            <w:vMerge w:val="restart"/>
          </w:tcPr>
          <w:p w:rsidR="00D71A3C" w:rsidRPr="00BC7840" w:rsidRDefault="00D71A3C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SGOT (AST) (U/L)</w:t>
            </w:r>
          </w:p>
        </w:tc>
        <w:tc>
          <w:tcPr>
            <w:tcW w:w="1028" w:type="dxa"/>
          </w:tcPr>
          <w:p w:rsidR="00D71A3C" w:rsidRPr="00BC7840" w:rsidRDefault="00D71A3C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  <w:shd w:val="clear" w:color="auto" w:fill="auto"/>
          </w:tcPr>
          <w:p w:rsidR="00D71A3C" w:rsidRPr="00BC7840" w:rsidRDefault="00D71A3C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28.74±11.66</w:t>
            </w:r>
          </w:p>
        </w:tc>
        <w:tc>
          <w:tcPr>
            <w:tcW w:w="1626" w:type="dxa"/>
            <w:shd w:val="clear" w:color="auto" w:fill="auto"/>
          </w:tcPr>
          <w:p w:rsidR="00D71A3C" w:rsidRPr="00BC7840" w:rsidRDefault="00D71A3C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25.31±11.10</w:t>
            </w:r>
          </w:p>
        </w:tc>
        <w:tc>
          <w:tcPr>
            <w:tcW w:w="996" w:type="dxa"/>
          </w:tcPr>
          <w:p w:rsidR="00D71A3C" w:rsidRPr="00BC7840" w:rsidRDefault="00EF70BF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0.3592</w:t>
            </w:r>
          </w:p>
        </w:tc>
        <w:tc>
          <w:tcPr>
            <w:tcW w:w="1688" w:type="dxa"/>
          </w:tcPr>
          <w:p w:rsidR="00D71A3C" w:rsidRPr="00BC7840" w:rsidRDefault="00D71A3C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-10.92 - 4.06</w:t>
            </w:r>
          </w:p>
        </w:tc>
        <w:tc>
          <w:tcPr>
            <w:tcW w:w="1873" w:type="dxa"/>
            <w:vMerge w:val="restart"/>
          </w:tcPr>
          <w:p w:rsidR="00D71A3C" w:rsidRPr="00BC7840" w:rsidRDefault="00D71A3C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15-37</w:t>
            </w:r>
          </w:p>
        </w:tc>
      </w:tr>
      <w:tr w:rsidR="00BC7840" w:rsidRPr="00BC7840" w:rsidTr="00D513C0">
        <w:trPr>
          <w:jc w:val="center"/>
        </w:trPr>
        <w:tc>
          <w:tcPr>
            <w:tcW w:w="2014" w:type="dxa"/>
            <w:vMerge/>
          </w:tcPr>
          <w:p w:rsidR="00D71A3C" w:rsidRPr="00BC7840" w:rsidRDefault="00D71A3C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:rsidR="00D71A3C" w:rsidRPr="00BC7840" w:rsidRDefault="00F021A1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</w:tcPr>
          <w:p w:rsidR="00D71A3C" w:rsidRPr="00BC7840" w:rsidRDefault="00D71A3C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26.68±10.34</w:t>
            </w:r>
          </w:p>
        </w:tc>
        <w:tc>
          <w:tcPr>
            <w:tcW w:w="1626" w:type="dxa"/>
          </w:tcPr>
          <w:p w:rsidR="00D71A3C" w:rsidRPr="00BC7840" w:rsidRDefault="00D71A3C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26.63±6.22</w:t>
            </w:r>
          </w:p>
        </w:tc>
        <w:tc>
          <w:tcPr>
            <w:tcW w:w="996" w:type="dxa"/>
          </w:tcPr>
          <w:p w:rsidR="00D71A3C" w:rsidRPr="00BC7840" w:rsidRDefault="00EF70BF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0.9857</w:t>
            </w:r>
          </w:p>
        </w:tc>
        <w:tc>
          <w:tcPr>
            <w:tcW w:w="1688" w:type="dxa"/>
          </w:tcPr>
          <w:p w:rsidR="00D71A3C" w:rsidRPr="00BC7840" w:rsidRDefault="00EF70BF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5.66</w:t>
            </w:r>
            <w:r w:rsidR="00BC7840" w:rsidRPr="00BC7840">
              <w:rPr>
                <w:rFonts w:cs="Times New Roman"/>
                <w:bCs/>
                <w:sz w:val="20"/>
                <w:szCs w:val="20"/>
              </w:rPr>
              <w:t xml:space="preserve"> -</w:t>
            </w:r>
            <w:r w:rsidRPr="00BC7840">
              <w:rPr>
                <w:rFonts w:cs="Times New Roman"/>
                <w:bCs/>
                <w:sz w:val="20"/>
                <w:szCs w:val="20"/>
              </w:rPr>
              <w:t xml:space="preserve"> 5.56</w:t>
            </w:r>
          </w:p>
        </w:tc>
        <w:tc>
          <w:tcPr>
            <w:tcW w:w="1873" w:type="dxa"/>
            <w:vMerge/>
          </w:tcPr>
          <w:p w:rsidR="00D71A3C" w:rsidRPr="00BC7840" w:rsidRDefault="00D71A3C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7840" w:rsidRPr="00BC7840" w:rsidTr="00D513C0">
        <w:trPr>
          <w:jc w:val="center"/>
        </w:trPr>
        <w:tc>
          <w:tcPr>
            <w:tcW w:w="2014" w:type="dxa"/>
            <w:vMerge w:val="restart"/>
          </w:tcPr>
          <w:p w:rsidR="00D71A3C" w:rsidRPr="00BC7840" w:rsidRDefault="00D71A3C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SGPT (ALT) (U/L)</w:t>
            </w:r>
          </w:p>
        </w:tc>
        <w:tc>
          <w:tcPr>
            <w:tcW w:w="1028" w:type="dxa"/>
          </w:tcPr>
          <w:p w:rsidR="00D71A3C" w:rsidRPr="00BC7840" w:rsidRDefault="00D71A3C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</w:tcPr>
          <w:p w:rsidR="00D71A3C" w:rsidRPr="00BC7840" w:rsidRDefault="00D71A3C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37.63±20.11</w:t>
            </w:r>
          </w:p>
        </w:tc>
        <w:tc>
          <w:tcPr>
            <w:tcW w:w="1626" w:type="dxa"/>
          </w:tcPr>
          <w:p w:rsidR="00D71A3C" w:rsidRPr="00BC7840" w:rsidRDefault="00D71A3C" w:rsidP="009B1BBF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35.84±17.50</w:t>
            </w:r>
          </w:p>
        </w:tc>
        <w:tc>
          <w:tcPr>
            <w:tcW w:w="996" w:type="dxa"/>
          </w:tcPr>
          <w:p w:rsidR="00D71A3C" w:rsidRPr="00BC7840" w:rsidRDefault="00EF70BF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0.7714</w:t>
            </w:r>
          </w:p>
        </w:tc>
        <w:tc>
          <w:tcPr>
            <w:tcW w:w="1688" w:type="dxa"/>
          </w:tcPr>
          <w:p w:rsidR="00D71A3C" w:rsidRPr="00BC7840" w:rsidRDefault="00EF70BF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-14.19</w:t>
            </w:r>
            <w:r w:rsidR="00BC7840" w:rsidRPr="00BC7840">
              <w:rPr>
                <w:rFonts w:cs="Times New Roman"/>
                <w:bCs/>
                <w:sz w:val="20"/>
                <w:szCs w:val="20"/>
              </w:rPr>
              <w:t xml:space="preserve"> -</w:t>
            </w:r>
            <w:r w:rsidRPr="00BC7840">
              <w:rPr>
                <w:rFonts w:cs="Times New Roman"/>
                <w:bCs/>
                <w:sz w:val="20"/>
                <w:szCs w:val="20"/>
              </w:rPr>
              <w:t xml:space="preserve"> 10.61</w:t>
            </w:r>
          </w:p>
        </w:tc>
        <w:tc>
          <w:tcPr>
            <w:tcW w:w="1873" w:type="dxa"/>
            <w:vMerge w:val="restart"/>
          </w:tcPr>
          <w:p w:rsidR="00D71A3C" w:rsidRPr="00BC7840" w:rsidRDefault="00D71A3C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30-65</w:t>
            </w:r>
          </w:p>
        </w:tc>
      </w:tr>
      <w:tr w:rsidR="00BC7840" w:rsidRPr="00BC7840" w:rsidTr="00D513C0">
        <w:trPr>
          <w:jc w:val="center"/>
        </w:trPr>
        <w:tc>
          <w:tcPr>
            <w:tcW w:w="2014" w:type="dxa"/>
            <w:vMerge/>
          </w:tcPr>
          <w:p w:rsidR="00D71A3C" w:rsidRPr="00BC7840" w:rsidRDefault="00D71A3C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:rsidR="00D71A3C" w:rsidRPr="00BC7840" w:rsidRDefault="00F021A1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</w:tcPr>
          <w:p w:rsidR="00D71A3C" w:rsidRPr="00BC7840" w:rsidRDefault="00D71A3C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35.31±17.13</w:t>
            </w:r>
          </w:p>
        </w:tc>
        <w:tc>
          <w:tcPr>
            <w:tcW w:w="1626" w:type="dxa"/>
          </w:tcPr>
          <w:p w:rsidR="00D71A3C" w:rsidRPr="00BC7840" w:rsidRDefault="00D71A3C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37.79±13.32</w:t>
            </w:r>
          </w:p>
        </w:tc>
        <w:tc>
          <w:tcPr>
            <w:tcW w:w="996" w:type="dxa"/>
          </w:tcPr>
          <w:p w:rsidR="00D71A3C" w:rsidRPr="00BC7840" w:rsidRDefault="00EF70BF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0.6214</w:t>
            </w:r>
          </w:p>
        </w:tc>
        <w:tc>
          <w:tcPr>
            <w:tcW w:w="1688" w:type="dxa"/>
          </w:tcPr>
          <w:p w:rsidR="00D71A3C" w:rsidRPr="00BC7840" w:rsidRDefault="00EF70BF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-7.61</w:t>
            </w:r>
            <w:r w:rsidR="00BC7840" w:rsidRPr="00BC7840">
              <w:rPr>
                <w:rFonts w:cs="Times New Roman"/>
                <w:bCs/>
                <w:sz w:val="20"/>
                <w:szCs w:val="20"/>
              </w:rPr>
              <w:t xml:space="preserve"> -</w:t>
            </w:r>
            <w:r w:rsidRPr="00BC7840">
              <w:rPr>
                <w:rFonts w:cs="Times New Roman"/>
                <w:bCs/>
                <w:sz w:val="20"/>
                <w:szCs w:val="20"/>
              </w:rPr>
              <w:t xml:space="preserve"> 12.5</w:t>
            </w:r>
            <w:r w:rsidR="00BC7840" w:rsidRPr="00BC7840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73" w:type="dxa"/>
            <w:vMerge/>
          </w:tcPr>
          <w:p w:rsidR="00D71A3C" w:rsidRPr="00BC7840" w:rsidRDefault="00D71A3C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7840" w:rsidRPr="00BC7840" w:rsidTr="00D513C0">
        <w:trPr>
          <w:jc w:val="center"/>
        </w:trPr>
        <w:tc>
          <w:tcPr>
            <w:tcW w:w="2014" w:type="dxa"/>
            <w:vMerge w:val="restart"/>
          </w:tcPr>
          <w:p w:rsidR="00D71A3C" w:rsidRPr="00BC7840" w:rsidRDefault="00D71A3C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Creatinine (mg/dl)</w:t>
            </w:r>
          </w:p>
        </w:tc>
        <w:tc>
          <w:tcPr>
            <w:tcW w:w="1028" w:type="dxa"/>
          </w:tcPr>
          <w:p w:rsidR="00D71A3C" w:rsidRPr="00BC7840" w:rsidRDefault="00D71A3C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</w:tcPr>
          <w:p w:rsidR="00D71A3C" w:rsidRPr="00BC7840" w:rsidRDefault="00D71A3C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0.83±0.17</w:t>
            </w:r>
          </w:p>
        </w:tc>
        <w:tc>
          <w:tcPr>
            <w:tcW w:w="1626" w:type="dxa"/>
          </w:tcPr>
          <w:p w:rsidR="00D71A3C" w:rsidRPr="00BC7840" w:rsidRDefault="00D71A3C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1.31±2.06</w:t>
            </w:r>
          </w:p>
        </w:tc>
        <w:tc>
          <w:tcPr>
            <w:tcW w:w="996" w:type="dxa"/>
          </w:tcPr>
          <w:p w:rsidR="00D71A3C" w:rsidRPr="00BC7840" w:rsidRDefault="00EF70BF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0.3182</w:t>
            </w:r>
          </w:p>
        </w:tc>
        <w:tc>
          <w:tcPr>
            <w:tcW w:w="1688" w:type="dxa"/>
          </w:tcPr>
          <w:p w:rsidR="00D71A3C" w:rsidRPr="00BC7840" w:rsidRDefault="00EF70BF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-0.48</w:t>
            </w:r>
            <w:r w:rsidR="00BC7840" w:rsidRPr="00BC7840">
              <w:rPr>
                <w:rFonts w:cs="Times New Roman"/>
                <w:bCs/>
                <w:sz w:val="20"/>
                <w:szCs w:val="20"/>
              </w:rPr>
              <w:t xml:space="preserve"> -</w:t>
            </w:r>
            <w:r w:rsidRPr="00BC7840">
              <w:rPr>
                <w:rFonts w:cs="Times New Roman"/>
                <w:bCs/>
                <w:sz w:val="20"/>
                <w:szCs w:val="20"/>
              </w:rPr>
              <w:t xml:space="preserve"> 1.44</w:t>
            </w:r>
          </w:p>
        </w:tc>
        <w:tc>
          <w:tcPr>
            <w:tcW w:w="1873" w:type="dxa"/>
            <w:vMerge w:val="restart"/>
          </w:tcPr>
          <w:p w:rsidR="00D71A3C" w:rsidRPr="00BC7840" w:rsidRDefault="00D71A3C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0.5-1.4</w:t>
            </w:r>
          </w:p>
        </w:tc>
      </w:tr>
      <w:tr w:rsidR="00BC7840" w:rsidRPr="00BC7840" w:rsidTr="00D513C0">
        <w:trPr>
          <w:jc w:val="center"/>
        </w:trPr>
        <w:tc>
          <w:tcPr>
            <w:tcW w:w="2014" w:type="dxa"/>
            <w:vMerge/>
          </w:tcPr>
          <w:p w:rsidR="00D71A3C" w:rsidRPr="00BC7840" w:rsidRDefault="00D71A3C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:rsidR="00D71A3C" w:rsidRPr="00BC7840" w:rsidRDefault="00F021A1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</w:tcPr>
          <w:p w:rsidR="00D71A3C" w:rsidRPr="00BC7840" w:rsidRDefault="00D71A3C" w:rsidP="009B1BBF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0.80±0.16</w:t>
            </w:r>
          </w:p>
        </w:tc>
        <w:tc>
          <w:tcPr>
            <w:tcW w:w="1626" w:type="dxa"/>
          </w:tcPr>
          <w:p w:rsidR="00D71A3C" w:rsidRPr="00BC7840" w:rsidRDefault="00D71A3C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0.84±0.17</w:t>
            </w:r>
          </w:p>
        </w:tc>
        <w:tc>
          <w:tcPr>
            <w:tcW w:w="996" w:type="dxa"/>
          </w:tcPr>
          <w:p w:rsidR="00D71A3C" w:rsidRPr="00BC7840" w:rsidRDefault="00EF70BF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0.4600</w:t>
            </w:r>
          </w:p>
        </w:tc>
        <w:tc>
          <w:tcPr>
            <w:tcW w:w="1688" w:type="dxa"/>
          </w:tcPr>
          <w:p w:rsidR="00D71A3C" w:rsidRPr="00BC7840" w:rsidRDefault="00EF70BF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-0.0</w:t>
            </w:r>
            <w:r w:rsidR="00BC7840" w:rsidRPr="00BC7840">
              <w:rPr>
                <w:rFonts w:cs="Times New Roman"/>
                <w:bCs/>
                <w:sz w:val="20"/>
                <w:szCs w:val="20"/>
              </w:rPr>
              <w:t>7 -</w:t>
            </w:r>
            <w:r w:rsidRPr="00BC7840">
              <w:rPr>
                <w:rFonts w:cs="Times New Roman"/>
                <w:bCs/>
                <w:sz w:val="20"/>
                <w:szCs w:val="20"/>
              </w:rPr>
              <w:t xml:space="preserve"> 0.1</w:t>
            </w:r>
            <w:r w:rsidR="00BC7840" w:rsidRPr="00BC7840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73" w:type="dxa"/>
            <w:vMerge/>
          </w:tcPr>
          <w:p w:rsidR="00D71A3C" w:rsidRPr="00BC7840" w:rsidRDefault="00D71A3C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 w:val="restart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 xml:space="preserve">BUN </w:t>
            </w:r>
            <w:r w:rsidRPr="00700E65">
              <w:rPr>
                <w:bCs/>
                <w:i/>
              </w:rPr>
              <w:t>(mg/dl)</w:t>
            </w:r>
          </w:p>
        </w:tc>
        <w:tc>
          <w:tcPr>
            <w:tcW w:w="1028" w:type="dxa"/>
          </w:tcPr>
          <w:p w:rsidR="00D513C0" w:rsidRPr="00BC7840" w:rsidRDefault="00D513C0" w:rsidP="00785049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</w:tcPr>
          <w:p w:rsidR="00D513C0" w:rsidRPr="00BC7840" w:rsidRDefault="00D513C0" w:rsidP="00D513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513C0">
              <w:rPr>
                <w:rFonts w:cs="Times New Roman"/>
                <w:bCs/>
                <w:sz w:val="20"/>
                <w:szCs w:val="20"/>
              </w:rPr>
              <w:t>9.7</w:t>
            </w: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Pr="00BC7840">
              <w:rPr>
                <w:rFonts w:cs="Times New Roman"/>
                <w:bCs/>
                <w:sz w:val="20"/>
                <w:szCs w:val="20"/>
              </w:rPr>
              <w:t>±</w:t>
            </w:r>
            <w:r w:rsidRPr="00D513C0">
              <w:rPr>
                <w:rFonts w:cs="Times New Roman"/>
                <w:bCs/>
                <w:sz w:val="20"/>
                <w:szCs w:val="20"/>
              </w:rPr>
              <w:t>3.86</w:t>
            </w:r>
          </w:p>
        </w:tc>
        <w:tc>
          <w:tcPr>
            <w:tcW w:w="1626" w:type="dxa"/>
          </w:tcPr>
          <w:p w:rsidR="00D513C0" w:rsidRPr="00BC7840" w:rsidRDefault="00D513C0" w:rsidP="00D513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513C0">
              <w:rPr>
                <w:rFonts w:cs="Times New Roman"/>
                <w:bCs/>
                <w:sz w:val="20"/>
                <w:szCs w:val="20"/>
              </w:rPr>
              <w:t>8.39</w:t>
            </w:r>
            <w:r w:rsidRPr="00BC7840">
              <w:rPr>
                <w:rFonts w:cs="Times New Roman"/>
                <w:bCs/>
                <w:sz w:val="20"/>
                <w:szCs w:val="20"/>
              </w:rPr>
              <w:t>±</w:t>
            </w:r>
            <w:r w:rsidRPr="00D513C0">
              <w:rPr>
                <w:rFonts w:cs="Times New Roman"/>
                <w:bCs/>
                <w:sz w:val="20"/>
                <w:szCs w:val="20"/>
              </w:rPr>
              <w:t>3.44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13C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0.2732</w:t>
            </w:r>
          </w:p>
        </w:tc>
        <w:tc>
          <w:tcPr>
            <w:tcW w:w="1688" w:type="dxa"/>
          </w:tcPr>
          <w:p w:rsidR="00D513C0" w:rsidRPr="00BC7840" w:rsidRDefault="00D513C0" w:rsidP="00D513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513C0">
              <w:rPr>
                <w:rFonts w:cs="Times New Roman"/>
                <w:bCs/>
                <w:sz w:val="20"/>
                <w:szCs w:val="20"/>
              </w:rPr>
              <w:t>-3.72</w:t>
            </w:r>
            <w:r>
              <w:rPr>
                <w:rFonts w:cs="Times New Roman"/>
                <w:bCs/>
                <w:sz w:val="20"/>
                <w:szCs w:val="20"/>
              </w:rPr>
              <w:t xml:space="preserve"> - </w:t>
            </w:r>
            <w:r w:rsidRPr="00D513C0">
              <w:rPr>
                <w:rFonts w:cs="Times New Roman"/>
                <w:bCs/>
                <w:sz w:val="20"/>
                <w:szCs w:val="20"/>
              </w:rPr>
              <w:t>1.08</w:t>
            </w:r>
          </w:p>
        </w:tc>
        <w:tc>
          <w:tcPr>
            <w:tcW w:w="1873" w:type="dxa"/>
            <w:vMerge w:val="restart"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0E65">
              <w:rPr>
                <w:bCs/>
                <w:sz w:val="20"/>
                <w:szCs w:val="20"/>
              </w:rPr>
              <w:t>14-36</w:t>
            </w: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:rsidR="00D513C0" w:rsidRPr="00BC7840" w:rsidRDefault="00D513C0" w:rsidP="00785049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</w:tcPr>
          <w:p w:rsidR="00D513C0" w:rsidRPr="00BC7840" w:rsidRDefault="00D513C0" w:rsidP="00D513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513C0">
              <w:rPr>
                <w:rFonts w:cs="Times New Roman"/>
                <w:bCs/>
                <w:sz w:val="20"/>
                <w:szCs w:val="20"/>
              </w:rPr>
              <w:t>10.8</w:t>
            </w:r>
            <w:r>
              <w:rPr>
                <w:rFonts w:cs="Times New Roman"/>
                <w:bCs/>
                <w:sz w:val="20"/>
                <w:szCs w:val="20"/>
              </w:rPr>
              <w:t>8</w:t>
            </w:r>
            <w:r w:rsidRPr="00BC7840">
              <w:rPr>
                <w:rFonts w:cs="Times New Roman"/>
                <w:bCs/>
                <w:sz w:val="20"/>
                <w:szCs w:val="20"/>
              </w:rPr>
              <w:t>±</w:t>
            </w:r>
            <w:r w:rsidRPr="00D513C0">
              <w:rPr>
                <w:rFonts w:cs="Times New Roman"/>
                <w:bCs/>
                <w:sz w:val="20"/>
                <w:szCs w:val="20"/>
              </w:rPr>
              <w:t>3.9</w:t>
            </w: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D513C0" w:rsidRPr="00BC7840" w:rsidRDefault="00D513C0" w:rsidP="00D513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513C0">
              <w:rPr>
                <w:rFonts w:cs="Times New Roman"/>
                <w:bCs/>
                <w:sz w:val="20"/>
                <w:szCs w:val="20"/>
              </w:rPr>
              <w:t>9.82</w:t>
            </w:r>
            <w:r w:rsidRPr="00BC7840">
              <w:rPr>
                <w:rFonts w:cs="Times New Roman"/>
                <w:bCs/>
                <w:sz w:val="20"/>
                <w:szCs w:val="20"/>
              </w:rPr>
              <w:t>±</w:t>
            </w:r>
            <w:r w:rsidRPr="00D513C0">
              <w:rPr>
                <w:rFonts w:cs="Times New Roman"/>
                <w:bCs/>
                <w:sz w:val="20"/>
                <w:szCs w:val="20"/>
              </w:rPr>
              <w:t>3.18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13C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0.3705</w:t>
            </w:r>
          </w:p>
        </w:tc>
        <w:tc>
          <w:tcPr>
            <w:tcW w:w="1688" w:type="dxa"/>
          </w:tcPr>
          <w:p w:rsidR="00D513C0" w:rsidRPr="00BC7840" w:rsidRDefault="00D513C0" w:rsidP="00D513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513C0">
              <w:rPr>
                <w:rFonts w:cs="Times New Roman"/>
                <w:bCs/>
                <w:sz w:val="20"/>
                <w:szCs w:val="20"/>
              </w:rPr>
              <w:t>-3.43</w:t>
            </w:r>
            <w:r>
              <w:rPr>
                <w:rFonts w:cs="Times New Roman"/>
                <w:bCs/>
                <w:sz w:val="20"/>
                <w:szCs w:val="20"/>
              </w:rPr>
              <w:t xml:space="preserve"> - </w:t>
            </w:r>
            <w:r w:rsidRPr="00D513C0">
              <w:rPr>
                <w:rFonts w:cs="Times New Roman"/>
                <w:bCs/>
                <w:sz w:val="20"/>
                <w:szCs w:val="20"/>
              </w:rPr>
              <w:t>1.31</w:t>
            </w:r>
          </w:p>
        </w:tc>
        <w:tc>
          <w:tcPr>
            <w:tcW w:w="1873" w:type="dxa"/>
            <w:vMerge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 w:val="restart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RBC (million/cmm)</w:t>
            </w: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</w:tcPr>
          <w:p w:rsidR="00D513C0" w:rsidRPr="00BC7840" w:rsidRDefault="00D513C0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5.12±0.50</w:t>
            </w:r>
          </w:p>
        </w:tc>
        <w:tc>
          <w:tcPr>
            <w:tcW w:w="1626" w:type="dxa"/>
          </w:tcPr>
          <w:p w:rsidR="00D513C0" w:rsidRPr="00BC7840" w:rsidRDefault="00D513C0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5.02±0.39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0.4962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-0.39 - 0.19</w:t>
            </w:r>
          </w:p>
        </w:tc>
        <w:tc>
          <w:tcPr>
            <w:tcW w:w="1873" w:type="dxa"/>
            <w:vMerge w:val="restart"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4.60-6.00 (Male)</w:t>
            </w:r>
          </w:p>
          <w:p w:rsidR="00D513C0" w:rsidRPr="00BC7840" w:rsidRDefault="00D513C0" w:rsidP="00853E28">
            <w:pPr>
              <w:spacing w:after="0" w:line="240" w:lineRule="auto"/>
              <w:ind w:left="-129" w:right="-101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4.00-5.40 (Female)</w:t>
            </w: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</w:tcPr>
          <w:p w:rsidR="00D513C0" w:rsidRPr="00BC7840" w:rsidRDefault="00D513C0" w:rsidP="0003290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5.10±0.42</w:t>
            </w:r>
          </w:p>
        </w:tc>
        <w:tc>
          <w:tcPr>
            <w:tcW w:w="1626" w:type="dxa"/>
          </w:tcPr>
          <w:p w:rsidR="00D513C0" w:rsidRPr="00BC7840" w:rsidRDefault="00D513C0" w:rsidP="0003290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4.96±0.38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0.2885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-0.40 - 0.12</w:t>
            </w:r>
          </w:p>
        </w:tc>
        <w:tc>
          <w:tcPr>
            <w:tcW w:w="1873" w:type="dxa"/>
            <w:vMerge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 w:val="restart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Total leukocyte count</w:t>
            </w:r>
          </w:p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(Cells cu. mm</w:t>
            </w:r>
            <w:r w:rsidRPr="00BC7840">
              <w:rPr>
                <w:rFonts w:cs="Times New Roman"/>
                <w:bCs/>
                <w:i/>
                <w:sz w:val="20"/>
                <w:szCs w:val="20"/>
                <w:vertAlign w:val="superscript"/>
              </w:rPr>
              <w:t>−1</w:t>
            </w:r>
            <w:r w:rsidRPr="00BC7840">
              <w:rPr>
                <w:rFonts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7879.74±2042.25</w:t>
            </w:r>
          </w:p>
        </w:tc>
        <w:tc>
          <w:tcPr>
            <w:tcW w:w="1626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8014.74±2180.7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0.8450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ind w:left="-115" w:right="-108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-1255.09 - 1525.09</w:t>
            </w:r>
          </w:p>
        </w:tc>
        <w:tc>
          <w:tcPr>
            <w:tcW w:w="1873" w:type="dxa"/>
            <w:vMerge w:val="restart"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4,000.00-11,000.00</w:t>
            </w:r>
          </w:p>
        </w:tc>
      </w:tr>
      <w:tr w:rsidR="00D513C0" w:rsidRPr="00BC7840" w:rsidTr="00D513C0">
        <w:trPr>
          <w:trHeight w:val="198"/>
          <w:jc w:val="center"/>
        </w:trPr>
        <w:tc>
          <w:tcPr>
            <w:tcW w:w="2014" w:type="dxa"/>
            <w:vMerge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8030.00±2252.75</w:t>
            </w:r>
          </w:p>
        </w:tc>
        <w:tc>
          <w:tcPr>
            <w:tcW w:w="1626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7878.95±1871.59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0.8234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ind w:left="-127" w:right="-159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-1513.74 -1211.64</w:t>
            </w:r>
          </w:p>
        </w:tc>
        <w:tc>
          <w:tcPr>
            <w:tcW w:w="1873" w:type="dxa"/>
            <w:vMerge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 w:val="restart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Eosinophils (%)</w:t>
            </w: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</w:tcPr>
          <w:p w:rsidR="00D513C0" w:rsidRPr="00BC7840" w:rsidRDefault="00D513C0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3.54±1.98</w:t>
            </w:r>
          </w:p>
        </w:tc>
        <w:tc>
          <w:tcPr>
            <w:tcW w:w="1626" w:type="dxa"/>
          </w:tcPr>
          <w:p w:rsidR="00D513C0" w:rsidRPr="00BC7840" w:rsidRDefault="00D513C0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2.99±2.03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0.4035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-1.87 -0.77</w:t>
            </w:r>
          </w:p>
        </w:tc>
        <w:tc>
          <w:tcPr>
            <w:tcW w:w="1873" w:type="dxa"/>
            <w:vMerge w:val="restart"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1-7</w:t>
            </w: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</w:tcPr>
          <w:p w:rsidR="00D513C0" w:rsidRPr="00BC7840" w:rsidRDefault="00D513C0" w:rsidP="0003290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4.47±2.35</w:t>
            </w:r>
          </w:p>
        </w:tc>
        <w:tc>
          <w:tcPr>
            <w:tcW w:w="1626" w:type="dxa"/>
          </w:tcPr>
          <w:p w:rsidR="00D513C0" w:rsidRPr="00BC7840" w:rsidRDefault="00D513C0" w:rsidP="0003290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3.11±1.63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0.0454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-2.69 - -0.03</w:t>
            </w:r>
          </w:p>
        </w:tc>
        <w:tc>
          <w:tcPr>
            <w:tcW w:w="1873" w:type="dxa"/>
            <w:vMerge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 w:val="restart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Basophils (%)</w:t>
            </w: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</w:tcPr>
          <w:p w:rsidR="00D513C0" w:rsidRPr="00BC7840" w:rsidRDefault="00D513C0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0.36±0.31</w:t>
            </w:r>
          </w:p>
        </w:tc>
        <w:tc>
          <w:tcPr>
            <w:tcW w:w="1626" w:type="dxa"/>
          </w:tcPr>
          <w:p w:rsidR="00D513C0" w:rsidRPr="00BC7840" w:rsidRDefault="00D513C0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0.77±0.96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0.0849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-0.06 - 0.88</w:t>
            </w:r>
          </w:p>
        </w:tc>
        <w:tc>
          <w:tcPr>
            <w:tcW w:w="1873" w:type="dxa"/>
            <w:vMerge w:val="restart"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0-1</w:t>
            </w: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</w:tcPr>
          <w:p w:rsidR="00D513C0" w:rsidRPr="00BC7840" w:rsidRDefault="00D513C0" w:rsidP="0003290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0.42±0.41</w:t>
            </w:r>
          </w:p>
        </w:tc>
        <w:tc>
          <w:tcPr>
            <w:tcW w:w="1626" w:type="dxa"/>
          </w:tcPr>
          <w:p w:rsidR="00D513C0" w:rsidRPr="00BC7840" w:rsidRDefault="00D513C0" w:rsidP="0003290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0.44±0.36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0.8739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-0.23 - 0.27</w:t>
            </w:r>
          </w:p>
        </w:tc>
        <w:tc>
          <w:tcPr>
            <w:tcW w:w="1873" w:type="dxa"/>
            <w:vMerge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 w:val="restart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Neutrophils (%)</w:t>
            </w: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59.54±9.45</w:t>
            </w:r>
          </w:p>
        </w:tc>
        <w:tc>
          <w:tcPr>
            <w:tcW w:w="1626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60.82±9.43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0.6785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-4.93 - 7.49</w:t>
            </w:r>
          </w:p>
        </w:tc>
        <w:tc>
          <w:tcPr>
            <w:tcW w:w="1873" w:type="dxa"/>
            <w:vMerge w:val="restart"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40-75</w:t>
            </w: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57.96±8.37</w:t>
            </w:r>
          </w:p>
        </w:tc>
        <w:tc>
          <w:tcPr>
            <w:tcW w:w="1626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58.17±10.89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0.9472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-6.18 - 6.60</w:t>
            </w:r>
          </w:p>
        </w:tc>
        <w:tc>
          <w:tcPr>
            <w:tcW w:w="1873" w:type="dxa"/>
            <w:vMerge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 w:val="restart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Lymphocytes (%)</w:t>
            </w: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30.24±8.61</w:t>
            </w:r>
          </w:p>
        </w:tc>
        <w:tc>
          <w:tcPr>
            <w:tcW w:w="1626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28.99±8.17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0.6490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-6.77 - 4.27</w:t>
            </w:r>
          </w:p>
        </w:tc>
        <w:tc>
          <w:tcPr>
            <w:tcW w:w="1873" w:type="dxa"/>
            <w:vMerge w:val="restart"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20-42</w:t>
            </w: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</w:tcPr>
          <w:p w:rsidR="00D513C0" w:rsidRPr="00BC7840" w:rsidRDefault="00D513C0" w:rsidP="0003290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30.85±8.17</w:t>
            </w:r>
          </w:p>
        </w:tc>
        <w:tc>
          <w:tcPr>
            <w:tcW w:w="1626" w:type="dxa"/>
          </w:tcPr>
          <w:p w:rsidR="00D513C0" w:rsidRPr="00BC7840" w:rsidRDefault="00D513C0" w:rsidP="0003290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32.02±9.21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0.6812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-4.56 - 6.89</w:t>
            </w:r>
          </w:p>
        </w:tc>
        <w:tc>
          <w:tcPr>
            <w:tcW w:w="1873" w:type="dxa"/>
            <w:vMerge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 w:val="restart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Monocytes (%)</w:t>
            </w: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</w:tcPr>
          <w:p w:rsidR="00D513C0" w:rsidRPr="00BC7840" w:rsidRDefault="00D513C0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6.33±1.68</w:t>
            </w:r>
          </w:p>
        </w:tc>
        <w:tc>
          <w:tcPr>
            <w:tcW w:w="1626" w:type="dxa"/>
          </w:tcPr>
          <w:p w:rsidR="00D513C0" w:rsidRPr="00BC7840" w:rsidRDefault="00D513C0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6.44±1.29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0.8222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-0.87 - 1.09</w:t>
            </w:r>
          </w:p>
        </w:tc>
        <w:tc>
          <w:tcPr>
            <w:tcW w:w="1873" w:type="dxa"/>
            <w:vMerge w:val="restart"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2-10</w:t>
            </w: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</w:tcPr>
          <w:p w:rsidR="00D513C0" w:rsidRPr="00BC7840" w:rsidRDefault="00D513C0" w:rsidP="00A21575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6.34±1.68</w:t>
            </w:r>
          </w:p>
        </w:tc>
        <w:tc>
          <w:tcPr>
            <w:tcW w:w="1626" w:type="dxa"/>
          </w:tcPr>
          <w:p w:rsidR="00D513C0" w:rsidRPr="00BC7840" w:rsidRDefault="00D513C0" w:rsidP="0003290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7.20±2.21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0.1853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-0.43 - 2.15</w:t>
            </w:r>
          </w:p>
        </w:tc>
        <w:tc>
          <w:tcPr>
            <w:tcW w:w="1873" w:type="dxa"/>
            <w:vMerge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 w:val="restart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Hematocrit (PCV %)</w:t>
            </w:r>
            <w:r w:rsidRPr="00BC7840">
              <w:rPr>
                <w:rFonts w:cs="Times New Roman"/>
                <w:bCs/>
                <w:i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42.81±4.87</w:t>
            </w:r>
          </w:p>
        </w:tc>
        <w:tc>
          <w:tcPr>
            <w:tcW w:w="1626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42.89±3.83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0.9554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-2.80 - 2.96</w:t>
            </w:r>
          </w:p>
        </w:tc>
        <w:tc>
          <w:tcPr>
            <w:tcW w:w="1873" w:type="dxa"/>
            <w:vMerge w:val="restart"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40-50 (Male)</w:t>
            </w:r>
          </w:p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36-46 (Female)</w:t>
            </w: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</w:tcPr>
          <w:p w:rsidR="00D513C0" w:rsidRPr="00BC7840" w:rsidRDefault="00D513C0" w:rsidP="0003290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42.80±4.74</w:t>
            </w:r>
          </w:p>
        </w:tc>
        <w:tc>
          <w:tcPr>
            <w:tcW w:w="1626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41.82±3.93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0.4923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-3.84 - 1.88</w:t>
            </w:r>
          </w:p>
        </w:tc>
        <w:tc>
          <w:tcPr>
            <w:tcW w:w="1873" w:type="dxa"/>
            <w:vMerge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 w:val="restart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ESR (mm/hr)</w:t>
            </w:r>
            <w:r w:rsidRPr="00BC7840">
              <w:rPr>
                <w:rFonts w:cs="Times New Roman"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</w:tcPr>
          <w:p w:rsidR="00D513C0" w:rsidRPr="00BC7840" w:rsidRDefault="00D513C0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21.66±15.85</w:t>
            </w:r>
          </w:p>
        </w:tc>
        <w:tc>
          <w:tcPr>
            <w:tcW w:w="1626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17.16±15.15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0.3769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-14.70 - 5.70</w:t>
            </w:r>
          </w:p>
        </w:tc>
        <w:tc>
          <w:tcPr>
            <w:tcW w:w="1873" w:type="dxa"/>
            <w:vMerge w:val="restart"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0-20 (Male)</w:t>
            </w:r>
          </w:p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0-30 (Female)</w:t>
            </w: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14.84±10.21</w:t>
            </w:r>
          </w:p>
        </w:tc>
        <w:tc>
          <w:tcPr>
            <w:tcW w:w="1626" w:type="dxa"/>
          </w:tcPr>
          <w:p w:rsidR="00D513C0" w:rsidRPr="00BC7840" w:rsidRDefault="00D513C0" w:rsidP="00A82D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15.42±10.93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0.8667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-6.37 - 7.53</w:t>
            </w:r>
          </w:p>
        </w:tc>
        <w:tc>
          <w:tcPr>
            <w:tcW w:w="1873" w:type="dxa"/>
            <w:vMerge/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BC7840">
              <w:rPr>
                <w:rFonts w:cs="Times New Roman"/>
                <w:bCs/>
                <w:i/>
                <w:sz w:val="20"/>
                <w:szCs w:val="20"/>
              </w:rPr>
              <w:t>Platelet count (Million/cmm)</w:t>
            </w:r>
          </w:p>
        </w:tc>
        <w:tc>
          <w:tcPr>
            <w:tcW w:w="1028" w:type="dxa"/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Baseline</w:t>
            </w:r>
          </w:p>
        </w:tc>
        <w:tc>
          <w:tcPr>
            <w:tcW w:w="1711" w:type="dxa"/>
          </w:tcPr>
          <w:p w:rsidR="00D513C0" w:rsidRPr="00BC7840" w:rsidRDefault="00D513C0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0.31±0.11</w:t>
            </w:r>
          </w:p>
        </w:tc>
        <w:tc>
          <w:tcPr>
            <w:tcW w:w="1626" w:type="dxa"/>
          </w:tcPr>
          <w:p w:rsidR="00D513C0" w:rsidRPr="00BC7840" w:rsidRDefault="00D513C0" w:rsidP="00717B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0.27±0.09</w:t>
            </w:r>
          </w:p>
        </w:tc>
        <w:tc>
          <w:tcPr>
            <w:tcW w:w="996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0.2279</w:t>
            </w:r>
          </w:p>
        </w:tc>
        <w:tc>
          <w:tcPr>
            <w:tcW w:w="1688" w:type="dxa"/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-0.11 - 0.03</w:t>
            </w:r>
          </w:p>
        </w:tc>
        <w:tc>
          <w:tcPr>
            <w:tcW w:w="1873" w:type="dxa"/>
            <w:vMerge w:val="restart"/>
            <w:tcBorders>
              <w:bottom w:val="single" w:sz="4" w:space="0" w:color="auto"/>
            </w:tcBorders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0.15-0.45</w:t>
            </w:r>
          </w:p>
        </w:tc>
      </w:tr>
      <w:tr w:rsidR="00D513C0" w:rsidRPr="00BC7840" w:rsidTr="00D513C0">
        <w:trPr>
          <w:jc w:val="center"/>
        </w:trPr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D513C0" w:rsidRPr="00BC7840" w:rsidRDefault="00D513C0" w:rsidP="00A82DD4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EOT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513C0" w:rsidRPr="00BC7840" w:rsidRDefault="00D513C0" w:rsidP="0003290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0.29±0.09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D513C0" w:rsidRPr="00BC7840" w:rsidRDefault="00D513C0" w:rsidP="0003290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bCs/>
                <w:sz w:val="20"/>
                <w:szCs w:val="20"/>
              </w:rPr>
              <w:t>0.25±0.10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0.2032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D513C0" w:rsidRPr="00BC7840" w:rsidRDefault="00D513C0" w:rsidP="00BC784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78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-0.10 - 0.02</w:t>
            </w: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D513C0" w:rsidRPr="00BC7840" w:rsidRDefault="00D513C0" w:rsidP="00853E2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A82DD4" w:rsidRPr="00700E65" w:rsidRDefault="00A82DD4" w:rsidP="00A82DD4">
      <w:pPr>
        <w:rPr>
          <w:sz w:val="20"/>
        </w:rPr>
      </w:pPr>
    </w:p>
    <w:p w:rsidR="00A82DD4" w:rsidRDefault="00A82DD4" w:rsidP="00A82DD4"/>
    <w:p w:rsidR="00A82DD4" w:rsidRDefault="00A82DD4" w:rsidP="00A82DD4"/>
    <w:p w:rsidR="00A82DD4" w:rsidRDefault="00A82DD4" w:rsidP="00A82DD4"/>
    <w:p w:rsidR="00A82DD4" w:rsidRDefault="00A82DD4" w:rsidP="000C5EB4">
      <w:pPr>
        <w:jc w:val="both"/>
      </w:pPr>
    </w:p>
    <w:sectPr w:rsidR="00A82DD4" w:rsidSect="007C1B31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E9" w:rsidRDefault="004961E9" w:rsidP="002E1B64">
      <w:pPr>
        <w:spacing w:after="0" w:line="240" w:lineRule="auto"/>
      </w:pPr>
      <w:r>
        <w:separator/>
      </w:r>
    </w:p>
  </w:endnote>
  <w:endnote w:type="continuationSeparator" w:id="0">
    <w:p w:rsidR="004961E9" w:rsidRDefault="004961E9" w:rsidP="002E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 UI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91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1B64" w:rsidRDefault="002E1B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519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519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E1B64" w:rsidRDefault="002E1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E9" w:rsidRDefault="004961E9" w:rsidP="002E1B64">
      <w:pPr>
        <w:spacing w:after="0" w:line="240" w:lineRule="auto"/>
      </w:pPr>
      <w:r>
        <w:separator/>
      </w:r>
    </w:p>
  </w:footnote>
  <w:footnote w:type="continuationSeparator" w:id="0">
    <w:p w:rsidR="004961E9" w:rsidRDefault="004961E9" w:rsidP="002E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611F"/>
    <w:multiLevelType w:val="hybridMultilevel"/>
    <w:tmpl w:val="4442F9C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54D2C"/>
    <w:multiLevelType w:val="hybridMultilevel"/>
    <w:tmpl w:val="8842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7DC3"/>
    <w:multiLevelType w:val="hybridMultilevel"/>
    <w:tmpl w:val="D86C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44240"/>
    <w:multiLevelType w:val="hybridMultilevel"/>
    <w:tmpl w:val="2F342E20"/>
    <w:lvl w:ilvl="0" w:tplc="023AA9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E8"/>
    <w:rsid w:val="00032900"/>
    <w:rsid w:val="0006073C"/>
    <w:rsid w:val="00061011"/>
    <w:rsid w:val="000A7AF9"/>
    <w:rsid w:val="000C5EB4"/>
    <w:rsid w:val="000E058B"/>
    <w:rsid w:val="0011688F"/>
    <w:rsid w:val="001205F4"/>
    <w:rsid w:val="001E681B"/>
    <w:rsid w:val="0023547A"/>
    <w:rsid w:val="0025190D"/>
    <w:rsid w:val="00265DFF"/>
    <w:rsid w:val="00282E30"/>
    <w:rsid w:val="002A22CE"/>
    <w:rsid w:val="002D708C"/>
    <w:rsid w:val="002E1B64"/>
    <w:rsid w:val="002E6CAD"/>
    <w:rsid w:val="00306C64"/>
    <w:rsid w:val="0037597D"/>
    <w:rsid w:val="003835CF"/>
    <w:rsid w:val="003A1C1B"/>
    <w:rsid w:val="003C1929"/>
    <w:rsid w:val="003E4D85"/>
    <w:rsid w:val="00430E6C"/>
    <w:rsid w:val="0046776A"/>
    <w:rsid w:val="00492469"/>
    <w:rsid w:val="004961E9"/>
    <w:rsid w:val="00547680"/>
    <w:rsid w:val="00552534"/>
    <w:rsid w:val="00594508"/>
    <w:rsid w:val="005B1E8F"/>
    <w:rsid w:val="005F057C"/>
    <w:rsid w:val="00626560"/>
    <w:rsid w:val="006879B5"/>
    <w:rsid w:val="006C3539"/>
    <w:rsid w:val="006E7305"/>
    <w:rsid w:val="00717BCE"/>
    <w:rsid w:val="0078442A"/>
    <w:rsid w:val="00792542"/>
    <w:rsid w:val="007C1B31"/>
    <w:rsid w:val="007E72D0"/>
    <w:rsid w:val="00853E28"/>
    <w:rsid w:val="0086449F"/>
    <w:rsid w:val="0088498B"/>
    <w:rsid w:val="00920962"/>
    <w:rsid w:val="00976203"/>
    <w:rsid w:val="009916C0"/>
    <w:rsid w:val="009B1BBF"/>
    <w:rsid w:val="00A1196C"/>
    <w:rsid w:val="00A21575"/>
    <w:rsid w:val="00A82DD4"/>
    <w:rsid w:val="00A93D5D"/>
    <w:rsid w:val="00AA24CE"/>
    <w:rsid w:val="00AB484D"/>
    <w:rsid w:val="00B001D8"/>
    <w:rsid w:val="00B75A37"/>
    <w:rsid w:val="00B863F2"/>
    <w:rsid w:val="00B95E20"/>
    <w:rsid w:val="00BB2990"/>
    <w:rsid w:val="00BC7840"/>
    <w:rsid w:val="00D513C0"/>
    <w:rsid w:val="00D71A3C"/>
    <w:rsid w:val="00DF24A9"/>
    <w:rsid w:val="00E33318"/>
    <w:rsid w:val="00E813E8"/>
    <w:rsid w:val="00E93DD5"/>
    <w:rsid w:val="00EF70BF"/>
    <w:rsid w:val="00F0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C5BD"/>
  <w15:docId w15:val="{1A723CA7-E7FB-46EE-ABBA-9545C52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Y"/>
    <w:qFormat/>
    <w:rsid w:val="005B1E8F"/>
    <w:pPr>
      <w:spacing w:after="160" w:line="36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534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E8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49F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GB" w:eastAsia="es-ES"/>
    </w:rPr>
  </w:style>
  <w:style w:type="character" w:customStyle="1" w:styleId="SubtitleChar">
    <w:name w:val="Subtitle Char"/>
    <w:basedOn w:val="DefaultParagraphFont"/>
    <w:link w:val="Subtitle"/>
    <w:uiPriority w:val="11"/>
    <w:rsid w:val="008644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5525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552534"/>
    <w:pPr>
      <w:spacing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552534"/>
    <w:rPr>
      <w:rFonts w:ascii="Calibri" w:eastAsia="Calibri" w:hAnsi="Calibri" w:cs="Times New Roman"/>
    </w:rPr>
  </w:style>
  <w:style w:type="paragraph" w:customStyle="1" w:styleId="Body">
    <w:name w:val="Body"/>
    <w:link w:val="BodyChar"/>
    <w:autoRedefine/>
    <w:rsid w:val="00552534"/>
    <w:pPr>
      <w:suppressAutoHyphens/>
      <w:spacing w:after="0" w:line="360" w:lineRule="auto"/>
      <w:ind w:left="360"/>
      <w:jc w:val="both"/>
    </w:pPr>
    <w:rPr>
      <w:rFonts w:ascii="Times New Roman" w:eastAsia="ヒラギノ角ゴ Pro W3" w:hAnsi="Times New Roman" w:cs="Times New Roman"/>
      <w:sz w:val="24"/>
      <w:szCs w:val="20"/>
      <w:lang w:val="en-IN" w:eastAsia="ru-RU" w:bidi="en-US"/>
    </w:rPr>
  </w:style>
  <w:style w:type="character" w:customStyle="1" w:styleId="BodyChar">
    <w:name w:val="Body Char"/>
    <w:link w:val="Body"/>
    <w:locked/>
    <w:rsid w:val="00552534"/>
    <w:rPr>
      <w:rFonts w:ascii="Times New Roman" w:eastAsia="ヒラギノ角ゴ Pro W3" w:hAnsi="Times New Roman" w:cs="Times New Roman"/>
      <w:sz w:val="24"/>
      <w:szCs w:val="20"/>
      <w:lang w:val="en-IN" w:eastAsia="ru-RU" w:bidi="en-US"/>
    </w:rPr>
  </w:style>
  <w:style w:type="table" w:styleId="TableGrid">
    <w:name w:val="Table Grid"/>
    <w:basedOn w:val="TableNormal"/>
    <w:uiPriority w:val="59"/>
    <w:rsid w:val="00A8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6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ranjit@advancedenzy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Chiranjit Maity</dc:creator>
  <cp:lastModifiedBy>Chiranjit Maity</cp:lastModifiedBy>
  <cp:revision>62</cp:revision>
  <cp:lastPrinted>2020-03-07T09:20:00Z</cp:lastPrinted>
  <dcterms:created xsi:type="dcterms:W3CDTF">2020-01-07T09:40:00Z</dcterms:created>
  <dcterms:modified xsi:type="dcterms:W3CDTF">2020-09-17T11:55:00Z</dcterms:modified>
</cp:coreProperties>
</file>