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Look w:val="04A0" w:firstRow="1" w:lastRow="0" w:firstColumn="1" w:lastColumn="0" w:noHBand="0" w:noVBand="1"/>
      </w:tblPr>
      <w:tblGrid>
        <w:gridCol w:w="3438"/>
        <w:gridCol w:w="1807"/>
        <w:gridCol w:w="2126"/>
        <w:gridCol w:w="993"/>
        <w:gridCol w:w="2126"/>
        <w:gridCol w:w="1701"/>
        <w:gridCol w:w="1134"/>
      </w:tblGrid>
      <w:tr w:rsidR="00530E80" w:rsidRPr="00530E80" w:rsidTr="00530E80">
        <w:trPr>
          <w:trHeight w:val="315"/>
        </w:trPr>
        <w:tc>
          <w:tcPr>
            <w:tcW w:w="13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Cs w:val="24"/>
              </w:rPr>
            </w:pPr>
            <w:bookmarkStart w:id="0" w:name="_GoBack"/>
            <w:r>
              <w:rPr>
                <w:rFonts w:eastAsia="等线"/>
                <w:color w:val="000000"/>
                <w:kern w:val="0"/>
                <w:szCs w:val="24"/>
              </w:rPr>
              <w:t>Supplement 1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t xml:space="preserve">. </w:t>
            </w:r>
            <w:r>
              <w:rPr>
                <w:rFonts w:eastAsia="等线"/>
                <w:color w:val="000000"/>
                <w:kern w:val="0"/>
                <w:szCs w:val="24"/>
              </w:rPr>
              <w:t>C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t>haracteristics and prognosis of pati</w:t>
            </w:r>
            <w:r>
              <w:rPr>
                <w:rFonts w:eastAsia="等线"/>
                <w:color w:val="000000"/>
                <w:kern w:val="0"/>
                <w:szCs w:val="24"/>
              </w:rPr>
              <w:t>ents with chronic heart disease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t>.</w:t>
            </w:r>
          </w:p>
        </w:tc>
      </w:tr>
      <w:tr w:rsidR="00530E80" w:rsidRPr="00530E80" w:rsidTr="00530E80">
        <w:trPr>
          <w:trHeight w:val="630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 xml:space="preserve">LDH &lt; 245 U/L 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br/>
              <w:t>(n=62)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 xml:space="preserve">LDH </w:t>
            </w:r>
            <w:r w:rsidRPr="00530E80">
              <w:rPr>
                <w:rFonts w:ascii="等线" w:eastAsia="等线" w:hAnsi="等线" w:hint="eastAsia"/>
                <w:color w:val="000000"/>
                <w:kern w:val="0"/>
                <w:szCs w:val="24"/>
              </w:rPr>
              <w:t>≥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t xml:space="preserve"> 245 U/L 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br/>
              <w:t>(n= 120)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 xml:space="preserve">Non-severe disease 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br/>
              <w:t>(n= 130)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Severe disease</w:t>
            </w:r>
            <w:r w:rsidRPr="00530E80">
              <w:rPr>
                <w:rFonts w:eastAsia="等线"/>
                <w:color w:val="000000"/>
                <w:kern w:val="0"/>
                <w:szCs w:val="24"/>
              </w:rPr>
              <w:br/>
              <w:t>(n= 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P-value</w:t>
            </w:r>
          </w:p>
        </w:tc>
      </w:tr>
      <w:tr w:rsidR="00530E80" w:rsidRPr="00530E80" w:rsidTr="00530E80">
        <w:trPr>
          <w:trHeight w:val="31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Coronary heart disease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2 (3.2)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12 (10.0)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0.087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8 (6.2)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6 (11.5)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0.176</w:t>
            </w:r>
          </w:p>
        </w:tc>
      </w:tr>
      <w:tr w:rsidR="00530E80" w:rsidRPr="00530E80" w:rsidTr="00530E80">
        <w:trPr>
          <w:trHeight w:val="31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Congestive heart failure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3 (4.8)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9 (7.5)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0.366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6 (4.6)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6 (11.5)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0.089</w:t>
            </w:r>
          </w:p>
        </w:tc>
      </w:tr>
      <w:tr w:rsidR="00530E80" w:rsidRPr="00530E80" w:rsidTr="00530E80">
        <w:trPr>
          <w:trHeight w:val="315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Arrhythmia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1 (1.6)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5 (4.2)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0.333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4 (3.1)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2 (3.8)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Cs w:val="24"/>
              </w:rPr>
            </w:pPr>
            <w:r w:rsidRPr="00530E80">
              <w:rPr>
                <w:rFonts w:eastAsia="等线"/>
                <w:color w:val="000000"/>
                <w:kern w:val="0"/>
                <w:szCs w:val="24"/>
              </w:rPr>
              <w:t>0.551</w:t>
            </w:r>
          </w:p>
        </w:tc>
      </w:tr>
      <w:tr w:rsidR="00530E80" w:rsidRPr="00530E80" w:rsidTr="00530E80">
        <w:trPr>
          <w:trHeight w:val="300"/>
        </w:trPr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E80" w:rsidRPr="00530E80" w:rsidRDefault="00530E80" w:rsidP="00E61566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530E80">
              <w:rPr>
                <w:rFonts w:eastAsia="等线"/>
                <w:color w:val="000000"/>
                <w:kern w:val="0"/>
                <w:sz w:val="22"/>
              </w:rPr>
              <w:t>Abbreviation: LDH = lactate dehydrogenase.</w:t>
            </w:r>
          </w:p>
        </w:tc>
      </w:tr>
      <w:bookmarkEnd w:id="0"/>
    </w:tbl>
    <w:p w:rsidR="0040602A" w:rsidRDefault="0040602A" w:rsidP="00E61566">
      <w:pPr>
        <w:spacing w:line="360" w:lineRule="auto"/>
      </w:pPr>
    </w:p>
    <w:sectPr w:rsidR="0040602A" w:rsidSect="00530E8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6D" w:rsidRDefault="00CF646D" w:rsidP="008F249E">
      <w:r>
        <w:separator/>
      </w:r>
    </w:p>
  </w:endnote>
  <w:endnote w:type="continuationSeparator" w:id="0">
    <w:p w:rsidR="00CF646D" w:rsidRDefault="00CF646D" w:rsidP="008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6D" w:rsidRDefault="00CF646D" w:rsidP="008F249E">
      <w:r>
        <w:separator/>
      </w:r>
    </w:p>
  </w:footnote>
  <w:footnote w:type="continuationSeparator" w:id="0">
    <w:p w:rsidR="00CF646D" w:rsidRDefault="00CF646D" w:rsidP="008F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jU1NzQyMTOzMDBW0lEKTi0uzszPAykwrAUAluDSiSwAAAA="/>
  </w:docVars>
  <w:rsids>
    <w:rsidRoot w:val="00530E80"/>
    <w:rsid w:val="00244B8E"/>
    <w:rsid w:val="0040602A"/>
    <w:rsid w:val="00530E80"/>
    <w:rsid w:val="008F249E"/>
    <w:rsid w:val="00A950C1"/>
    <w:rsid w:val="00B17A2D"/>
    <w:rsid w:val="00C06D48"/>
    <w:rsid w:val="00CF646D"/>
    <w:rsid w:val="00E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3E64C-CD38-48C5-8B3D-18B4DBC3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E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17A2D"/>
    <w:pPr>
      <w:keepNext/>
      <w:keepLines/>
      <w:spacing w:line="48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7A2D"/>
    <w:pPr>
      <w:keepNext/>
      <w:keepLines/>
      <w:spacing w:line="240" w:lineRule="exact"/>
      <w:outlineLvl w:val="1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A2D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17A2D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B17A2D"/>
    <w:rPr>
      <w:rFonts w:ascii="Times New Roman" w:eastAsia="等线" w:hAnsi="Times New Roman" w:cs="Times New Roman"/>
      <w:b/>
      <w:bCs/>
      <w:kern w:val="44"/>
      <w:sz w:val="32"/>
      <w:szCs w:val="44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B17A2D"/>
    <w:pPr>
      <w:spacing w:line="240" w:lineRule="exact"/>
      <w:jc w:val="left"/>
      <w:outlineLvl w:val="0"/>
    </w:pPr>
    <w:rPr>
      <w:rFonts w:eastAsia="宋体" w:cstheme="majorBidi"/>
      <w:bCs/>
      <w:szCs w:val="32"/>
    </w:rPr>
  </w:style>
  <w:style w:type="character" w:customStyle="1" w:styleId="Char">
    <w:name w:val="标题 Char"/>
    <w:aliases w:val="标题3 Char"/>
    <w:basedOn w:val="a0"/>
    <w:link w:val="a3"/>
    <w:uiPriority w:val="10"/>
    <w:rsid w:val="00B17A2D"/>
    <w:rPr>
      <w:rFonts w:ascii="Times New Roman" w:eastAsia="宋体" w:hAnsi="Times New Roman" w:cstheme="majorBidi"/>
      <w:bCs/>
      <w:sz w:val="24"/>
      <w:szCs w:val="32"/>
    </w:rPr>
  </w:style>
  <w:style w:type="paragraph" w:styleId="a4">
    <w:name w:val="No Spacing"/>
    <w:aliases w:val="正文-悬挂"/>
    <w:uiPriority w:val="1"/>
    <w:qFormat/>
    <w:rsid w:val="00C06D48"/>
    <w:pPr>
      <w:widowControl w:val="0"/>
      <w:ind w:firstLineChars="200" w:firstLine="200"/>
      <w:jc w:val="both"/>
    </w:pPr>
    <w:rPr>
      <w:rFonts w:ascii="Times New Roman" w:eastAsia="等线" w:hAnsi="Times New Roman" w:cs="Times New Roman"/>
      <w:sz w:val="24"/>
    </w:rPr>
  </w:style>
  <w:style w:type="character" w:customStyle="1" w:styleId="3Char">
    <w:name w:val="标题 3 Char"/>
    <w:basedOn w:val="a0"/>
    <w:link w:val="3"/>
    <w:uiPriority w:val="9"/>
    <w:rsid w:val="00B17A2D"/>
    <w:rPr>
      <w:rFonts w:ascii="Times New Roman" w:eastAsia="等线" w:hAnsi="Times New Roman" w:cs="Times New Roman"/>
      <w:bCs/>
      <w:sz w:val="24"/>
      <w:szCs w:val="32"/>
    </w:rPr>
  </w:style>
  <w:style w:type="paragraph" w:styleId="a5">
    <w:name w:val="header"/>
    <w:basedOn w:val="a"/>
    <w:link w:val="Char0"/>
    <w:uiPriority w:val="99"/>
    <w:unhideWhenUsed/>
    <w:rsid w:val="008F2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249E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2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24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Hu</dc:creator>
  <cp:keywords/>
  <dc:description/>
  <cp:lastModifiedBy>Jin Hu</cp:lastModifiedBy>
  <cp:revision>3</cp:revision>
  <dcterms:created xsi:type="dcterms:W3CDTF">2020-06-27T08:44:00Z</dcterms:created>
  <dcterms:modified xsi:type="dcterms:W3CDTF">2020-06-27T12:46:00Z</dcterms:modified>
</cp:coreProperties>
</file>