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C9" w:rsidRPr="00D66787" w:rsidRDefault="00940857" w:rsidP="001715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Digital Content</w:t>
      </w:r>
      <w:r w:rsidR="00D66787">
        <w:rPr>
          <w:rFonts w:ascii="Times New Roman" w:hAnsi="Times New Roman" w:cs="Times New Roman"/>
        </w:rPr>
        <w:t xml:space="preserve"> (SDC)</w:t>
      </w:r>
    </w:p>
    <w:p w:rsidR="0059257B" w:rsidRPr="00D66787" w:rsidRDefault="0059257B" w:rsidP="001715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787">
        <w:rPr>
          <w:rFonts w:ascii="Times New Roman" w:hAnsi="Times New Roman" w:cs="Times New Roman"/>
        </w:rPr>
        <w:t>For</w:t>
      </w:r>
    </w:p>
    <w:p w:rsidR="001715C9" w:rsidRPr="00D66787" w:rsidRDefault="00B45914" w:rsidP="00B45914">
      <w:pPr>
        <w:spacing w:after="0" w:line="240" w:lineRule="auto"/>
        <w:rPr>
          <w:rFonts w:ascii="Times New Roman" w:hAnsi="Times New Roman" w:cs="Times New Roman"/>
          <w:b/>
        </w:rPr>
      </w:pPr>
      <w:r w:rsidRPr="00D66787">
        <w:rPr>
          <w:rFonts w:ascii="Times New Roman" w:hAnsi="Times New Roman" w:cs="Times New Roman"/>
          <w:b/>
        </w:rPr>
        <w:t>Evaluating the Impact of Integrated Behavioral Health Intervention: Evidence from Rhode Island</w:t>
      </w:r>
    </w:p>
    <w:p w:rsidR="00B45914" w:rsidRPr="00D66787" w:rsidRDefault="00B45914" w:rsidP="00B45914">
      <w:pPr>
        <w:spacing w:after="0" w:line="240" w:lineRule="auto"/>
        <w:rPr>
          <w:rFonts w:ascii="Times New Roman" w:hAnsi="Times New Roman" w:cs="Times New Roman"/>
          <w:b/>
        </w:rPr>
      </w:pPr>
    </w:p>
    <w:p w:rsidR="006F24A0" w:rsidRPr="00D66787" w:rsidRDefault="006F24A0" w:rsidP="00B45914">
      <w:pPr>
        <w:spacing w:after="0" w:line="240" w:lineRule="auto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id w:val="-409848709"/>
        <w:docPartObj>
          <w:docPartGallery w:val="Table of Contents"/>
          <w:docPartUnique/>
        </w:docPartObj>
      </w:sdtPr>
      <w:sdtEndPr>
        <w:rPr>
          <w:rFonts w:eastAsiaTheme="minorHAnsi"/>
          <w:b w:val="0"/>
        </w:rPr>
      </w:sdtEndPr>
      <w:sdtContent>
        <w:p w:rsidR="001715C9" w:rsidRPr="00D66787" w:rsidRDefault="00424E8D" w:rsidP="00E919BC">
          <w:pPr>
            <w:pStyle w:val="TOCHeading"/>
            <w:spacing w:before="0" w:line="360" w:lineRule="auto"/>
            <w:rPr>
              <w:rFonts w:ascii="Times New Roman" w:hAnsi="Times New Roman" w:cs="Times New Roman"/>
              <w:b/>
              <w:color w:val="auto"/>
            </w:rPr>
          </w:pPr>
          <w:r w:rsidRPr="00D66787">
            <w:rPr>
              <w:rFonts w:ascii="Times New Roman" w:hAnsi="Times New Roman" w:cs="Times New Roman"/>
              <w:b/>
              <w:color w:val="auto"/>
            </w:rPr>
            <w:t>TABLE OF CONTENTS</w:t>
          </w:r>
        </w:p>
        <w:p w:rsidR="00424E8D" w:rsidRPr="00D66787" w:rsidRDefault="00424E8D" w:rsidP="00E919BC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1715C9" w:rsidRPr="00D66787" w:rsidRDefault="001715C9" w:rsidP="00E919BC">
          <w:pPr>
            <w:pStyle w:val="TOC1"/>
            <w:spacing w:after="0" w:line="360" w:lineRule="auto"/>
            <w:rPr>
              <w:rFonts w:ascii="Times New Roman" w:hAnsi="Times New Roman"/>
            </w:rPr>
          </w:pPr>
          <w:r w:rsidRPr="00D66787">
            <w:rPr>
              <w:rFonts w:ascii="Times New Roman" w:hAnsi="Times New Roman"/>
              <w:b/>
              <w:bCs/>
            </w:rPr>
            <w:t>Part A: Region of Common Support</w:t>
          </w:r>
          <w:r w:rsidRPr="00D66787">
            <w:rPr>
              <w:rFonts w:ascii="Times New Roman" w:hAnsi="Times New Roman"/>
            </w:rPr>
            <w:ptab w:relativeTo="margin" w:alignment="right" w:leader="dot"/>
          </w:r>
          <w:r w:rsidR="00462EFC" w:rsidRPr="00F90821">
            <w:rPr>
              <w:rFonts w:ascii="Times New Roman" w:hAnsi="Times New Roman"/>
              <w:bCs/>
            </w:rPr>
            <w:t>2</w:t>
          </w:r>
        </w:p>
        <w:p w:rsidR="001715C9" w:rsidRPr="00D66787" w:rsidRDefault="001715C9" w:rsidP="00E919BC">
          <w:pPr>
            <w:pStyle w:val="TOC1"/>
            <w:spacing w:after="0" w:line="360" w:lineRule="auto"/>
            <w:rPr>
              <w:rFonts w:ascii="Times New Roman" w:hAnsi="Times New Roman"/>
            </w:rPr>
          </w:pPr>
          <w:r w:rsidRPr="00D66787">
            <w:rPr>
              <w:rFonts w:ascii="Times New Roman" w:hAnsi="Times New Roman"/>
              <w:b/>
              <w:bCs/>
            </w:rPr>
            <w:t xml:space="preserve">Part B: </w:t>
          </w:r>
          <w:r w:rsidR="009D5F3B" w:rsidRPr="00D66787">
            <w:rPr>
              <w:rFonts w:ascii="Times New Roman" w:hAnsi="Times New Roman"/>
              <w:b/>
              <w:bCs/>
            </w:rPr>
            <w:t>Examination of</w:t>
          </w:r>
          <w:r w:rsidRPr="00D66787">
            <w:rPr>
              <w:rFonts w:ascii="Times New Roman" w:hAnsi="Times New Roman"/>
              <w:b/>
              <w:bCs/>
            </w:rPr>
            <w:t xml:space="preserve"> Parallel Trends</w:t>
          </w:r>
        </w:p>
        <w:p w:rsidR="009D5F3B" w:rsidRPr="00D66787" w:rsidRDefault="009233A2" w:rsidP="00E919BC">
          <w:pPr>
            <w:pStyle w:val="TOC2"/>
            <w:spacing w:after="0" w:line="360" w:lineRule="auto"/>
            <w:ind w:left="216"/>
            <w:rPr>
              <w:rFonts w:ascii="Times New Roman" w:hAnsi="Times New Roman"/>
            </w:rPr>
          </w:pPr>
          <w:r w:rsidRPr="00D66787">
            <w:rPr>
              <w:rFonts w:ascii="Times New Roman" w:hAnsi="Times New Roman"/>
            </w:rPr>
            <w:t xml:space="preserve">B.1. </w:t>
          </w:r>
          <w:r w:rsidR="009D5F3B" w:rsidRPr="00D66787">
            <w:rPr>
              <w:rFonts w:ascii="Times New Roman" w:hAnsi="Times New Roman"/>
            </w:rPr>
            <w:t>U</w:t>
          </w:r>
          <w:r w:rsidR="001715C9" w:rsidRPr="00D66787">
            <w:rPr>
              <w:rFonts w:ascii="Times New Roman" w:hAnsi="Times New Roman"/>
            </w:rPr>
            <w:t>tilization</w:t>
          </w:r>
          <w:r w:rsidR="009D5F3B" w:rsidRPr="00D66787">
            <w:rPr>
              <w:rFonts w:ascii="Times New Roman" w:hAnsi="Times New Roman"/>
            </w:rPr>
            <w:t xml:space="preserve"> </w:t>
          </w:r>
          <w:r w:rsidR="008A7E3E" w:rsidRPr="00D66787">
            <w:rPr>
              <w:rFonts w:ascii="Times New Roman" w:hAnsi="Times New Roman"/>
            </w:rPr>
            <w:t>measures</w:t>
          </w:r>
          <w:r w:rsidR="009D5F3B" w:rsidRPr="00D66787">
            <w:rPr>
              <w:rFonts w:ascii="Times New Roman" w:hAnsi="Times New Roman"/>
            </w:rPr>
            <w:t xml:space="preserve"> </w:t>
          </w:r>
          <w:r w:rsidR="001715C9" w:rsidRPr="00D66787">
            <w:rPr>
              <w:rFonts w:ascii="Times New Roman" w:hAnsi="Times New Roman"/>
            </w:rPr>
            <w:ptab w:relativeTo="margin" w:alignment="right" w:leader="dot"/>
          </w:r>
          <w:r w:rsidR="00C46513" w:rsidRPr="00D66787">
            <w:rPr>
              <w:rFonts w:ascii="Times New Roman" w:hAnsi="Times New Roman"/>
            </w:rPr>
            <w:t>3</w:t>
          </w:r>
        </w:p>
        <w:p w:rsidR="009D5F3B" w:rsidRPr="00D66787" w:rsidRDefault="001534A9" w:rsidP="00E919BC">
          <w:pPr>
            <w:pStyle w:val="TOC2"/>
            <w:spacing w:after="0" w:line="360" w:lineRule="auto"/>
            <w:ind w:left="216"/>
            <w:rPr>
              <w:rFonts w:ascii="Times New Roman" w:hAnsi="Times New Roman"/>
            </w:rPr>
          </w:pPr>
          <w:r w:rsidRPr="00D66787">
            <w:rPr>
              <w:rFonts w:ascii="Times New Roman" w:hAnsi="Times New Roman"/>
            </w:rPr>
            <w:t>B.2</w:t>
          </w:r>
          <w:r w:rsidR="009233A2" w:rsidRPr="00D66787">
            <w:rPr>
              <w:rFonts w:ascii="Times New Roman" w:hAnsi="Times New Roman"/>
            </w:rPr>
            <w:t xml:space="preserve">. </w:t>
          </w:r>
          <w:r w:rsidR="009D5F3B" w:rsidRPr="00D66787">
            <w:rPr>
              <w:rFonts w:ascii="Times New Roman" w:hAnsi="Times New Roman"/>
            </w:rPr>
            <w:t xml:space="preserve">Cost measures </w:t>
          </w:r>
          <w:r w:rsidR="009D5F3B" w:rsidRPr="00D66787">
            <w:rPr>
              <w:rFonts w:ascii="Times New Roman" w:hAnsi="Times New Roman"/>
            </w:rPr>
            <w:ptab w:relativeTo="margin" w:alignment="right" w:leader="dot"/>
          </w:r>
          <w:r w:rsidR="00C46513" w:rsidRPr="00D66787">
            <w:rPr>
              <w:rFonts w:ascii="Times New Roman" w:hAnsi="Times New Roman"/>
            </w:rPr>
            <w:t>5</w:t>
          </w:r>
        </w:p>
        <w:p w:rsidR="008A7E3E" w:rsidRPr="00D66787" w:rsidRDefault="008A7E3E" w:rsidP="00E919BC">
          <w:pPr>
            <w:pStyle w:val="TOC1"/>
            <w:spacing w:after="0" w:line="360" w:lineRule="auto"/>
            <w:rPr>
              <w:rFonts w:ascii="Times New Roman" w:hAnsi="Times New Roman"/>
              <w:b/>
              <w:bCs/>
            </w:rPr>
          </w:pPr>
          <w:r w:rsidRPr="00D66787">
            <w:rPr>
              <w:rFonts w:ascii="Times New Roman" w:hAnsi="Times New Roman"/>
              <w:b/>
              <w:bCs/>
            </w:rPr>
            <w:t xml:space="preserve">Part C: </w:t>
          </w:r>
          <w:r w:rsidR="00BB7352" w:rsidRPr="00D66787">
            <w:rPr>
              <w:rFonts w:ascii="Times New Roman" w:hAnsi="Times New Roman"/>
              <w:b/>
              <w:bCs/>
            </w:rPr>
            <w:t>Testing Maintenance Effects</w:t>
          </w:r>
          <w:r w:rsidRPr="00D66787">
            <w:rPr>
              <w:rFonts w:ascii="Times New Roman" w:hAnsi="Times New Roman"/>
              <w:b/>
              <w:bCs/>
            </w:rPr>
            <w:t xml:space="preserve"> </w:t>
          </w:r>
        </w:p>
        <w:p w:rsidR="008A7E3E" w:rsidRPr="00D66787" w:rsidRDefault="00BB7352" w:rsidP="00E919BC">
          <w:pPr>
            <w:pStyle w:val="TOC2"/>
            <w:spacing w:after="0" w:line="360" w:lineRule="auto"/>
            <w:ind w:left="540"/>
            <w:rPr>
              <w:rFonts w:ascii="Times New Roman" w:hAnsi="Times New Roman"/>
            </w:rPr>
          </w:pPr>
          <w:r w:rsidRPr="00D66787">
            <w:rPr>
              <w:rFonts w:ascii="Times New Roman" w:hAnsi="Times New Roman"/>
            </w:rPr>
            <w:t>C.</w:t>
          </w:r>
          <w:r w:rsidR="00BC6B0F" w:rsidRPr="00D66787">
            <w:rPr>
              <w:rFonts w:ascii="Times New Roman" w:hAnsi="Times New Roman"/>
            </w:rPr>
            <w:t xml:space="preserve">1. </w:t>
          </w:r>
          <w:r w:rsidR="008A7E3E" w:rsidRPr="00D66787">
            <w:rPr>
              <w:rFonts w:ascii="Times New Roman" w:hAnsi="Times New Roman"/>
            </w:rPr>
            <w:t>U</w:t>
          </w:r>
          <w:r w:rsidR="00BC6B0F" w:rsidRPr="00D66787">
            <w:rPr>
              <w:rFonts w:ascii="Times New Roman" w:hAnsi="Times New Roman"/>
            </w:rPr>
            <w:t xml:space="preserve">tilization measures </w:t>
          </w:r>
          <w:r w:rsidR="008A7E3E" w:rsidRPr="00D66787">
            <w:rPr>
              <w:rFonts w:ascii="Times New Roman" w:hAnsi="Times New Roman"/>
            </w:rPr>
            <w:ptab w:relativeTo="margin" w:alignment="right" w:leader="dot"/>
          </w:r>
          <w:r w:rsidR="00C46513" w:rsidRPr="00D66787">
            <w:rPr>
              <w:rFonts w:ascii="Times New Roman" w:hAnsi="Times New Roman"/>
            </w:rPr>
            <w:t>8</w:t>
          </w:r>
        </w:p>
        <w:p w:rsidR="00BC6B0F" w:rsidRPr="00D66787" w:rsidRDefault="00BB7352" w:rsidP="00E919BC">
          <w:pPr>
            <w:pStyle w:val="TOC2"/>
            <w:spacing w:after="0" w:line="360" w:lineRule="auto"/>
            <w:ind w:left="540"/>
            <w:rPr>
              <w:rFonts w:ascii="Times New Roman" w:hAnsi="Times New Roman"/>
            </w:rPr>
          </w:pPr>
          <w:r w:rsidRPr="00D66787">
            <w:rPr>
              <w:rFonts w:ascii="Times New Roman" w:hAnsi="Times New Roman"/>
            </w:rPr>
            <w:t>C.</w:t>
          </w:r>
          <w:r w:rsidR="00BC6B0F" w:rsidRPr="00D66787">
            <w:rPr>
              <w:rFonts w:ascii="Times New Roman" w:hAnsi="Times New Roman"/>
            </w:rPr>
            <w:t xml:space="preserve">2. </w:t>
          </w:r>
          <w:r w:rsidR="008A7E3E" w:rsidRPr="00D66787">
            <w:rPr>
              <w:rFonts w:ascii="Times New Roman" w:hAnsi="Times New Roman"/>
            </w:rPr>
            <w:t>Co</w:t>
          </w:r>
          <w:r w:rsidR="00BC6B0F" w:rsidRPr="00D66787">
            <w:rPr>
              <w:rFonts w:ascii="Times New Roman" w:hAnsi="Times New Roman"/>
            </w:rPr>
            <w:t xml:space="preserve">st measures </w:t>
          </w:r>
          <w:r w:rsidR="008A7E3E" w:rsidRPr="00D66787">
            <w:rPr>
              <w:rFonts w:ascii="Times New Roman" w:hAnsi="Times New Roman"/>
            </w:rPr>
            <w:ptab w:relativeTo="margin" w:alignment="right" w:leader="dot"/>
          </w:r>
          <w:r w:rsidR="00C46513" w:rsidRPr="00D66787">
            <w:rPr>
              <w:rFonts w:ascii="Times New Roman" w:hAnsi="Times New Roman"/>
            </w:rPr>
            <w:t>9</w:t>
          </w:r>
        </w:p>
        <w:p w:rsidR="00E919BC" w:rsidRPr="00D66787" w:rsidRDefault="00E919BC" w:rsidP="00E919BC">
          <w:pPr>
            <w:spacing w:after="0" w:line="360" w:lineRule="auto"/>
            <w:rPr>
              <w:rFonts w:ascii="Times New Roman" w:hAnsi="Times New Roman" w:cs="Times New Roman"/>
            </w:rPr>
          </w:pPr>
          <w:r w:rsidRPr="00D66787">
            <w:rPr>
              <w:rFonts w:ascii="Times New Roman" w:hAnsi="Times New Roman" w:cs="Times New Roman"/>
              <w:b/>
            </w:rPr>
            <w:t xml:space="preserve">Part D: Identifying Outcome Measures in the Claims Database </w:t>
          </w:r>
          <w:r w:rsidR="00D66787">
            <w:rPr>
              <w:rFonts w:ascii="Times New Roman" w:hAnsi="Times New Roman" w:cs="Times New Roman"/>
            </w:rPr>
            <w:t>……………………………………..</w:t>
          </w:r>
          <w:bookmarkStart w:id="0" w:name="_GoBack"/>
          <w:bookmarkEnd w:id="0"/>
          <w:r w:rsidRPr="00D66787">
            <w:rPr>
              <w:rFonts w:ascii="Times New Roman" w:hAnsi="Times New Roman" w:cs="Times New Roman"/>
            </w:rPr>
            <w:t>11</w:t>
          </w:r>
        </w:p>
        <w:p w:rsidR="001715C9" w:rsidRPr="00D66787" w:rsidRDefault="00E919BC" w:rsidP="00E919BC">
          <w:pPr>
            <w:spacing w:after="0" w:line="360" w:lineRule="auto"/>
            <w:rPr>
              <w:rFonts w:ascii="Times New Roman" w:hAnsi="Times New Roman" w:cs="Times New Roman"/>
              <w:b/>
            </w:rPr>
          </w:pPr>
          <w:r w:rsidRPr="00D66787">
            <w:rPr>
              <w:rFonts w:ascii="Times New Roman" w:hAnsi="Times New Roman" w:cs="Times New Roman"/>
              <w:b/>
            </w:rPr>
            <w:t>Part E</w:t>
          </w:r>
          <w:r w:rsidR="002A0D11" w:rsidRPr="00D66787">
            <w:rPr>
              <w:rFonts w:ascii="Times New Roman" w:hAnsi="Times New Roman" w:cs="Times New Roman"/>
              <w:b/>
            </w:rPr>
            <w:t>: Cost Categories</w:t>
          </w:r>
          <w:r w:rsidR="00C214FF" w:rsidRPr="00D66787">
            <w:rPr>
              <w:rFonts w:ascii="Times New Roman" w:hAnsi="Times New Roman" w:cs="Times New Roman"/>
              <w:b/>
            </w:rPr>
            <w:t xml:space="preserve"> </w:t>
          </w:r>
          <w:r w:rsidR="00C214FF" w:rsidRPr="00D66787">
            <w:rPr>
              <w:rFonts w:ascii="Times New Roman" w:hAnsi="Times New Roman" w:cs="Times New Roman"/>
            </w:rPr>
            <w:t>…………………………………</w:t>
          </w:r>
          <w:r w:rsidR="00D66787">
            <w:rPr>
              <w:rFonts w:ascii="Times New Roman" w:hAnsi="Times New Roman" w:cs="Times New Roman"/>
            </w:rPr>
            <w:t>………………………………………………</w:t>
          </w:r>
          <w:r w:rsidR="00C46513" w:rsidRPr="00D66787">
            <w:rPr>
              <w:rFonts w:ascii="Times New Roman" w:hAnsi="Times New Roman" w:cs="Times New Roman"/>
            </w:rPr>
            <w:t>11</w:t>
          </w:r>
        </w:p>
      </w:sdtContent>
    </w:sdt>
    <w:p w:rsidR="00811954" w:rsidRPr="00D66787" w:rsidRDefault="00811954" w:rsidP="00171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2" w:rsidRPr="00D66787" w:rsidRDefault="00C03432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2" w:rsidRPr="00D66787" w:rsidRDefault="00C03432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2" w:rsidRPr="00D66787" w:rsidRDefault="00C03432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2" w:rsidRPr="00D66787" w:rsidRDefault="00C03432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32" w:rsidRPr="00D66787" w:rsidRDefault="00C03432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Pr="00D66787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38" w:rsidRPr="00D66787" w:rsidRDefault="00512538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38" w:rsidRPr="00D66787" w:rsidRDefault="00512538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38" w:rsidRPr="00D66787" w:rsidRDefault="00512538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54" w:rsidRDefault="00811954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AB" w:rsidRDefault="00431FAB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FAB" w:rsidRPr="00D66787" w:rsidRDefault="00431FAB" w:rsidP="001D1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48" w:rsidRPr="00D66787" w:rsidRDefault="004A5358" w:rsidP="001306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787">
        <w:rPr>
          <w:rFonts w:ascii="Times New Roman" w:hAnsi="Times New Roman" w:cs="Times New Roman"/>
          <w:b/>
        </w:rPr>
        <w:t xml:space="preserve">Part </w:t>
      </w:r>
      <w:r w:rsidR="001306DF" w:rsidRPr="00D66787">
        <w:rPr>
          <w:rFonts w:ascii="Times New Roman" w:hAnsi="Times New Roman" w:cs="Times New Roman"/>
          <w:b/>
        </w:rPr>
        <w:t>A</w:t>
      </w:r>
      <w:r w:rsidR="0070285C" w:rsidRPr="00D66787">
        <w:rPr>
          <w:rFonts w:ascii="Times New Roman" w:hAnsi="Times New Roman" w:cs="Times New Roman"/>
          <w:b/>
        </w:rPr>
        <w:t xml:space="preserve">. </w:t>
      </w:r>
      <w:r w:rsidR="0092259C" w:rsidRPr="00D66787">
        <w:rPr>
          <w:rFonts w:ascii="Times New Roman" w:hAnsi="Times New Roman" w:cs="Times New Roman"/>
          <w:b/>
        </w:rPr>
        <w:t>Region of Common Support</w:t>
      </w:r>
      <w:r w:rsidR="005071B3" w:rsidRPr="00D66787">
        <w:rPr>
          <w:rFonts w:ascii="Times New Roman" w:hAnsi="Times New Roman" w:cs="Times New Roman"/>
          <w:b/>
        </w:rPr>
        <w:t xml:space="preserve"> </w:t>
      </w:r>
    </w:p>
    <w:p w:rsidR="0070285C" w:rsidRPr="00D66787" w:rsidRDefault="0070285C" w:rsidP="00F90448">
      <w:pPr>
        <w:spacing w:after="0" w:line="240" w:lineRule="auto"/>
        <w:rPr>
          <w:rFonts w:ascii="Times New Roman" w:hAnsi="Times New Roman" w:cs="Times New Roman"/>
        </w:rPr>
      </w:pPr>
    </w:p>
    <w:p w:rsidR="005071B3" w:rsidRPr="00D66787" w:rsidRDefault="005071B3" w:rsidP="005071B3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t xml:space="preserve">Figures A1.1 and A1.2 show the distribution of propensity scores before and after matching. </w:t>
      </w:r>
      <w:r w:rsidRPr="00D66787">
        <w:rPr>
          <w:rFonts w:ascii="Times New Roman" w:hAnsi="Times New Roman" w:cs="Times New Roman"/>
          <w:i/>
          <w:noProof/>
        </w:rPr>
        <w:t>p-score treatment</w:t>
      </w:r>
      <w:r w:rsidRPr="00D66787">
        <w:rPr>
          <w:rFonts w:ascii="Times New Roman" w:hAnsi="Times New Roman" w:cs="Times New Roman"/>
          <w:noProof/>
        </w:rPr>
        <w:t xml:space="preserve"> refers to the propensity score of the intervention group while the </w:t>
      </w:r>
      <w:r w:rsidRPr="00D66787">
        <w:rPr>
          <w:rFonts w:ascii="Times New Roman" w:hAnsi="Times New Roman" w:cs="Times New Roman"/>
          <w:i/>
          <w:noProof/>
        </w:rPr>
        <w:t>p-score control</w:t>
      </w:r>
      <w:r w:rsidRPr="00D66787">
        <w:rPr>
          <w:rFonts w:ascii="Times New Roman" w:hAnsi="Times New Roman" w:cs="Times New Roman"/>
          <w:noProof/>
        </w:rPr>
        <w:t xml:space="preserve"> refers to the propensity score for the matched comparison group.</w:t>
      </w:r>
    </w:p>
    <w:p w:rsidR="002869DB" w:rsidRPr="00D66787" w:rsidRDefault="002869DB" w:rsidP="00F90448">
      <w:pPr>
        <w:spacing w:after="0" w:line="240" w:lineRule="auto"/>
        <w:rPr>
          <w:rFonts w:ascii="Times New Roman" w:hAnsi="Times New Roman" w:cs="Times New Roman"/>
        </w:rPr>
      </w:pPr>
    </w:p>
    <w:p w:rsidR="005071B3" w:rsidRPr="00D66787" w:rsidRDefault="00D57EF7" w:rsidP="00F90448">
      <w:pPr>
        <w:spacing w:after="0" w:line="240" w:lineRule="auto"/>
        <w:rPr>
          <w:rFonts w:ascii="Times New Roman" w:hAnsi="Times New Roman" w:cs="Times New Roman"/>
          <w:b/>
        </w:rPr>
      </w:pPr>
      <w:r w:rsidRPr="00D66787">
        <w:rPr>
          <w:rFonts w:ascii="Times New Roman" w:hAnsi="Times New Roman" w:cs="Times New Roman"/>
          <w:b/>
        </w:rPr>
        <w:t xml:space="preserve">                                         </w:t>
      </w:r>
      <w:r w:rsidR="005071B3" w:rsidRPr="00D66787">
        <w:rPr>
          <w:rFonts w:ascii="Times New Roman" w:hAnsi="Times New Roman" w:cs="Times New Roman"/>
          <w:b/>
        </w:rPr>
        <w:t xml:space="preserve">                        </w:t>
      </w:r>
    </w:p>
    <w:p w:rsidR="005071B3" w:rsidRPr="00D66787" w:rsidRDefault="00D57EF7" w:rsidP="00F90448">
      <w:pPr>
        <w:spacing w:after="0" w:line="240" w:lineRule="auto"/>
        <w:rPr>
          <w:rFonts w:ascii="Times New Roman" w:hAnsi="Times New Roman" w:cs="Times New Roman"/>
          <w:i/>
        </w:rPr>
      </w:pPr>
      <w:r w:rsidRPr="00D66787">
        <w:rPr>
          <w:rFonts w:ascii="Times New Roman" w:hAnsi="Times New Roman" w:cs="Times New Roman"/>
          <w:i/>
        </w:rPr>
        <w:t>Figure A</w:t>
      </w:r>
      <w:r w:rsidR="005071B3" w:rsidRPr="00D66787">
        <w:rPr>
          <w:rFonts w:ascii="Times New Roman" w:hAnsi="Times New Roman" w:cs="Times New Roman"/>
          <w:i/>
        </w:rPr>
        <w:t>1</w:t>
      </w:r>
      <w:r w:rsidRPr="00D66787">
        <w:rPr>
          <w:rFonts w:ascii="Times New Roman" w:hAnsi="Times New Roman" w:cs="Times New Roman"/>
          <w:i/>
        </w:rPr>
        <w:t xml:space="preserve">: </w:t>
      </w:r>
      <w:r w:rsidR="005071B3" w:rsidRPr="00D66787">
        <w:rPr>
          <w:rFonts w:ascii="Times New Roman" w:hAnsi="Times New Roman" w:cs="Times New Roman"/>
          <w:i/>
        </w:rPr>
        <w:t xml:space="preserve">Common support before matching         </w:t>
      </w:r>
    </w:p>
    <w:p w:rsidR="00192F53" w:rsidRPr="00D66787" w:rsidRDefault="005071B3" w:rsidP="00F90448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t xml:space="preserve">   </w:t>
      </w: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0FB9EC1A" wp14:editId="6AA35525">
            <wp:extent cx="3562495" cy="2590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atched_unweighte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126" cy="26363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D66787">
        <w:rPr>
          <w:rFonts w:ascii="Times New Roman" w:hAnsi="Times New Roman" w:cs="Times New Roman"/>
          <w:noProof/>
        </w:rPr>
        <w:t xml:space="preserve"> </w:t>
      </w:r>
    </w:p>
    <w:p w:rsidR="00192F53" w:rsidRPr="00D66787" w:rsidRDefault="00192F53" w:rsidP="00F9044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92F53" w:rsidRPr="00D66787" w:rsidRDefault="00192F53" w:rsidP="00F90448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i/>
        </w:rPr>
        <w:t>Figure A2: Common support after matching</w:t>
      </w:r>
    </w:p>
    <w:p w:rsidR="00D57EF7" w:rsidRPr="00D66787" w:rsidRDefault="005071B3" w:rsidP="00F904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66787">
        <w:rPr>
          <w:rFonts w:ascii="Times New Roman" w:hAnsi="Times New Roman" w:cs="Times New Roman"/>
          <w:noProof/>
        </w:rPr>
        <w:t xml:space="preserve">  </w:t>
      </w: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25DBC638" wp14:editId="7B501002">
            <wp:extent cx="3632345" cy="2641600"/>
            <wp:effectExtent l="19050" t="19050" r="2540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ched_weighte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641" cy="268981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D66787">
        <w:rPr>
          <w:rFonts w:ascii="Times New Roman" w:hAnsi="Times New Roman" w:cs="Times New Roman"/>
          <w:noProof/>
        </w:rPr>
        <w:t xml:space="preserve">    </w:t>
      </w:r>
      <w:r w:rsidR="00D57EF7" w:rsidRPr="00D66787">
        <w:rPr>
          <w:rFonts w:ascii="Times New Roman" w:hAnsi="Times New Roman" w:cs="Times New Roman"/>
        </w:rPr>
        <w:t xml:space="preserve">    </w:t>
      </w:r>
    </w:p>
    <w:p w:rsidR="005071B3" w:rsidRPr="00D66787" w:rsidRDefault="005071B3" w:rsidP="005071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701E4" w:rsidRPr="00D66787" w:rsidRDefault="00C701E4" w:rsidP="00D57EF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D57EF7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D57E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C701E4" w:rsidRPr="00D66787" w:rsidRDefault="00C701E4" w:rsidP="00D57E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C701E4" w:rsidRPr="00D66787" w:rsidRDefault="00C701E4" w:rsidP="00192F5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0285C" w:rsidRPr="00D66787" w:rsidRDefault="004A5358" w:rsidP="00D57EF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6678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PART </w:t>
      </w:r>
      <w:r w:rsidR="0070285C" w:rsidRPr="00D66787">
        <w:rPr>
          <w:rFonts w:ascii="Times New Roman" w:hAnsi="Times New Roman" w:cs="Times New Roman"/>
          <w:b/>
          <w:noProof/>
          <w:sz w:val="24"/>
          <w:szCs w:val="24"/>
        </w:rPr>
        <w:t xml:space="preserve">B. </w:t>
      </w:r>
      <w:r w:rsidR="001715C9" w:rsidRPr="00D66787">
        <w:rPr>
          <w:rFonts w:ascii="Times New Roman" w:hAnsi="Times New Roman" w:cs="Times New Roman"/>
          <w:b/>
          <w:noProof/>
          <w:sz w:val="24"/>
          <w:szCs w:val="24"/>
        </w:rPr>
        <w:t xml:space="preserve">Examining </w:t>
      </w:r>
      <w:r w:rsidR="0011652A" w:rsidRPr="00D66787">
        <w:rPr>
          <w:rFonts w:ascii="Times New Roman" w:hAnsi="Times New Roman" w:cs="Times New Roman"/>
          <w:b/>
          <w:noProof/>
          <w:sz w:val="24"/>
          <w:szCs w:val="24"/>
        </w:rPr>
        <w:t>Outcomes Trends</w:t>
      </w:r>
    </w:p>
    <w:p w:rsidR="0070285C" w:rsidRPr="00D66787" w:rsidRDefault="00070780" w:rsidP="00F9044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D66787">
        <w:rPr>
          <w:rFonts w:ascii="Times New Roman" w:hAnsi="Times New Roman" w:cs="Times New Roman"/>
          <w:noProof/>
          <w:sz w:val="20"/>
          <w:szCs w:val="20"/>
        </w:rPr>
        <w:t xml:space="preserve">Figures below </w:t>
      </w:r>
      <w:r w:rsidR="00CE7B94" w:rsidRPr="00D66787">
        <w:rPr>
          <w:rFonts w:ascii="Times New Roman" w:hAnsi="Times New Roman" w:cs="Times New Roman"/>
          <w:noProof/>
          <w:sz w:val="20"/>
          <w:szCs w:val="20"/>
        </w:rPr>
        <w:t>(A3 through A10</w:t>
      </w:r>
      <w:r w:rsidR="00D559DD" w:rsidRPr="00D66787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Pr="00D66787">
        <w:rPr>
          <w:rFonts w:ascii="Times New Roman" w:hAnsi="Times New Roman" w:cs="Times New Roman"/>
          <w:noProof/>
          <w:sz w:val="20"/>
          <w:szCs w:val="20"/>
        </w:rPr>
        <w:t>show</w:t>
      </w:r>
      <w:r w:rsidR="00D559DD" w:rsidRPr="00D66787">
        <w:rPr>
          <w:rFonts w:ascii="Times New Roman" w:hAnsi="Times New Roman" w:cs="Times New Roman"/>
          <w:noProof/>
          <w:sz w:val="20"/>
          <w:szCs w:val="20"/>
        </w:rPr>
        <w:t xml:space="preserve"> linear</w:t>
      </w:r>
      <w:r w:rsidRPr="00D66787">
        <w:rPr>
          <w:rFonts w:ascii="Times New Roman" w:hAnsi="Times New Roman" w:cs="Times New Roman"/>
          <w:noProof/>
          <w:sz w:val="20"/>
          <w:szCs w:val="20"/>
        </w:rPr>
        <w:t xml:space="preserve"> trends in outcomes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>, measured per person per quarter,</w:t>
      </w:r>
      <w:r w:rsidRPr="00D6678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 xml:space="preserve">for participants in both the </w:t>
      </w:r>
      <w:r w:rsidRPr="00D66787">
        <w:rPr>
          <w:rFonts w:ascii="Times New Roman" w:hAnsi="Times New Roman" w:cs="Times New Roman"/>
          <w:noProof/>
          <w:sz w:val="20"/>
          <w:szCs w:val="20"/>
        </w:rPr>
        <w:t xml:space="preserve">intervention group and the comparison group. 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 xml:space="preserve">Across all the figures, the blue line represents the comparison group and the brown line represents the intervention </w:t>
      </w:r>
      <w:r w:rsidR="00555722" w:rsidRPr="00D66787">
        <w:rPr>
          <w:rFonts w:ascii="Times New Roman" w:hAnsi="Times New Roman" w:cs="Times New Roman"/>
          <w:noProof/>
          <w:sz w:val="20"/>
          <w:szCs w:val="20"/>
        </w:rPr>
        <w:t xml:space="preserve">(IBH) 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>group.  Sections B.1</w:t>
      </w:r>
      <w:r w:rsidR="00B83DE5" w:rsidRPr="00D6678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>include</w:t>
      </w:r>
      <w:r w:rsidR="00B83DE5" w:rsidRPr="00D66787">
        <w:rPr>
          <w:rFonts w:ascii="Times New Roman" w:hAnsi="Times New Roman" w:cs="Times New Roman"/>
          <w:noProof/>
          <w:sz w:val="20"/>
          <w:szCs w:val="20"/>
        </w:rPr>
        <w:t>s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 xml:space="preserve"> figu</w:t>
      </w:r>
      <w:r w:rsidR="007C5ACA" w:rsidRPr="00D66787">
        <w:rPr>
          <w:rFonts w:ascii="Times New Roman" w:hAnsi="Times New Roman" w:cs="Times New Roman"/>
          <w:noProof/>
          <w:sz w:val="20"/>
          <w:szCs w:val="20"/>
        </w:rPr>
        <w:t>r</w:t>
      </w:r>
      <w:r w:rsidR="00C701E4" w:rsidRPr="00D66787">
        <w:rPr>
          <w:rFonts w:ascii="Times New Roman" w:hAnsi="Times New Roman" w:cs="Times New Roman"/>
          <w:noProof/>
          <w:sz w:val="20"/>
          <w:szCs w:val="20"/>
        </w:rPr>
        <w:t xml:space="preserve">es for utilization otucomes </w:t>
      </w:r>
      <w:r w:rsidR="00D559DD" w:rsidRPr="00D66787">
        <w:rPr>
          <w:rFonts w:ascii="Times New Roman" w:hAnsi="Times New Roman" w:cs="Times New Roman"/>
          <w:noProof/>
          <w:sz w:val="20"/>
          <w:szCs w:val="20"/>
        </w:rPr>
        <w:t>while</w:t>
      </w:r>
      <w:r w:rsidR="007C5ACA" w:rsidRPr="00D66787">
        <w:rPr>
          <w:rFonts w:ascii="Times New Roman" w:hAnsi="Times New Roman" w:cs="Times New Roman"/>
          <w:noProof/>
          <w:sz w:val="20"/>
          <w:szCs w:val="20"/>
        </w:rPr>
        <w:t xml:space="preserve"> sections </w:t>
      </w:r>
      <w:r w:rsidR="00B83DE5" w:rsidRPr="00D66787">
        <w:rPr>
          <w:rFonts w:ascii="Times New Roman" w:hAnsi="Times New Roman" w:cs="Times New Roman"/>
          <w:noProof/>
          <w:sz w:val="20"/>
          <w:szCs w:val="20"/>
        </w:rPr>
        <w:t>B.2</w:t>
      </w:r>
      <w:r w:rsidR="007C5ACA" w:rsidRPr="00D66787">
        <w:rPr>
          <w:rFonts w:ascii="Times New Roman" w:hAnsi="Times New Roman" w:cs="Times New Roman"/>
          <w:noProof/>
          <w:sz w:val="20"/>
          <w:szCs w:val="20"/>
        </w:rPr>
        <w:t xml:space="preserve"> include</w:t>
      </w:r>
      <w:r w:rsidR="00B83DE5" w:rsidRPr="00D66787">
        <w:rPr>
          <w:rFonts w:ascii="Times New Roman" w:hAnsi="Times New Roman" w:cs="Times New Roman"/>
          <w:noProof/>
          <w:sz w:val="20"/>
          <w:szCs w:val="20"/>
        </w:rPr>
        <w:t>s</w:t>
      </w:r>
      <w:r w:rsidR="007C5ACA" w:rsidRPr="00D66787">
        <w:rPr>
          <w:rFonts w:ascii="Times New Roman" w:hAnsi="Times New Roman" w:cs="Times New Roman"/>
          <w:noProof/>
          <w:sz w:val="20"/>
          <w:szCs w:val="20"/>
        </w:rPr>
        <w:t xml:space="preserve"> figures for cost outcomes. </w:t>
      </w: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632E7" w:rsidRPr="00D66787" w:rsidRDefault="0070285C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D66787">
        <w:rPr>
          <w:rFonts w:ascii="Times New Roman" w:hAnsi="Times New Roman" w:cs="Times New Roman"/>
          <w:b/>
          <w:noProof/>
        </w:rPr>
        <w:t xml:space="preserve">B.1. </w:t>
      </w:r>
      <w:r w:rsidR="009D5F3B" w:rsidRPr="00D66787">
        <w:rPr>
          <w:rFonts w:ascii="Times New Roman" w:hAnsi="Times New Roman" w:cs="Times New Roman"/>
          <w:b/>
          <w:noProof/>
        </w:rPr>
        <w:t xml:space="preserve">Utilization measures </w:t>
      </w:r>
    </w:p>
    <w:p w:rsidR="008D1A86" w:rsidRPr="00D66787" w:rsidRDefault="00C03B55" w:rsidP="008D1A86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D66787">
        <w:rPr>
          <w:rFonts w:ascii="Times New Roman" w:hAnsi="Times New Roman" w:cs="Times New Roman"/>
          <w:i/>
          <w:noProof/>
        </w:rPr>
        <w:t xml:space="preserve">Figure </w:t>
      </w:r>
      <w:r w:rsidR="00D57EF7" w:rsidRPr="00D66787">
        <w:rPr>
          <w:rFonts w:ascii="Times New Roman" w:hAnsi="Times New Roman" w:cs="Times New Roman"/>
          <w:i/>
          <w:noProof/>
        </w:rPr>
        <w:t>A3</w:t>
      </w:r>
      <w:r w:rsidRPr="00D66787">
        <w:rPr>
          <w:rFonts w:ascii="Times New Roman" w:hAnsi="Times New Roman" w:cs="Times New Roman"/>
          <w:i/>
          <w:noProof/>
        </w:rPr>
        <w:t>: ED visits</w:t>
      </w:r>
      <w:r w:rsidRPr="00D66787">
        <w:rPr>
          <w:rFonts w:ascii="Times New Roman" w:hAnsi="Times New Roman" w:cs="Times New Roman"/>
          <w:i/>
          <w:noProof/>
        </w:rPr>
        <w:tab/>
      </w:r>
      <w:r w:rsidRPr="00D66787">
        <w:rPr>
          <w:rFonts w:ascii="Times New Roman" w:hAnsi="Times New Roman" w:cs="Times New Roman"/>
          <w:i/>
          <w:noProof/>
        </w:rPr>
        <w:tab/>
      </w:r>
      <w:r w:rsidRPr="00D66787">
        <w:rPr>
          <w:rFonts w:ascii="Times New Roman" w:hAnsi="Times New Roman" w:cs="Times New Roman"/>
          <w:i/>
          <w:noProof/>
        </w:rPr>
        <w:tab/>
      </w:r>
      <w:r w:rsidRPr="00D66787">
        <w:rPr>
          <w:rFonts w:ascii="Times New Roman" w:hAnsi="Times New Roman" w:cs="Times New Roman"/>
          <w:i/>
          <w:noProof/>
        </w:rPr>
        <w:tab/>
        <w:t xml:space="preserve">   </w:t>
      </w:r>
      <w:r w:rsidR="004221B1" w:rsidRPr="00D66787">
        <w:rPr>
          <w:rFonts w:ascii="Times New Roman" w:hAnsi="Times New Roman" w:cs="Times New Roman"/>
          <w:i/>
          <w:noProof/>
        </w:rPr>
        <w:t xml:space="preserve">    </w:t>
      </w:r>
      <w:r w:rsidRPr="00D66787">
        <w:rPr>
          <w:rFonts w:ascii="Times New Roman" w:hAnsi="Times New Roman" w:cs="Times New Roman"/>
          <w:i/>
          <w:noProof/>
        </w:rPr>
        <w:t xml:space="preserve">Figure </w:t>
      </w:r>
      <w:r w:rsidR="00D57EF7" w:rsidRPr="00D66787">
        <w:rPr>
          <w:rFonts w:ascii="Times New Roman" w:hAnsi="Times New Roman" w:cs="Times New Roman"/>
          <w:i/>
          <w:noProof/>
        </w:rPr>
        <w:t>A4</w:t>
      </w:r>
      <w:r w:rsidRPr="00D66787">
        <w:rPr>
          <w:rFonts w:ascii="Times New Roman" w:hAnsi="Times New Roman" w:cs="Times New Roman"/>
          <w:i/>
          <w:noProof/>
        </w:rPr>
        <w:t>: Hospitalizations</w:t>
      </w:r>
    </w:p>
    <w:p w:rsidR="008D1A86" w:rsidRPr="00D66787" w:rsidRDefault="004221B1" w:rsidP="008D1A86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6B2F6E14" wp14:editId="159EEE47">
            <wp:extent cx="2688699" cy="1955417"/>
            <wp:effectExtent l="0" t="0" r="0" b="6985"/>
            <wp:docPr id="2" name="Picture 2" descr="P:\ibhrd\b1t\Data\Working\Current\Graphs_2Oct\ibh1_util_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ibhrd\b1t\Data\Working\Current\Graphs_2Oct\ibh1_util_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3" cy="19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A86" w:rsidRPr="00D66787">
        <w:rPr>
          <w:rFonts w:ascii="Times New Roman" w:hAnsi="Times New Roman" w:cs="Times New Roman"/>
          <w:noProof/>
        </w:rPr>
        <w:t xml:space="preserve">         </w:t>
      </w: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159E1D5F" wp14:editId="6DD98A71">
            <wp:extent cx="2760504" cy="2007638"/>
            <wp:effectExtent l="0" t="0" r="1905" b="0"/>
            <wp:docPr id="4" name="Picture 4" descr="P:\ibhrd\b1t\Data\Working\Current\Graphs_2Oct\ibh1_util_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ibhrd\b1t\Data\Working\Current\Graphs_2Oct\ibh1_util_i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48" cy="203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A86" w:rsidRPr="00D66787">
        <w:rPr>
          <w:rFonts w:ascii="Times New Roman" w:hAnsi="Times New Roman" w:cs="Times New Roman"/>
          <w:noProof/>
        </w:rPr>
        <w:t xml:space="preserve">  </w:t>
      </w:r>
    </w:p>
    <w:p w:rsidR="00C03B55" w:rsidRPr="00D66787" w:rsidRDefault="00C03B55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C5ACA" w:rsidRPr="00D66787" w:rsidRDefault="007C5ACA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C5ACA" w:rsidRPr="00D66787" w:rsidRDefault="007C5ACA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071B3" w:rsidRPr="00D66787" w:rsidRDefault="005071B3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071B3" w:rsidRDefault="005071B3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31FAB" w:rsidRPr="00D66787" w:rsidRDefault="00431FAB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071B3" w:rsidRPr="00D66787" w:rsidRDefault="005071B3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03B55" w:rsidRPr="00D66787" w:rsidRDefault="00C03B55" w:rsidP="008D1A86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D66787">
        <w:rPr>
          <w:rFonts w:ascii="Times New Roman" w:hAnsi="Times New Roman" w:cs="Times New Roman"/>
          <w:i/>
          <w:noProof/>
        </w:rPr>
        <w:t xml:space="preserve">Figure </w:t>
      </w:r>
      <w:r w:rsidR="00C33128" w:rsidRPr="00D66787">
        <w:rPr>
          <w:rFonts w:ascii="Times New Roman" w:hAnsi="Times New Roman" w:cs="Times New Roman"/>
          <w:i/>
          <w:noProof/>
        </w:rPr>
        <w:t>A5</w:t>
      </w:r>
      <w:r w:rsidRPr="00D66787">
        <w:rPr>
          <w:rFonts w:ascii="Times New Roman" w:hAnsi="Times New Roman" w:cs="Times New Roman"/>
          <w:i/>
          <w:noProof/>
        </w:rPr>
        <w:t>: Office visits</w:t>
      </w:r>
    </w:p>
    <w:p w:rsidR="004221B1" w:rsidRPr="00D66787" w:rsidRDefault="004221B1" w:rsidP="00F90448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1B584F1E" wp14:editId="25DFF8B5">
            <wp:extent cx="2715418" cy="1974850"/>
            <wp:effectExtent l="0" t="0" r="8890" b="6350"/>
            <wp:docPr id="23" name="Picture 23" descr="P:\ibhrd\b1t\Data\Working\Current\Graphs_2Oct\ibh1_util_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ibhrd\b1t\Data\Working\Current\Graphs_2Oct\ibh1_util_offi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26" cy="20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B1" w:rsidRPr="00D66787" w:rsidRDefault="004221B1" w:rsidP="00F9044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701E4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431FAB" w:rsidRPr="00D66787" w:rsidRDefault="00431FAB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701E4" w:rsidRPr="00D66787" w:rsidRDefault="00C701E4" w:rsidP="00F90448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9D5F3B" w:rsidRPr="00D66787" w:rsidRDefault="009D5F3B" w:rsidP="00F90448">
      <w:pPr>
        <w:spacing w:after="0" w:line="240" w:lineRule="auto"/>
        <w:rPr>
          <w:rFonts w:ascii="Times New Roman" w:hAnsi="Times New Roman" w:cs="Times New Roman"/>
          <w:b/>
        </w:rPr>
      </w:pPr>
    </w:p>
    <w:p w:rsidR="009D5F3B" w:rsidRPr="00D66787" w:rsidRDefault="009D5F3B" w:rsidP="00F90448">
      <w:pPr>
        <w:spacing w:after="0" w:line="240" w:lineRule="auto"/>
        <w:rPr>
          <w:rFonts w:ascii="Times New Roman" w:hAnsi="Times New Roman" w:cs="Times New Roman"/>
          <w:b/>
        </w:rPr>
      </w:pPr>
    </w:p>
    <w:p w:rsidR="00B632E7" w:rsidRPr="00D66787" w:rsidRDefault="00192F53" w:rsidP="00F90448">
      <w:pPr>
        <w:spacing w:after="0" w:line="240" w:lineRule="auto"/>
        <w:rPr>
          <w:rFonts w:ascii="Times New Roman" w:hAnsi="Times New Roman" w:cs="Times New Roman"/>
          <w:b/>
        </w:rPr>
      </w:pPr>
      <w:r w:rsidRPr="00D66787">
        <w:rPr>
          <w:rFonts w:ascii="Times New Roman" w:hAnsi="Times New Roman" w:cs="Times New Roman"/>
          <w:b/>
        </w:rPr>
        <w:t>B.2</w:t>
      </w:r>
      <w:r w:rsidR="0070285C" w:rsidRPr="00D66787">
        <w:rPr>
          <w:rFonts w:ascii="Times New Roman" w:hAnsi="Times New Roman" w:cs="Times New Roman"/>
          <w:b/>
        </w:rPr>
        <w:t xml:space="preserve">. </w:t>
      </w:r>
      <w:r w:rsidR="00FD0F6D" w:rsidRPr="00D66787">
        <w:rPr>
          <w:rFonts w:ascii="Times New Roman" w:hAnsi="Times New Roman" w:cs="Times New Roman"/>
          <w:b/>
          <w:noProof/>
        </w:rPr>
        <w:t>Cost measures</w:t>
      </w:r>
    </w:p>
    <w:p w:rsidR="0070285C" w:rsidRPr="00D66787" w:rsidRDefault="0070285C" w:rsidP="00F90448">
      <w:pPr>
        <w:spacing w:after="0" w:line="240" w:lineRule="auto"/>
        <w:rPr>
          <w:rFonts w:ascii="Times New Roman" w:hAnsi="Times New Roman" w:cs="Times New Roman"/>
          <w:b/>
        </w:rPr>
      </w:pPr>
    </w:p>
    <w:p w:rsidR="008D1A86" w:rsidRPr="00D66787" w:rsidRDefault="008D1A86" w:rsidP="008D1A86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D66787">
        <w:rPr>
          <w:rFonts w:ascii="Times New Roman" w:hAnsi="Times New Roman" w:cs="Times New Roman"/>
          <w:i/>
          <w:noProof/>
        </w:rPr>
        <w:t xml:space="preserve"> Figure</w:t>
      </w:r>
      <w:r w:rsidR="0070285C" w:rsidRPr="00D66787">
        <w:rPr>
          <w:rFonts w:ascii="Times New Roman" w:hAnsi="Times New Roman" w:cs="Times New Roman"/>
          <w:i/>
          <w:noProof/>
        </w:rPr>
        <w:t xml:space="preserve"> </w:t>
      </w:r>
      <w:r w:rsidR="00192F53" w:rsidRPr="00D66787">
        <w:rPr>
          <w:rFonts w:ascii="Times New Roman" w:hAnsi="Times New Roman" w:cs="Times New Roman"/>
          <w:i/>
          <w:noProof/>
        </w:rPr>
        <w:t>A6</w:t>
      </w:r>
      <w:r w:rsidRPr="00D66787">
        <w:rPr>
          <w:rFonts w:ascii="Times New Roman" w:hAnsi="Times New Roman" w:cs="Times New Roman"/>
          <w:i/>
          <w:noProof/>
        </w:rPr>
        <w:t>: Outpatient cost</w:t>
      </w:r>
      <w:r w:rsidR="00E83B79" w:rsidRPr="00D66787">
        <w:rPr>
          <w:rFonts w:ascii="Times New Roman" w:hAnsi="Times New Roman" w:cs="Times New Roman"/>
          <w:i/>
          <w:noProof/>
        </w:rPr>
        <w:t xml:space="preserve">                                           Figure </w:t>
      </w:r>
      <w:r w:rsidR="00192F53" w:rsidRPr="00D66787">
        <w:rPr>
          <w:rFonts w:ascii="Times New Roman" w:hAnsi="Times New Roman" w:cs="Times New Roman"/>
          <w:i/>
          <w:noProof/>
        </w:rPr>
        <w:t>A7</w:t>
      </w:r>
      <w:r w:rsidR="00E83B79" w:rsidRPr="00D66787">
        <w:rPr>
          <w:rFonts w:ascii="Times New Roman" w:hAnsi="Times New Roman" w:cs="Times New Roman"/>
          <w:i/>
          <w:noProof/>
        </w:rPr>
        <w:t xml:space="preserve">: Inpatient cost      </w:t>
      </w:r>
    </w:p>
    <w:p w:rsidR="008D1A86" w:rsidRPr="00D66787" w:rsidRDefault="004221B1" w:rsidP="008D1A86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14A018C4" wp14:editId="5CE2D4B8">
            <wp:extent cx="2773478" cy="2017075"/>
            <wp:effectExtent l="0" t="0" r="8255" b="2540"/>
            <wp:docPr id="9" name="Picture 9" descr="P:\ibhrd\b1t\Data\Working\Current\Graphs_2Oct\ibh1_outp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ibhrd\b1t\Data\Working\Current\Graphs_2Oct\ibh1_outpcos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40" cy="20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B79" w:rsidRPr="00D66787">
        <w:rPr>
          <w:rFonts w:ascii="Times New Roman" w:hAnsi="Times New Roman" w:cs="Times New Roman"/>
          <w:noProof/>
        </w:rPr>
        <w:t xml:space="preserve">    </w:t>
      </w:r>
      <w:r w:rsidR="00E83B79" w:rsidRPr="00D66787">
        <w:rPr>
          <w:rFonts w:ascii="Times New Roman" w:hAnsi="Times New Roman" w:cs="Times New Roman"/>
          <w:noProof/>
        </w:rPr>
        <w:drawing>
          <wp:inline distT="0" distB="0" distL="0" distR="0" wp14:anchorId="415980AF" wp14:editId="21AA9F08">
            <wp:extent cx="2821923" cy="2052307"/>
            <wp:effectExtent l="0" t="0" r="0" b="5715"/>
            <wp:docPr id="10" name="Picture 10" descr="P:\ibhrd\b1t\Data\Working\Current\Graphs_2Oct\ibh1_ip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ibhrd\b1t\Data\Working\Current\Graphs_2Oct\ibh1_ipcos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27" cy="20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16" w:rsidRPr="00D66787" w:rsidRDefault="00710216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0285C" w:rsidRPr="00D66787" w:rsidRDefault="0070285C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0285C" w:rsidRPr="00D66787" w:rsidRDefault="0070285C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D1A86" w:rsidRPr="00D66787" w:rsidRDefault="00710216" w:rsidP="00E83B79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D66787">
        <w:rPr>
          <w:rFonts w:ascii="Times New Roman" w:hAnsi="Times New Roman" w:cs="Times New Roman"/>
          <w:i/>
          <w:noProof/>
        </w:rPr>
        <w:t xml:space="preserve">     Figure</w:t>
      </w:r>
      <w:r w:rsidR="0070285C" w:rsidRPr="00D66787">
        <w:rPr>
          <w:rFonts w:ascii="Times New Roman" w:hAnsi="Times New Roman" w:cs="Times New Roman"/>
          <w:i/>
          <w:noProof/>
        </w:rPr>
        <w:t xml:space="preserve"> </w:t>
      </w:r>
      <w:r w:rsidR="00192F53" w:rsidRPr="00D66787">
        <w:rPr>
          <w:rFonts w:ascii="Times New Roman" w:hAnsi="Times New Roman" w:cs="Times New Roman"/>
          <w:i/>
          <w:noProof/>
        </w:rPr>
        <w:t>A8</w:t>
      </w:r>
      <w:r w:rsidRPr="00D66787">
        <w:rPr>
          <w:rFonts w:ascii="Times New Roman" w:hAnsi="Times New Roman" w:cs="Times New Roman"/>
          <w:i/>
          <w:noProof/>
        </w:rPr>
        <w:t xml:space="preserve">: </w:t>
      </w:r>
      <w:r w:rsidR="008D1A86" w:rsidRPr="00D66787">
        <w:rPr>
          <w:rFonts w:ascii="Times New Roman" w:hAnsi="Times New Roman" w:cs="Times New Roman"/>
          <w:i/>
          <w:noProof/>
        </w:rPr>
        <w:t>Professional services</w:t>
      </w:r>
      <w:r w:rsidR="00C03B55" w:rsidRPr="00D66787">
        <w:rPr>
          <w:rFonts w:ascii="Times New Roman" w:hAnsi="Times New Roman" w:cs="Times New Roman"/>
          <w:i/>
          <w:noProof/>
        </w:rPr>
        <w:t xml:space="preserve"> cost</w:t>
      </w:r>
      <w:r w:rsidR="00E83B79" w:rsidRPr="00D66787">
        <w:rPr>
          <w:rFonts w:ascii="Times New Roman" w:hAnsi="Times New Roman" w:cs="Times New Roman"/>
          <w:i/>
          <w:noProof/>
        </w:rPr>
        <w:t xml:space="preserve">             </w:t>
      </w:r>
      <w:r w:rsidR="00B65F4A" w:rsidRPr="00D66787">
        <w:rPr>
          <w:rFonts w:ascii="Times New Roman" w:hAnsi="Times New Roman" w:cs="Times New Roman"/>
          <w:i/>
          <w:noProof/>
        </w:rPr>
        <w:t xml:space="preserve">           </w:t>
      </w:r>
      <w:r w:rsidR="00E83B79" w:rsidRPr="00D66787">
        <w:rPr>
          <w:rFonts w:ascii="Times New Roman" w:hAnsi="Times New Roman" w:cs="Times New Roman"/>
          <w:i/>
          <w:noProof/>
        </w:rPr>
        <w:t xml:space="preserve">Figure </w:t>
      </w:r>
      <w:r w:rsidR="00192F53" w:rsidRPr="00D66787">
        <w:rPr>
          <w:rFonts w:ascii="Times New Roman" w:hAnsi="Times New Roman" w:cs="Times New Roman"/>
          <w:i/>
          <w:noProof/>
        </w:rPr>
        <w:t>A9</w:t>
      </w:r>
      <w:r w:rsidR="00E83B79" w:rsidRPr="00D66787">
        <w:rPr>
          <w:rFonts w:ascii="Times New Roman" w:hAnsi="Times New Roman" w:cs="Times New Roman"/>
          <w:i/>
          <w:noProof/>
        </w:rPr>
        <w:t>: Pharmacy cost</w:t>
      </w:r>
    </w:p>
    <w:p w:rsidR="00710216" w:rsidRPr="00D66787" w:rsidRDefault="00710216" w:rsidP="008D1A86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t xml:space="preserve">  </w:t>
      </w:r>
      <w:r w:rsidR="004221B1" w:rsidRPr="00D66787">
        <w:rPr>
          <w:rFonts w:ascii="Times New Roman" w:hAnsi="Times New Roman" w:cs="Times New Roman"/>
          <w:noProof/>
        </w:rPr>
        <w:drawing>
          <wp:inline distT="0" distB="0" distL="0" distR="0" wp14:anchorId="744B035F" wp14:editId="7CCD54C2">
            <wp:extent cx="2852202" cy="2074328"/>
            <wp:effectExtent l="0" t="0" r="5715" b="2540"/>
            <wp:docPr id="25" name="Picture 25" descr="P:\ibhrd\b1t\Data\Working\Current\Graphs_2Oct\ibh1_prof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ibhrd\b1t\Data\Working\Current\Graphs_2Oct\ibh1_profcos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9" cy="208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B79" w:rsidRPr="00D66787">
        <w:rPr>
          <w:rFonts w:ascii="Times New Roman" w:hAnsi="Times New Roman" w:cs="Times New Roman"/>
          <w:noProof/>
        </w:rPr>
        <w:t xml:space="preserve">   </w:t>
      </w:r>
      <w:r w:rsidR="00E83B79" w:rsidRPr="00D66787">
        <w:rPr>
          <w:rFonts w:ascii="Times New Roman" w:hAnsi="Times New Roman" w:cs="Times New Roman"/>
          <w:noProof/>
        </w:rPr>
        <w:drawing>
          <wp:inline distT="0" distB="0" distL="0" distR="0" wp14:anchorId="3E7EC8A3" wp14:editId="20E3E58A">
            <wp:extent cx="2858257" cy="2078732"/>
            <wp:effectExtent l="0" t="0" r="0" b="0"/>
            <wp:docPr id="12" name="Picture 12" descr="P:\ibhrd\b1t\Data\Working\Current\Graphs_2Oct\ibh1_drug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ibhrd\b1t\Data\Working\Current\Graphs_2Oct\ibh1_drugcos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10" cy="210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16" w:rsidRPr="00D66787" w:rsidRDefault="00710216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10216" w:rsidRPr="00D66787" w:rsidRDefault="00710216" w:rsidP="008D1A86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D1A86" w:rsidRPr="00D66787" w:rsidRDefault="00B65F4A" w:rsidP="008D1A86">
      <w:pPr>
        <w:spacing w:after="0" w:line="240" w:lineRule="auto"/>
        <w:rPr>
          <w:rFonts w:ascii="Times New Roman" w:hAnsi="Times New Roman" w:cs="Times New Roman"/>
          <w:i/>
          <w:noProof/>
        </w:rPr>
      </w:pPr>
      <w:r w:rsidRPr="00D66787">
        <w:rPr>
          <w:rFonts w:ascii="Times New Roman" w:hAnsi="Times New Roman" w:cs="Times New Roman"/>
          <w:i/>
          <w:noProof/>
        </w:rPr>
        <w:t xml:space="preserve">   </w:t>
      </w:r>
      <w:r w:rsidR="00E83B79" w:rsidRPr="00D66787">
        <w:rPr>
          <w:rFonts w:ascii="Times New Roman" w:hAnsi="Times New Roman" w:cs="Times New Roman"/>
          <w:i/>
          <w:noProof/>
        </w:rPr>
        <w:t xml:space="preserve">Figure </w:t>
      </w:r>
      <w:r w:rsidR="00192F53" w:rsidRPr="00D66787">
        <w:rPr>
          <w:rFonts w:ascii="Times New Roman" w:hAnsi="Times New Roman" w:cs="Times New Roman"/>
          <w:i/>
          <w:noProof/>
        </w:rPr>
        <w:t>A10</w:t>
      </w:r>
      <w:r w:rsidR="00E83B79" w:rsidRPr="00D66787">
        <w:rPr>
          <w:rFonts w:ascii="Times New Roman" w:hAnsi="Times New Roman" w:cs="Times New Roman"/>
          <w:i/>
          <w:noProof/>
        </w:rPr>
        <w:t xml:space="preserve">: Total cost   </w:t>
      </w:r>
    </w:p>
    <w:p w:rsidR="00B632E7" w:rsidRPr="00D66787" w:rsidRDefault="00E83B79" w:rsidP="00B632E7">
      <w:pPr>
        <w:spacing w:after="0" w:line="240" w:lineRule="auto"/>
        <w:rPr>
          <w:rFonts w:ascii="Times New Roman" w:hAnsi="Times New Roman" w:cs="Times New Roman"/>
          <w:noProof/>
        </w:rPr>
      </w:pPr>
      <w:r w:rsidRPr="00D66787">
        <w:rPr>
          <w:rFonts w:ascii="Times New Roman" w:hAnsi="Times New Roman" w:cs="Times New Roman"/>
          <w:noProof/>
        </w:rPr>
        <w:t xml:space="preserve">   </w:t>
      </w:r>
      <w:r w:rsidRPr="00D66787">
        <w:rPr>
          <w:rFonts w:ascii="Times New Roman" w:hAnsi="Times New Roman" w:cs="Times New Roman"/>
          <w:noProof/>
        </w:rPr>
        <w:drawing>
          <wp:inline distT="0" distB="0" distL="0" distR="0" wp14:anchorId="5537C14D" wp14:editId="56FF9198">
            <wp:extent cx="2773478" cy="2017076"/>
            <wp:effectExtent l="0" t="0" r="8255" b="2540"/>
            <wp:docPr id="24" name="Picture 24" descr="P:\ibhrd\b1t\Data\Working\Current\Graphs_2Oct\ibh1_tot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ibhrd\b1t\Data\Working\Current\Graphs_2Oct\ibh1_totcos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92" cy="20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5F" w:rsidRPr="00D66787" w:rsidRDefault="00641C5F" w:rsidP="00F90448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C5ACA" w:rsidRPr="00D66787" w:rsidRDefault="004A5358" w:rsidP="00192F5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6678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PART C. </w:t>
      </w:r>
      <w:r w:rsidR="00192F53" w:rsidRPr="00D66787">
        <w:rPr>
          <w:rFonts w:ascii="Times New Roman" w:hAnsi="Times New Roman" w:cs="Times New Roman"/>
          <w:b/>
          <w:noProof/>
          <w:sz w:val="24"/>
          <w:szCs w:val="24"/>
        </w:rPr>
        <w:t>Testing Maintenance Effects</w:t>
      </w:r>
    </w:p>
    <w:p w:rsidR="00525AA2" w:rsidRPr="00D66787" w:rsidRDefault="00525AA2" w:rsidP="004A5358">
      <w:pPr>
        <w:pStyle w:val="EndnoteText"/>
        <w:rPr>
          <w:rFonts w:ascii="Times New Roman" w:hAnsi="Times New Roman" w:cs="Times New Roman"/>
          <w:b/>
          <w:sz w:val="22"/>
          <w:szCs w:val="22"/>
        </w:rPr>
      </w:pPr>
    </w:p>
    <w:p w:rsidR="004A5358" w:rsidRPr="00D66787" w:rsidRDefault="00192F53" w:rsidP="004A5358">
      <w:pPr>
        <w:pStyle w:val="EndnoteText"/>
        <w:rPr>
          <w:rFonts w:ascii="Times New Roman" w:hAnsi="Times New Roman" w:cs="Times New Roman"/>
          <w:b/>
          <w:i/>
          <w:sz w:val="22"/>
          <w:szCs w:val="22"/>
        </w:rPr>
      </w:pPr>
      <w:r w:rsidRPr="00D66787">
        <w:rPr>
          <w:rFonts w:ascii="Times New Roman" w:hAnsi="Times New Roman" w:cs="Times New Roman"/>
          <w:b/>
          <w:i/>
          <w:sz w:val="22"/>
          <w:szCs w:val="22"/>
        </w:rPr>
        <w:t>C</w:t>
      </w:r>
      <w:r w:rsidR="004A5358" w:rsidRPr="00D66787">
        <w:rPr>
          <w:rFonts w:ascii="Times New Roman" w:hAnsi="Times New Roman" w:cs="Times New Roman"/>
          <w:b/>
          <w:i/>
          <w:sz w:val="22"/>
          <w:szCs w:val="22"/>
        </w:rPr>
        <w:t xml:space="preserve">.1. Utilization </w:t>
      </w:r>
      <w:r w:rsidR="009233A2" w:rsidRPr="00D66787">
        <w:rPr>
          <w:rFonts w:ascii="Times New Roman" w:hAnsi="Times New Roman" w:cs="Times New Roman"/>
          <w:b/>
          <w:i/>
          <w:sz w:val="22"/>
          <w:szCs w:val="22"/>
        </w:rPr>
        <w:t>measures</w:t>
      </w:r>
    </w:p>
    <w:p w:rsidR="00FC6344" w:rsidRPr="00D66787" w:rsidRDefault="00FC6344" w:rsidP="004A5358">
      <w:pPr>
        <w:pStyle w:val="EndnoteText"/>
        <w:rPr>
          <w:rFonts w:ascii="Times New Roman" w:hAnsi="Times New Roman" w:cs="Times New Roman"/>
          <w:b/>
          <w:sz w:val="22"/>
          <w:szCs w:val="22"/>
        </w:rPr>
      </w:pPr>
    </w:p>
    <w:p w:rsidR="004A5358" w:rsidRPr="00D66787" w:rsidRDefault="00C65861" w:rsidP="00FC634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6787">
        <w:rPr>
          <w:rFonts w:ascii="Times New Roman" w:hAnsi="Times New Roman" w:cs="Times New Roman"/>
          <w:i/>
        </w:rPr>
        <w:t xml:space="preserve">Table </w:t>
      </w:r>
      <w:r w:rsidR="00C33128" w:rsidRPr="00D66787">
        <w:rPr>
          <w:rFonts w:ascii="Times New Roman" w:hAnsi="Times New Roman" w:cs="Times New Roman"/>
          <w:i/>
        </w:rPr>
        <w:t>A</w:t>
      </w:r>
      <w:r w:rsidR="00385588" w:rsidRPr="00D66787">
        <w:rPr>
          <w:rFonts w:ascii="Times New Roman" w:hAnsi="Times New Roman" w:cs="Times New Roman"/>
          <w:i/>
        </w:rPr>
        <w:t>1</w:t>
      </w:r>
      <w:r w:rsidRPr="00D66787">
        <w:rPr>
          <w:rFonts w:ascii="Times New Roman" w:hAnsi="Times New Roman" w:cs="Times New Roman"/>
          <w:i/>
        </w:rPr>
        <w:t>: Effects of IBH intervention on utilization</w:t>
      </w: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1552"/>
        <w:gridCol w:w="1354"/>
        <w:gridCol w:w="1356"/>
        <w:gridCol w:w="1354"/>
        <w:gridCol w:w="1356"/>
        <w:gridCol w:w="2796"/>
      </w:tblGrid>
      <w:tr w:rsidR="004A5358" w:rsidRPr="00D66787" w:rsidTr="00431FAB">
        <w:trPr>
          <w:trHeight w:val="350"/>
          <w:jc w:val="center"/>
        </w:trPr>
        <w:tc>
          <w:tcPr>
            <w:tcW w:w="15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Difference-in-Differences</w:t>
            </w:r>
          </w:p>
        </w:tc>
      </w:tr>
      <w:tr w:rsidR="004A5358" w:rsidRPr="00D66787" w:rsidTr="00431FAB">
        <w:trPr>
          <w:trHeight w:val="350"/>
          <w:jc w:val="center"/>
        </w:trPr>
        <w:tc>
          <w:tcPr>
            <w:tcW w:w="1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358" w:rsidRPr="00D66787" w:rsidTr="00431FAB">
        <w:trPr>
          <w:trHeight w:val="339"/>
          <w:jc w:val="center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ED Visits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-7.6** [-11.9, -3.3]</w:t>
            </w:r>
          </w:p>
        </w:tc>
      </w:tr>
      <w:tr w:rsidR="004A5358" w:rsidRPr="00D66787" w:rsidTr="00431FAB">
        <w:trPr>
          <w:trHeight w:val="339"/>
          <w:jc w:val="center"/>
        </w:trPr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Office Visits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467.0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491.0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492.4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-31.6*** [-41.5, -21.7]</w:t>
            </w:r>
          </w:p>
        </w:tc>
      </w:tr>
      <w:tr w:rsidR="004A5358" w:rsidRPr="00D66787" w:rsidTr="00431FAB">
        <w:trPr>
          <w:trHeight w:val="339"/>
          <w:jc w:val="center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Hospitalizations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 [-2.1, 1.7]</w:t>
            </w:r>
          </w:p>
        </w:tc>
      </w:tr>
    </w:tbl>
    <w:p w:rsidR="00827FC3" w:rsidRPr="00D66787" w:rsidRDefault="004A5358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>Table shows # of ED visits, office visits and hospitalizations per 1000 people per month before (pre) and after (post) the intervention. Difference-in-differences estimates (and</w:t>
      </w:r>
      <w:r w:rsidR="00525AA2" w:rsidRPr="00D66787">
        <w:rPr>
          <w:rFonts w:ascii="Times New Roman" w:hAnsi="Times New Roman" w:cs="Times New Roman"/>
          <w:sz w:val="18"/>
          <w:szCs w:val="18"/>
        </w:rPr>
        <w:t xml:space="preserve"> their 95% confidence intervals) </w:t>
      </w:r>
      <w:r w:rsidRPr="00D66787">
        <w:rPr>
          <w:rFonts w:ascii="Times New Roman" w:hAnsi="Times New Roman" w:cs="Times New Roman"/>
          <w:sz w:val="18"/>
          <w:szCs w:val="18"/>
        </w:rPr>
        <w:t>are s</w:t>
      </w:r>
      <w:r w:rsidR="00525AA2" w:rsidRPr="00D66787">
        <w:rPr>
          <w:rFonts w:ascii="Times New Roman" w:hAnsi="Times New Roman" w:cs="Times New Roman"/>
          <w:sz w:val="18"/>
          <w:szCs w:val="18"/>
        </w:rPr>
        <w:t>hown at the right most column. The value of N, which represents the # of person-months during the study window, i</w:t>
      </w:r>
      <w:r w:rsidR="00AE7B71" w:rsidRPr="00D66787">
        <w:rPr>
          <w:rFonts w:ascii="Times New Roman" w:hAnsi="Times New Roman" w:cs="Times New Roman"/>
          <w:sz w:val="18"/>
          <w:szCs w:val="18"/>
        </w:rPr>
        <w:t>s 2,004,356.</w:t>
      </w:r>
      <w:r w:rsidR="00525AA2" w:rsidRPr="00D66787">
        <w:rPr>
          <w:rFonts w:ascii="Times New Roman" w:hAnsi="Times New Roman" w:cs="Times New Roman"/>
          <w:sz w:val="18"/>
          <w:szCs w:val="18"/>
        </w:rPr>
        <w:t xml:space="preserve"> </w:t>
      </w:r>
      <w:r w:rsidR="00431FAB">
        <w:rPr>
          <w:rFonts w:ascii="Times New Roman" w:hAnsi="Times New Roman" w:cs="Times New Roman"/>
          <w:sz w:val="18"/>
          <w:szCs w:val="18"/>
        </w:rPr>
        <w:t>ED = Emergency Department. IBH = Integrated Behavioral Health.</w:t>
      </w:r>
    </w:p>
    <w:p w:rsidR="00EC6045" w:rsidRPr="00D66787" w:rsidRDefault="00EC6045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7FC3" w:rsidRPr="00D66787" w:rsidRDefault="004A5358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>*</w:t>
      </w:r>
      <w:r w:rsidR="0079703F" w:rsidRPr="00D66787">
        <w:rPr>
          <w:rFonts w:ascii="Times New Roman" w:hAnsi="Times New Roman" w:cs="Times New Roman"/>
          <w:sz w:val="18"/>
          <w:szCs w:val="18"/>
        </w:rPr>
        <w:t>*</w:t>
      </w:r>
      <w:r w:rsidR="00827FC3" w:rsidRPr="00D66787">
        <w:rPr>
          <w:rFonts w:ascii="Times New Roman" w:hAnsi="Times New Roman" w:cs="Times New Roman"/>
          <w:sz w:val="18"/>
          <w:szCs w:val="18"/>
        </w:rPr>
        <w:t>* p&lt;0.001</w:t>
      </w:r>
    </w:p>
    <w:p w:rsidR="00827FC3" w:rsidRPr="00D66787" w:rsidRDefault="00827FC3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>**p&lt;0.01</w:t>
      </w:r>
    </w:p>
    <w:p w:rsidR="004A5358" w:rsidRPr="00D66787" w:rsidRDefault="00525AA2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 xml:space="preserve"> *p&lt;0.05</w:t>
      </w:r>
    </w:p>
    <w:p w:rsidR="004A5358" w:rsidRPr="00D66787" w:rsidRDefault="004A5358" w:rsidP="004A5358">
      <w:pPr>
        <w:pStyle w:val="EndnoteText"/>
        <w:rPr>
          <w:rFonts w:ascii="Times New Roman" w:hAnsi="Times New Roman" w:cs="Times New Roman"/>
          <w:b/>
        </w:rPr>
      </w:pPr>
    </w:p>
    <w:p w:rsidR="004A5358" w:rsidRPr="00D66787" w:rsidRDefault="004A5358" w:rsidP="004A5358">
      <w:pPr>
        <w:pStyle w:val="EndnoteText"/>
        <w:rPr>
          <w:rFonts w:ascii="Times New Roman" w:hAnsi="Times New Roman" w:cs="Times New Roman"/>
          <w:b/>
          <w:i/>
          <w:sz w:val="22"/>
          <w:szCs w:val="22"/>
        </w:rPr>
      </w:pPr>
      <w:r w:rsidRPr="00D66787">
        <w:rPr>
          <w:rFonts w:ascii="Times New Roman" w:hAnsi="Times New Roman" w:cs="Times New Roman"/>
          <w:b/>
          <w:i/>
          <w:sz w:val="22"/>
          <w:szCs w:val="22"/>
        </w:rPr>
        <w:t xml:space="preserve">C.2. Cost </w:t>
      </w:r>
      <w:r w:rsidR="00BC6B0F" w:rsidRPr="00D66787">
        <w:rPr>
          <w:rFonts w:ascii="Times New Roman" w:hAnsi="Times New Roman" w:cs="Times New Roman"/>
          <w:b/>
          <w:i/>
          <w:sz w:val="22"/>
          <w:szCs w:val="22"/>
        </w:rPr>
        <w:t>measures</w:t>
      </w:r>
    </w:p>
    <w:p w:rsidR="004A5358" w:rsidRPr="00D66787" w:rsidRDefault="004A5358" w:rsidP="004A5358">
      <w:pPr>
        <w:pStyle w:val="EndnoteText"/>
        <w:rPr>
          <w:rFonts w:ascii="Times New Roman" w:hAnsi="Times New Roman" w:cs="Times New Roman"/>
          <w:b/>
          <w:sz w:val="22"/>
          <w:szCs w:val="22"/>
        </w:rPr>
      </w:pPr>
    </w:p>
    <w:p w:rsidR="00C65861" w:rsidRPr="00D66787" w:rsidRDefault="00C65861" w:rsidP="00C6586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6787">
        <w:rPr>
          <w:rFonts w:ascii="Times New Roman" w:hAnsi="Times New Roman" w:cs="Times New Roman"/>
          <w:i/>
        </w:rPr>
        <w:t xml:space="preserve">Table </w:t>
      </w:r>
      <w:r w:rsidR="00C33128" w:rsidRPr="00D66787">
        <w:rPr>
          <w:rFonts w:ascii="Times New Roman" w:hAnsi="Times New Roman" w:cs="Times New Roman"/>
          <w:i/>
        </w:rPr>
        <w:t>A</w:t>
      </w:r>
      <w:r w:rsidR="00385588" w:rsidRPr="00D66787">
        <w:rPr>
          <w:rFonts w:ascii="Times New Roman" w:hAnsi="Times New Roman" w:cs="Times New Roman"/>
          <w:i/>
        </w:rPr>
        <w:t>2</w:t>
      </w:r>
      <w:r w:rsidRPr="00D66787">
        <w:rPr>
          <w:rFonts w:ascii="Times New Roman" w:hAnsi="Times New Roman" w:cs="Times New Roman"/>
          <w:i/>
        </w:rPr>
        <w:t>: Effects of IBH</w:t>
      </w:r>
      <w:r w:rsidR="00EA6D34" w:rsidRPr="00D66787">
        <w:rPr>
          <w:rFonts w:ascii="Times New Roman" w:hAnsi="Times New Roman" w:cs="Times New Roman"/>
          <w:i/>
        </w:rPr>
        <w:t xml:space="preserve"> intervention on cost measures</w:t>
      </w: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1794"/>
        <w:gridCol w:w="1196"/>
        <w:gridCol w:w="1196"/>
        <w:gridCol w:w="1196"/>
        <w:gridCol w:w="1196"/>
        <w:gridCol w:w="2442"/>
      </w:tblGrid>
      <w:tr w:rsidR="004A5358" w:rsidRPr="00D66787" w:rsidTr="001306DF">
        <w:trPr>
          <w:trHeight w:val="285"/>
          <w:jc w:val="center"/>
        </w:trPr>
        <w:tc>
          <w:tcPr>
            <w:tcW w:w="17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Difference-in-Differences</w:t>
            </w:r>
          </w:p>
        </w:tc>
      </w:tr>
      <w:tr w:rsidR="004A5358" w:rsidRPr="00D66787" w:rsidTr="001306DF">
        <w:trPr>
          <w:trHeight w:val="285"/>
          <w:jc w:val="center"/>
        </w:trPr>
        <w:tc>
          <w:tcPr>
            <w:tcW w:w="17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Post</w:t>
            </w: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cost of care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0.913*** [0.882, 0.945]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1233.7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-34.9 [-117.5, 47.6]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0.914* [0.840, 0.995]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28715.4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16393.8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31872.0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17115.5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-2434.9 [-6293.9, 1424.0]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0.900*** [0.874, 0.928]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583.1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 [-31.0, 51.1]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0.931*** [0.906, 0.958]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460.0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488.2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411.3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 [-8.6, 20.7]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2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0.960* [0.930, 0.991]</w:t>
            </w:r>
          </w:p>
        </w:tc>
      </w:tr>
      <w:tr w:rsidR="004A5358" w:rsidRPr="00D66787" w:rsidTr="001306DF">
        <w:trPr>
          <w:trHeight w:val="275"/>
          <w:jc w:val="center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Model: Part II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246.2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4A5358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283.8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358" w:rsidRPr="00D66787" w:rsidRDefault="001F1677" w:rsidP="004A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-18.3</w:t>
            </w:r>
            <w:r w:rsidR="004A5358"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[-46.6, 10.1]</w:t>
            </w:r>
          </w:p>
        </w:tc>
      </w:tr>
    </w:tbl>
    <w:p w:rsidR="00827FC3" w:rsidRPr="00D66787" w:rsidRDefault="00525AA2" w:rsidP="004A5358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66787">
        <w:rPr>
          <w:rFonts w:ascii="Times New Roman" w:hAnsi="Times New Roman" w:cs="Times New Roman"/>
          <w:iCs/>
          <w:sz w:val="18"/>
          <w:szCs w:val="18"/>
        </w:rPr>
        <w:t xml:space="preserve">Part I models the probability of observing non-zero costs while part II models the level of costs for those that incur non-zero costs. Difference-in-differences estimates for part I represent odds ratios while for part II represent mean marginal monthly cost per person. The value of N, which represents the # of person-months during the study window, for part I is </w:t>
      </w:r>
      <w:r w:rsidR="00925769" w:rsidRPr="00D66787">
        <w:rPr>
          <w:rFonts w:ascii="Times New Roman" w:hAnsi="Times New Roman" w:cs="Times New Roman"/>
          <w:sz w:val="18"/>
          <w:szCs w:val="18"/>
        </w:rPr>
        <w:t>2</w:t>
      </w:r>
      <w:r w:rsidR="00435597" w:rsidRPr="00D66787">
        <w:rPr>
          <w:rFonts w:ascii="Times New Roman" w:hAnsi="Times New Roman" w:cs="Times New Roman"/>
          <w:sz w:val="18"/>
          <w:szCs w:val="18"/>
        </w:rPr>
        <w:t>,</w:t>
      </w:r>
      <w:r w:rsidR="00925769" w:rsidRPr="00D66787">
        <w:rPr>
          <w:rFonts w:ascii="Times New Roman" w:hAnsi="Times New Roman" w:cs="Times New Roman"/>
          <w:sz w:val="18"/>
          <w:szCs w:val="18"/>
        </w:rPr>
        <w:t>004</w:t>
      </w:r>
      <w:r w:rsidR="00435597" w:rsidRPr="00D66787">
        <w:rPr>
          <w:rFonts w:ascii="Times New Roman" w:hAnsi="Times New Roman" w:cs="Times New Roman"/>
          <w:sz w:val="18"/>
          <w:szCs w:val="18"/>
        </w:rPr>
        <w:t>,</w:t>
      </w:r>
      <w:r w:rsidR="00925769" w:rsidRPr="00D66787">
        <w:rPr>
          <w:rFonts w:ascii="Times New Roman" w:hAnsi="Times New Roman" w:cs="Times New Roman"/>
          <w:sz w:val="18"/>
          <w:szCs w:val="18"/>
        </w:rPr>
        <w:t>356</w:t>
      </w:r>
      <w:r w:rsidRPr="00D66787">
        <w:rPr>
          <w:rFonts w:ascii="Times New Roman" w:hAnsi="Times New Roman" w:cs="Times New Roman"/>
          <w:iCs/>
          <w:sz w:val="18"/>
          <w:szCs w:val="18"/>
        </w:rPr>
        <w:t xml:space="preserve"> and for part II, averages </w:t>
      </w:r>
      <w:r w:rsidR="00925769" w:rsidRPr="00D66787">
        <w:rPr>
          <w:rFonts w:ascii="Times New Roman" w:hAnsi="Times New Roman" w:cs="Times New Roman"/>
          <w:iCs/>
          <w:sz w:val="18"/>
          <w:szCs w:val="18"/>
        </w:rPr>
        <w:t>868,379</w:t>
      </w:r>
      <w:r w:rsidRPr="00D66787">
        <w:rPr>
          <w:rFonts w:ascii="Times New Roman" w:hAnsi="Times New Roman" w:cs="Times New Roman"/>
          <w:iCs/>
          <w:sz w:val="18"/>
          <w:szCs w:val="18"/>
        </w:rPr>
        <w:t xml:space="preserve"> across the five cost measures considered</w:t>
      </w:r>
      <w:r w:rsidR="00925769" w:rsidRPr="00D66787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431FAB">
        <w:rPr>
          <w:rFonts w:ascii="Times New Roman" w:hAnsi="Times New Roman" w:cs="Times New Roman"/>
          <w:iCs/>
          <w:sz w:val="18"/>
          <w:szCs w:val="18"/>
        </w:rPr>
        <w:t>IBH = Integrated Behavioral Health.</w:t>
      </w:r>
    </w:p>
    <w:p w:rsidR="00827FC3" w:rsidRPr="00D66787" w:rsidRDefault="00827FC3" w:rsidP="004A5358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827FC3" w:rsidRPr="00D66787" w:rsidRDefault="00827FC3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>***p&lt;0.001</w:t>
      </w:r>
    </w:p>
    <w:p w:rsidR="00827FC3" w:rsidRPr="00D66787" w:rsidRDefault="00827FC3" w:rsidP="004A53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 xml:space="preserve"> **p&lt;0.01</w:t>
      </w:r>
    </w:p>
    <w:p w:rsidR="004A5358" w:rsidRPr="00D66787" w:rsidRDefault="004A5358" w:rsidP="004A5358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>*p&lt;0.05</w:t>
      </w:r>
    </w:p>
    <w:p w:rsidR="000D6ECF" w:rsidRPr="00D66787" w:rsidRDefault="000D6ECF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0C7" w:rsidRDefault="00BC40C7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1FAB" w:rsidRDefault="00431FAB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1FAB" w:rsidRPr="00D66787" w:rsidRDefault="00431FAB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0C7" w:rsidRPr="00D66787" w:rsidRDefault="00BC40C7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0C7" w:rsidRPr="00D66787" w:rsidRDefault="00BC40C7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59DD" w:rsidRPr="00D66787" w:rsidRDefault="00D559DD" w:rsidP="00F9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787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8D62D2" w:rsidRPr="00D66787">
        <w:rPr>
          <w:rFonts w:ascii="Times New Roman" w:hAnsi="Times New Roman" w:cs="Times New Roman"/>
          <w:b/>
          <w:sz w:val="24"/>
          <w:szCs w:val="24"/>
        </w:rPr>
        <w:t>Identifying Outcome Measures in the Claims Database</w:t>
      </w:r>
    </w:p>
    <w:p w:rsidR="009C5AEA" w:rsidRPr="00D66787" w:rsidRDefault="007A3819" w:rsidP="008D62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Outpatient visit rates and costs</w:t>
      </w:r>
    </w:p>
    <w:p w:rsidR="009C5AEA" w:rsidRPr="00D66787" w:rsidRDefault="007A3819" w:rsidP="008D62D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CPT Codes: 99201 – 99205, 99211 - 99215</w:t>
      </w:r>
    </w:p>
    <w:p w:rsidR="009C5AEA" w:rsidRPr="00D66787" w:rsidRDefault="007A3819" w:rsidP="008D62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ED visit rates and costs</w:t>
      </w:r>
    </w:p>
    <w:p w:rsidR="009C5AEA" w:rsidRPr="00D66787" w:rsidRDefault="007A3819" w:rsidP="008D62D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CPT Codes: 99281 – 99285, 99288, 99289</w:t>
      </w:r>
    </w:p>
    <w:p w:rsidR="009C5AEA" w:rsidRPr="00D66787" w:rsidRDefault="007A3819" w:rsidP="008D62D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Revenue center codes: 0451-0459</w:t>
      </w:r>
    </w:p>
    <w:p w:rsidR="009C5AEA" w:rsidRPr="00D66787" w:rsidRDefault="007A3819" w:rsidP="008D62D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 xml:space="preserve">Place of service: emergency room </w:t>
      </w:r>
    </w:p>
    <w:p w:rsidR="009C5AEA" w:rsidRPr="00D66787" w:rsidRDefault="007A3819" w:rsidP="008D62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Hospitalization rates and costs</w:t>
      </w:r>
    </w:p>
    <w:p w:rsidR="009C5AEA" w:rsidRPr="00D66787" w:rsidRDefault="007A3819" w:rsidP="008D62D2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787">
        <w:rPr>
          <w:rFonts w:ascii="Times New Roman" w:hAnsi="Times New Roman" w:cs="Times New Roman"/>
          <w:sz w:val="20"/>
          <w:szCs w:val="20"/>
        </w:rPr>
        <w:t>Unique discharge IDs for each hospitalization</w:t>
      </w:r>
    </w:p>
    <w:p w:rsidR="00DF32FD" w:rsidRPr="00D66787" w:rsidRDefault="00DF32FD" w:rsidP="00F9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D34" w:rsidRPr="00D66787" w:rsidRDefault="00D559DD" w:rsidP="00EA6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787">
        <w:rPr>
          <w:rFonts w:ascii="Times New Roman" w:hAnsi="Times New Roman" w:cs="Times New Roman"/>
          <w:b/>
          <w:sz w:val="24"/>
          <w:szCs w:val="24"/>
        </w:rPr>
        <w:t>E</w:t>
      </w:r>
      <w:r w:rsidR="002A0D11" w:rsidRPr="00D66787">
        <w:rPr>
          <w:rFonts w:ascii="Times New Roman" w:hAnsi="Times New Roman" w:cs="Times New Roman"/>
          <w:b/>
          <w:sz w:val="24"/>
          <w:szCs w:val="24"/>
        </w:rPr>
        <w:t>. Cost Categories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3487"/>
        <w:gridCol w:w="1226"/>
        <w:gridCol w:w="1414"/>
        <w:gridCol w:w="1628"/>
        <w:gridCol w:w="1318"/>
      </w:tblGrid>
      <w:tr w:rsidR="00876122" w:rsidRPr="00D66787" w:rsidTr="00876122">
        <w:trPr>
          <w:trHeight w:val="301"/>
        </w:trPr>
        <w:tc>
          <w:tcPr>
            <w:tcW w:w="34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122" w:rsidRPr="00D66787" w:rsidRDefault="00876122" w:rsidP="00EA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What is </w:t>
            </w:r>
            <w:r w:rsidR="00EA6D34"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ncluded? ↓</w:t>
            </w:r>
          </w:p>
        </w:tc>
        <w:tc>
          <w:tcPr>
            <w:tcW w:w="558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Cost Measures</w:t>
            </w:r>
          </w:p>
        </w:tc>
      </w:tr>
      <w:tr w:rsidR="00876122" w:rsidRPr="00D66787" w:rsidTr="00876122">
        <w:trPr>
          <w:trHeight w:val="301"/>
        </w:trPr>
        <w:tc>
          <w:tcPr>
            <w:tcW w:w="3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Inpatient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Outpatient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Pharmacy</w:t>
            </w: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-Acute </w:t>
            </w: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Hospital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-ICF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-Other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-Residential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-SNF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</w:t>
            </w:r>
            <w:proofErr w:type="spellEnd"/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-Swing Beds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Ambulance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DME/Prosthetics/Supplies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Lab/Pathology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Radiology Services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Visits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Preventive Visits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Administered Drugs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Administration of Drugs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Anesthesia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Pathology/Lab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Radiology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122" w:rsidRPr="00D66787" w:rsidTr="00876122">
        <w:trPr>
          <w:trHeight w:val="291"/>
        </w:trPr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6122" w:rsidRPr="00D66787" w:rsidTr="00876122">
        <w:trPr>
          <w:trHeight w:val="291"/>
        </w:trPr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Prescription Drugs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22" w:rsidRPr="00D66787" w:rsidRDefault="00876122" w:rsidP="008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D559DD" w:rsidRPr="00D66787" w:rsidRDefault="006C1B6B" w:rsidP="00F904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6787">
        <w:rPr>
          <w:rFonts w:ascii="Times New Roman" w:hAnsi="Times New Roman" w:cs="Times New Roman"/>
          <w:sz w:val="18"/>
          <w:szCs w:val="18"/>
        </w:rPr>
        <w:t xml:space="preserve">Table presents the </w:t>
      </w:r>
      <w:r w:rsidR="00C20514" w:rsidRPr="00D66787">
        <w:rPr>
          <w:rFonts w:ascii="Times New Roman" w:hAnsi="Times New Roman" w:cs="Times New Roman"/>
          <w:sz w:val="18"/>
          <w:szCs w:val="18"/>
        </w:rPr>
        <w:t>breakdown of</w:t>
      </w:r>
      <w:r w:rsidRPr="00D66787">
        <w:rPr>
          <w:rFonts w:ascii="Times New Roman" w:hAnsi="Times New Roman" w:cs="Times New Roman"/>
          <w:sz w:val="18"/>
          <w:szCs w:val="18"/>
        </w:rPr>
        <w:t xml:space="preserve"> the </w:t>
      </w:r>
      <w:r w:rsidR="00C20514" w:rsidRPr="00D66787">
        <w:rPr>
          <w:rFonts w:ascii="Times New Roman" w:hAnsi="Times New Roman" w:cs="Times New Roman"/>
          <w:sz w:val="18"/>
          <w:szCs w:val="18"/>
        </w:rPr>
        <w:t>five cost categories</w:t>
      </w:r>
      <w:r w:rsidRPr="00D66787">
        <w:rPr>
          <w:rFonts w:ascii="Times New Roman" w:hAnsi="Times New Roman" w:cs="Times New Roman"/>
          <w:sz w:val="18"/>
          <w:szCs w:val="18"/>
        </w:rPr>
        <w:t xml:space="preserve">.  An X indicates whether or not a particular sub-category is applicable for a given cost category. </w:t>
      </w:r>
      <w:proofErr w:type="spellStart"/>
      <w:proofErr w:type="gramStart"/>
      <w:r w:rsidRPr="00D66787">
        <w:rPr>
          <w:rFonts w:ascii="Times New Roman" w:hAnsi="Times New Roman" w:cs="Times New Roman"/>
          <w:sz w:val="18"/>
          <w:szCs w:val="18"/>
        </w:rPr>
        <w:t>Inp</w:t>
      </w:r>
      <w:proofErr w:type="spellEnd"/>
      <w:proofErr w:type="gramEnd"/>
      <w:r w:rsidRPr="00D66787">
        <w:rPr>
          <w:rFonts w:ascii="Times New Roman" w:hAnsi="Times New Roman" w:cs="Times New Roman"/>
          <w:sz w:val="18"/>
          <w:szCs w:val="18"/>
        </w:rPr>
        <w:t xml:space="preserve"> = Inpatient; ICF= intermediate care facility; SNF = Skilled Nursing Facility; and DME=Durable Medical Equipment.</w:t>
      </w:r>
      <w:r w:rsidR="00F20CC1" w:rsidRPr="00D66787">
        <w:rPr>
          <w:rFonts w:ascii="Times New Roman" w:hAnsi="Times New Roman" w:cs="Times New Roman"/>
          <w:sz w:val="18"/>
          <w:szCs w:val="18"/>
        </w:rPr>
        <w:t xml:space="preserve"> The total cost category, not shown here, is the sum of the four cost categories (i.e., inpatient, outpatient, professional and pharmacy)</w:t>
      </w:r>
      <w:r w:rsidR="00B616E1" w:rsidRPr="00D66787">
        <w:rPr>
          <w:rFonts w:ascii="Times New Roman" w:hAnsi="Times New Roman" w:cs="Times New Roman"/>
          <w:sz w:val="18"/>
          <w:szCs w:val="18"/>
        </w:rPr>
        <w:t>.</w:t>
      </w:r>
    </w:p>
    <w:sectPr w:rsidR="00D559DD" w:rsidRPr="00D66787" w:rsidSect="006F24A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22" w:rsidRDefault="00013322" w:rsidP="00444E9B">
      <w:pPr>
        <w:spacing w:after="0" w:line="240" w:lineRule="auto"/>
      </w:pPr>
      <w:r>
        <w:separator/>
      </w:r>
    </w:p>
  </w:endnote>
  <w:endnote w:type="continuationSeparator" w:id="0">
    <w:p w:rsidR="00013322" w:rsidRDefault="00013322" w:rsidP="0044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446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2538" w:rsidRPr="006F24A0" w:rsidRDefault="00512538">
        <w:pPr>
          <w:pStyle w:val="Footer"/>
          <w:jc w:val="right"/>
          <w:rPr>
            <w:sz w:val="20"/>
            <w:szCs w:val="20"/>
          </w:rPr>
        </w:pPr>
        <w:r w:rsidRPr="006F24A0">
          <w:rPr>
            <w:sz w:val="20"/>
            <w:szCs w:val="20"/>
          </w:rPr>
          <w:fldChar w:fldCharType="begin"/>
        </w:r>
        <w:r w:rsidRPr="006F24A0">
          <w:rPr>
            <w:sz w:val="20"/>
            <w:szCs w:val="20"/>
          </w:rPr>
          <w:instrText xml:space="preserve"> PAGE   \* MERGEFORMAT </w:instrText>
        </w:r>
        <w:r w:rsidRPr="006F24A0">
          <w:rPr>
            <w:sz w:val="20"/>
            <w:szCs w:val="20"/>
          </w:rPr>
          <w:fldChar w:fldCharType="separate"/>
        </w:r>
        <w:r w:rsidR="00F90821">
          <w:rPr>
            <w:noProof/>
            <w:sz w:val="20"/>
            <w:szCs w:val="20"/>
          </w:rPr>
          <w:t>6</w:t>
        </w:r>
        <w:r w:rsidRPr="006F24A0">
          <w:rPr>
            <w:noProof/>
            <w:sz w:val="20"/>
            <w:szCs w:val="20"/>
          </w:rPr>
          <w:fldChar w:fldCharType="end"/>
        </w:r>
      </w:p>
    </w:sdtContent>
  </w:sdt>
  <w:p w:rsidR="00512538" w:rsidRDefault="0051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22" w:rsidRDefault="00013322" w:rsidP="00444E9B">
      <w:pPr>
        <w:spacing w:after="0" w:line="240" w:lineRule="auto"/>
      </w:pPr>
      <w:r>
        <w:separator/>
      </w:r>
    </w:p>
  </w:footnote>
  <w:footnote w:type="continuationSeparator" w:id="0">
    <w:p w:rsidR="00013322" w:rsidRDefault="00013322" w:rsidP="0044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F3"/>
    <w:multiLevelType w:val="hybridMultilevel"/>
    <w:tmpl w:val="E2CA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536E"/>
    <w:multiLevelType w:val="hybridMultilevel"/>
    <w:tmpl w:val="CD3C049C"/>
    <w:lvl w:ilvl="0" w:tplc="17CC6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4B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C9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4B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1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05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26BA"/>
    <w:multiLevelType w:val="multilevel"/>
    <w:tmpl w:val="C8FAC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7A2148"/>
    <w:multiLevelType w:val="hybridMultilevel"/>
    <w:tmpl w:val="20C45854"/>
    <w:lvl w:ilvl="0" w:tplc="17CC6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ECB2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B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C9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4B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1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05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13F"/>
    <w:multiLevelType w:val="hybridMultilevel"/>
    <w:tmpl w:val="9B6E390C"/>
    <w:lvl w:ilvl="0" w:tplc="17CC6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4B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C9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4B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1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05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3515"/>
    <w:multiLevelType w:val="hybridMultilevel"/>
    <w:tmpl w:val="3D347B5C"/>
    <w:lvl w:ilvl="0" w:tplc="17CC6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4B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C9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4B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A18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05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48"/>
    <w:rsid w:val="00013322"/>
    <w:rsid w:val="000134F2"/>
    <w:rsid w:val="00070780"/>
    <w:rsid w:val="000713B3"/>
    <w:rsid w:val="000A79F2"/>
    <w:rsid w:val="000D6ECF"/>
    <w:rsid w:val="000F5EFD"/>
    <w:rsid w:val="00114F3D"/>
    <w:rsid w:val="0011652A"/>
    <w:rsid w:val="001306DF"/>
    <w:rsid w:val="001534A9"/>
    <w:rsid w:val="001715C9"/>
    <w:rsid w:val="00192F53"/>
    <w:rsid w:val="001D1564"/>
    <w:rsid w:val="001D1E04"/>
    <w:rsid w:val="001F1677"/>
    <w:rsid w:val="001F177E"/>
    <w:rsid w:val="00203015"/>
    <w:rsid w:val="00217297"/>
    <w:rsid w:val="00232E1A"/>
    <w:rsid w:val="002401E2"/>
    <w:rsid w:val="00240205"/>
    <w:rsid w:val="00283056"/>
    <w:rsid w:val="002869DB"/>
    <w:rsid w:val="00296198"/>
    <w:rsid w:val="002A0D11"/>
    <w:rsid w:val="002B2FE2"/>
    <w:rsid w:val="00304E4C"/>
    <w:rsid w:val="00322BBF"/>
    <w:rsid w:val="00351656"/>
    <w:rsid w:val="00360302"/>
    <w:rsid w:val="00385588"/>
    <w:rsid w:val="003D5EE6"/>
    <w:rsid w:val="004221B1"/>
    <w:rsid w:val="00424E8D"/>
    <w:rsid w:val="00431FAB"/>
    <w:rsid w:val="00435597"/>
    <w:rsid w:val="004356D9"/>
    <w:rsid w:val="00444E9B"/>
    <w:rsid w:val="00460C34"/>
    <w:rsid w:val="00462EFC"/>
    <w:rsid w:val="004A48DE"/>
    <w:rsid w:val="004A5358"/>
    <w:rsid w:val="004C7817"/>
    <w:rsid w:val="004E62E5"/>
    <w:rsid w:val="005071B3"/>
    <w:rsid w:val="00512538"/>
    <w:rsid w:val="00525AA2"/>
    <w:rsid w:val="00555722"/>
    <w:rsid w:val="0059257B"/>
    <w:rsid w:val="005974AC"/>
    <w:rsid w:val="00640F64"/>
    <w:rsid w:val="00641C5F"/>
    <w:rsid w:val="006530A3"/>
    <w:rsid w:val="006835E1"/>
    <w:rsid w:val="006C1B6B"/>
    <w:rsid w:val="006F24A0"/>
    <w:rsid w:val="006F37F0"/>
    <w:rsid w:val="0070285C"/>
    <w:rsid w:val="00710216"/>
    <w:rsid w:val="00777A44"/>
    <w:rsid w:val="0079703F"/>
    <w:rsid w:val="007A3819"/>
    <w:rsid w:val="007C5ACA"/>
    <w:rsid w:val="007E02DD"/>
    <w:rsid w:val="007F72EA"/>
    <w:rsid w:val="00811954"/>
    <w:rsid w:val="00827FC3"/>
    <w:rsid w:val="00876122"/>
    <w:rsid w:val="008A7E3E"/>
    <w:rsid w:val="008D1A86"/>
    <w:rsid w:val="008D62D2"/>
    <w:rsid w:val="0092259C"/>
    <w:rsid w:val="009233A2"/>
    <w:rsid w:val="00925769"/>
    <w:rsid w:val="00940857"/>
    <w:rsid w:val="00985161"/>
    <w:rsid w:val="009966CC"/>
    <w:rsid w:val="009C5AEA"/>
    <w:rsid w:val="009D5F3B"/>
    <w:rsid w:val="00A06D75"/>
    <w:rsid w:val="00AA6134"/>
    <w:rsid w:val="00AE7B71"/>
    <w:rsid w:val="00B45914"/>
    <w:rsid w:val="00B52E98"/>
    <w:rsid w:val="00B616E1"/>
    <w:rsid w:val="00B632E7"/>
    <w:rsid w:val="00B65F4A"/>
    <w:rsid w:val="00B72734"/>
    <w:rsid w:val="00B83DE5"/>
    <w:rsid w:val="00BB7352"/>
    <w:rsid w:val="00BC40C7"/>
    <w:rsid w:val="00BC6B0F"/>
    <w:rsid w:val="00C03432"/>
    <w:rsid w:val="00C03B55"/>
    <w:rsid w:val="00C11B54"/>
    <w:rsid w:val="00C20514"/>
    <w:rsid w:val="00C214FF"/>
    <w:rsid w:val="00C33128"/>
    <w:rsid w:val="00C45F2D"/>
    <w:rsid w:val="00C46513"/>
    <w:rsid w:val="00C572B3"/>
    <w:rsid w:val="00C65861"/>
    <w:rsid w:val="00C701E4"/>
    <w:rsid w:val="00C82504"/>
    <w:rsid w:val="00CD450E"/>
    <w:rsid w:val="00CD47B4"/>
    <w:rsid w:val="00CE7B94"/>
    <w:rsid w:val="00CF56F2"/>
    <w:rsid w:val="00D2543B"/>
    <w:rsid w:val="00D4161C"/>
    <w:rsid w:val="00D559DD"/>
    <w:rsid w:val="00D57EF7"/>
    <w:rsid w:val="00D66787"/>
    <w:rsid w:val="00D866A9"/>
    <w:rsid w:val="00DF32FD"/>
    <w:rsid w:val="00E76AB3"/>
    <w:rsid w:val="00E83B79"/>
    <w:rsid w:val="00E919BC"/>
    <w:rsid w:val="00EA6D34"/>
    <w:rsid w:val="00EC6045"/>
    <w:rsid w:val="00EF4DD6"/>
    <w:rsid w:val="00F20CC1"/>
    <w:rsid w:val="00F90448"/>
    <w:rsid w:val="00F90821"/>
    <w:rsid w:val="00F96CE5"/>
    <w:rsid w:val="00FC6344"/>
    <w:rsid w:val="00FD0F6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C232"/>
  <w15:chartTrackingRefBased/>
  <w15:docId w15:val="{4D84BA0A-2431-4DAB-B622-168E407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9B"/>
  </w:style>
  <w:style w:type="paragraph" w:styleId="Footer">
    <w:name w:val="footer"/>
    <w:basedOn w:val="Normal"/>
    <w:link w:val="FooterChar"/>
    <w:uiPriority w:val="99"/>
    <w:unhideWhenUsed/>
    <w:rsid w:val="0044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9B"/>
  </w:style>
  <w:style w:type="paragraph" w:styleId="EndnoteText">
    <w:name w:val="endnote text"/>
    <w:basedOn w:val="Normal"/>
    <w:link w:val="EndnoteTextChar"/>
    <w:uiPriority w:val="99"/>
    <w:semiHidden/>
    <w:unhideWhenUsed/>
    <w:rsid w:val="004A53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35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1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15C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715C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715C9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715C9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7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0883-260D-4389-BD0E-C89198BC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Thapa</dc:creator>
  <cp:keywords/>
  <dc:description/>
  <cp:lastModifiedBy>Thapa, Bishnu</cp:lastModifiedBy>
  <cp:revision>17</cp:revision>
  <dcterms:created xsi:type="dcterms:W3CDTF">2021-02-10T03:18:00Z</dcterms:created>
  <dcterms:modified xsi:type="dcterms:W3CDTF">2021-02-15T23:23:00Z</dcterms:modified>
</cp:coreProperties>
</file>