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47B" w:rsidRDefault="00AD57DA"/>
    <w:p w:rsidR="00AD57DA" w:rsidRDefault="00AD57DA" w:rsidP="00AD57DA">
      <w:pPr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Table 2a.</w:t>
      </w:r>
      <w:r w:rsidRPr="009621B8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Supplemental</w:t>
      </w:r>
      <w:r w:rsidRPr="00555461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digital content. A</w:t>
      </w:r>
      <w:r w:rsidRPr="00555461">
        <w:rPr>
          <w:rFonts w:ascii="Calibri" w:hAnsi="Calibri" w:cs="Calibri"/>
          <w:b/>
          <w:bCs/>
          <w:color w:val="000000"/>
          <w:sz w:val="22"/>
          <w:szCs w:val="22"/>
        </w:rPr>
        <w:t>bsolute CVD event rates and hazard ratio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s for events through end of the main study (2005)</w:t>
      </w:r>
      <w:r w:rsidRPr="00555461">
        <w:rPr>
          <w:rFonts w:ascii="Calibri" w:hAnsi="Calibri" w:cs="Calibri"/>
          <w:b/>
          <w:bCs/>
          <w:color w:val="000000"/>
          <w:sz w:val="22"/>
          <w:szCs w:val="22"/>
        </w:rPr>
        <w:t xml:space="preserve"> by quintile of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three </w:t>
      </w:r>
      <w:r w:rsidRPr="00555461">
        <w:rPr>
          <w:rFonts w:ascii="Calibri" w:hAnsi="Calibri" w:cs="Calibri"/>
          <w:b/>
          <w:bCs/>
          <w:color w:val="000000"/>
          <w:sz w:val="22"/>
          <w:szCs w:val="22"/>
        </w:rPr>
        <w:t>CVD risk scores, age and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,</w:t>
      </w:r>
      <w:r w:rsidRPr="00555461">
        <w:rPr>
          <w:rFonts w:ascii="Calibri" w:hAnsi="Calibri" w:cs="Calibri"/>
          <w:b/>
          <w:bCs/>
          <w:color w:val="000000"/>
          <w:sz w:val="22"/>
          <w:szCs w:val="22"/>
        </w:rPr>
        <w:t xml:space="preserve"> years since menopause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Pr="002B1CC3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3C02FF">
        <w:rPr>
          <w:rFonts w:ascii="Calibri" w:hAnsi="Calibri" w:cs="Calibri"/>
          <w:b/>
          <w:bCs/>
          <w:color w:val="000000"/>
          <w:sz w:val="22"/>
          <w:szCs w:val="22"/>
        </w:rPr>
        <w:t xml:space="preserve">Sensitivity Analysis, </w:t>
      </w:r>
      <w:r w:rsidRPr="001C3C3D">
        <w:rPr>
          <w:rFonts w:ascii="Calibri" w:hAnsi="Calibri" w:cs="Calibri"/>
          <w:b/>
          <w:bCs/>
          <w:color w:val="000000"/>
          <w:sz w:val="22"/>
          <w:szCs w:val="22"/>
        </w:rPr>
        <w:t>excluding 872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women with </w:t>
      </w:r>
      <w:r w:rsidRPr="003C02FF">
        <w:rPr>
          <w:rFonts w:ascii="Calibri" w:hAnsi="Calibri" w:cs="Calibri"/>
          <w:b/>
          <w:bCs/>
          <w:color w:val="000000"/>
          <w:sz w:val="22"/>
          <w:szCs w:val="22"/>
        </w:rPr>
        <w:t>history of CVD (MI or Stroke)</w:t>
      </w:r>
    </w:p>
    <w:p w:rsidR="00AD57DA" w:rsidRPr="00555461" w:rsidRDefault="00AD57DA" w:rsidP="00AD57DA">
      <w:pPr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tbl>
      <w:tblPr>
        <w:tblW w:w="10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1469"/>
        <w:gridCol w:w="1710"/>
        <w:gridCol w:w="1710"/>
        <w:gridCol w:w="1710"/>
        <w:gridCol w:w="1771"/>
      </w:tblGrid>
      <w:tr w:rsidR="00AD57DA" w:rsidRPr="00555461" w:rsidTr="009724CE">
        <w:trPr>
          <w:cantSplit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733643" w:rsidRDefault="00AD57DA" w:rsidP="009724CE">
            <w:pPr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733643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Quintile 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733643" w:rsidRDefault="00AD57DA" w:rsidP="009724CE">
            <w:pPr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733643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Quintile 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733643" w:rsidRDefault="00AD57DA" w:rsidP="009724CE">
            <w:pPr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733643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Quintile 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733643" w:rsidRDefault="00AD57DA" w:rsidP="009724CE">
            <w:pPr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733643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Quintile 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733643" w:rsidRDefault="00AD57DA" w:rsidP="009724CE">
            <w:pPr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733643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Quintile 5</w:t>
            </w:r>
          </w:p>
        </w:tc>
      </w:tr>
      <w:tr w:rsidR="00AD57DA" w:rsidRPr="00555461" w:rsidTr="009724CE">
        <w:trPr>
          <w:cantSplit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E98">
              <w:rPr>
                <w:rFonts w:ascii="Calibri" w:hAnsi="Calibri" w:cs="Calibri"/>
                <w:color w:val="000000"/>
                <w:sz w:val="22"/>
                <w:szCs w:val="22"/>
              </w:rPr>
              <w:t>Framingham (BMI)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57DA" w:rsidRPr="00555461" w:rsidTr="009724CE">
        <w:trPr>
          <w:cantSplit/>
        </w:trPr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461">
              <w:rPr>
                <w:rFonts w:ascii="Calibri" w:hAnsi="Calibri" w:cs="Calibri"/>
                <w:color w:val="000000"/>
                <w:sz w:val="22"/>
                <w:szCs w:val="22"/>
              </w:rPr>
              <w:t>Quintile range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461">
              <w:rPr>
                <w:rFonts w:ascii="Calibri" w:hAnsi="Calibri" w:cs="Calibri"/>
                <w:color w:val="000000"/>
                <w:sz w:val="22"/>
                <w:szCs w:val="22"/>
              </w:rPr>
              <w:t>5-9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461">
              <w:rPr>
                <w:rFonts w:ascii="Calibri" w:hAnsi="Calibri" w:cs="Calibri"/>
                <w:color w:val="000000"/>
                <w:sz w:val="22"/>
                <w:szCs w:val="22"/>
              </w:rPr>
              <w:t>10-12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461">
              <w:rPr>
                <w:rFonts w:ascii="Calibri" w:hAnsi="Calibri" w:cs="Calibri"/>
                <w:color w:val="000000"/>
                <w:sz w:val="22"/>
                <w:szCs w:val="22"/>
              </w:rPr>
              <w:t>13-15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461">
              <w:rPr>
                <w:rFonts w:ascii="Calibri" w:hAnsi="Calibri" w:cs="Calibri"/>
                <w:color w:val="000000"/>
                <w:sz w:val="22"/>
                <w:szCs w:val="22"/>
              </w:rPr>
              <w:t>16-17</w:t>
            </w: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461">
              <w:rPr>
                <w:rFonts w:ascii="Calibri" w:hAnsi="Calibri" w:cs="Calibri"/>
                <w:color w:val="000000"/>
                <w:sz w:val="22"/>
                <w:szCs w:val="22"/>
              </w:rPr>
              <w:t>18-33</w:t>
            </w:r>
          </w:p>
        </w:tc>
      </w:tr>
      <w:tr w:rsidR="00AD57DA" w:rsidRPr="00555461" w:rsidTr="009724CE">
        <w:trPr>
          <w:cantSplit/>
        </w:trPr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461">
              <w:rPr>
                <w:rFonts w:ascii="Calibri" w:hAnsi="Calibri" w:cs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461">
              <w:rPr>
                <w:rFonts w:ascii="Calibri" w:hAnsi="Calibri" w:cs="Calibri"/>
                <w:color w:val="000000"/>
                <w:sz w:val="22"/>
                <w:szCs w:val="22"/>
              </w:rPr>
              <w:t>4,806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461">
              <w:rPr>
                <w:rFonts w:ascii="Calibri" w:hAnsi="Calibri" w:cs="Calibri"/>
                <w:color w:val="000000"/>
                <w:sz w:val="22"/>
                <w:szCs w:val="22"/>
              </w:rPr>
              <w:t>5,554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461">
              <w:rPr>
                <w:rFonts w:ascii="Calibri" w:hAnsi="Calibri" w:cs="Calibri"/>
                <w:color w:val="000000"/>
                <w:sz w:val="22"/>
                <w:szCs w:val="22"/>
              </w:rPr>
              <w:t>6,463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461">
              <w:rPr>
                <w:rFonts w:ascii="Calibri" w:hAnsi="Calibri" w:cs="Calibri"/>
                <w:color w:val="000000"/>
                <w:sz w:val="22"/>
                <w:szCs w:val="22"/>
              </w:rPr>
              <w:t>3,609</w:t>
            </w: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461">
              <w:rPr>
                <w:rFonts w:ascii="Calibri" w:hAnsi="Calibri" w:cs="Calibri"/>
                <w:color w:val="000000"/>
                <w:sz w:val="22"/>
                <w:szCs w:val="22"/>
              </w:rPr>
              <w:t>5,469</w:t>
            </w:r>
          </w:p>
        </w:tc>
      </w:tr>
      <w:tr w:rsidR="00AD57DA" w:rsidRPr="00555461" w:rsidTr="009724CE">
        <w:trPr>
          <w:cantSplit/>
        </w:trPr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461">
              <w:rPr>
                <w:rFonts w:ascii="Calibri" w:hAnsi="Calibri" w:cs="Calibri"/>
                <w:color w:val="000000"/>
                <w:sz w:val="22"/>
                <w:szCs w:val="22"/>
              </w:rPr>
              <w:t>Event (rate)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461">
              <w:rPr>
                <w:rFonts w:ascii="Calibri" w:hAnsi="Calibri" w:cs="Calibri"/>
                <w:color w:val="000000"/>
                <w:sz w:val="22"/>
                <w:szCs w:val="22"/>
              </w:rPr>
              <w:t>78 (1.9)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461">
              <w:rPr>
                <w:rFonts w:ascii="Calibri" w:hAnsi="Calibri" w:cs="Calibri"/>
                <w:color w:val="000000"/>
                <w:sz w:val="22"/>
                <w:szCs w:val="22"/>
              </w:rPr>
              <w:t>168 (3.7)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461">
              <w:rPr>
                <w:rFonts w:ascii="Calibri" w:hAnsi="Calibri" w:cs="Calibri"/>
                <w:color w:val="000000"/>
                <w:sz w:val="22"/>
                <w:szCs w:val="22"/>
              </w:rPr>
              <w:t>362 (7.0)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461">
              <w:rPr>
                <w:rFonts w:ascii="Calibri" w:hAnsi="Calibri" w:cs="Calibri"/>
                <w:color w:val="000000"/>
                <w:sz w:val="22"/>
                <w:szCs w:val="22"/>
              </w:rPr>
              <w:t>265 (9.3)</w:t>
            </w: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461">
              <w:rPr>
                <w:rFonts w:ascii="Calibri" w:hAnsi="Calibri" w:cs="Calibri"/>
                <w:color w:val="000000"/>
                <w:sz w:val="22"/>
                <w:szCs w:val="22"/>
              </w:rPr>
              <w:t>750 (18.4)</w:t>
            </w:r>
          </w:p>
        </w:tc>
      </w:tr>
      <w:tr w:rsidR="00AD57DA" w:rsidRPr="00555461" w:rsidTr="009724CE">
        <w:trPr>
          <w:cantSplit/>
        </w:trPr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461">
              <w:rPr>
                <w:rFonts w:ascii="Calibri" w:hAnsi="Calibri" w:cs="Calibri"/>
                <w:color w:val="000000"/>
                <w:sz w:val="22"/>
                <w:szCs w:val="22"/>
              </w:rPr>
              <w:t>HR (95% CI)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461">
              <w:rPr>
                <w:rFonts w:ascii="Calibri" w:hAnsi="Calibri" w:cs="Calibri"/>
                <w:color w:val="000000"/>
                <w:sz w:val="22"/>
                <w:szCs w:val="22"/>
              </w:rPr>
              <w:t>1 (reference)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461">
              <w:rPr>
                <w:rFonts w:ascii="Calibri" w:hAnsi="Calibri" w:cs="Calibri"/>
                <w:color w:val="000000"/>
                <w:sz w:val="22"/>
                <w:szCs w:val="22"/>
              </w:rPr>
              <w:t>1.93 (1.48-2.53)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461">
              <w:rPr>
                <w:rFonts w:ascii="Calibri" w:hAnsi="Calibri" w:cs="Calibri"/>
                <w:color w:val="000000"/>
                <w:sz w:val="22"/>
                <w:szCs w:val="22"/>
              </w:rPr>
              <w:t>3.69 (2.89-4.72)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461">
              <w:rPr>
                <w:rFonts w:ascii="Calibri" w:hAnsi="Calibri" w:cs="Calibri"/>
                <w:color w:val="000000"/>
                <w:sz w:val="22"/>
                <w:szCs w:val="22"/>
              </w:rPr>
              <w:t>4.97 (3.86-6.39)</w:t>
            </w:r>
          </w:p>
        </w:tc>
        <w:tc>
          <w:tcPr>
            <w:tcW w:w="1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461">
              <w:rPr>
                <w:rFonts w:ascii="Calibri" w:hAnsi="Calibri" w:cs="Calibri"/>
                <w:color w:val="000000"/>
                <w:sz w:val="22"/>
                <w:szCs w:val="22"/>
              </w:rPr>
              <w:t>9.87 (7.81-12.46)</w:t>
            </w:r>
          </w:p>
        </w:tc>
      </w:tr>
      <w:tr w:rsidR="00AD57DA" w:rsidRPr="00555461" w:rsidTr="009724CE">
        <w:trPr>
          <w:cantSplit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E98">
              <w:rPr>
                <w:rFonts w:ascii="Calibri" w:hAnsi="Calibri" w:cs="Calibri"/>
                <w:color w:val="000000"/>
                <w:sz w:val="22"/>
                <w:szCs w:val="22"/>
              </w:rPr>
              <w:t>Framingham (HDL)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57DA" w:rsidRPr="00555461" w:rsidTr="009724CE">
        <w:trPr>
          <w:cantSplit/>
        </w:trPr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461">
              <w:rPr>
                <w:rFonts w:ascii="Calibri" w:hAnsi="Calibri" w:cs="Calibri"/>
                <w:color w:val="000000"/>
                <w:sz w:val="22"/>
                <w:szCs w:val="22"/>
              </w:rPr>
              <w:t>Quintile range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461">
              <w:rPr>
                <w:rFonts w:ascii="Calibri" w:hAnsi="Calibri" w:cs="Calibri"/>
                <w:color w:val="000000"/>
                <w:sz w:val="22"/>
                <w:szCs w:val="22"/>
              </w:rPr>
              <w:t>2-10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461">
              <w:rPr>
                <w:rFonts w:ascii="Calibri" w:hAnsi="Calibri" w:cs="Calibri"/>
                <w:color w:val="000000"/>
                <w:sz w:val="22"/>
                <w:szCs w:val="22"/>
              </w:rPr>
              <w:t>11-12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461">
              <w:rPr>
                <w:rFonts w:ascii="Calibri" w:hAnsi="Calibri" w:cs="Calibri"/>
                <w:color w:val="000000"/>
                <w:sz w:val="22"/>
                <w:szCs w:val="22"/>
              </w:rPr>
              <w:t>13-15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461">
              <w:rPr>
                <w:rFonts w:ascii="Calibri" w:hAnsi="Calibri" w:cs="Calibri"/>
                <w:color w:val="000000"/>
                <w:sz w:val="22"/>
                <w:szCs w:val="22"/>
              </w:rPr>
              <w:t>16-17</w:t>
            </w: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461">
              <w:rPr>
                <w:rFonts w:ascii="Calibri" w:hAnsi="Calibri" w:cs="Calibri"/>
                <w:color w:val="000000"/>
                <w:sz w:val="22"/>
                <w:szCs w:val="22"/>
              </w:rPr>
              <w:t>18-29</w:t>
            </w:r>
          </w:p>
        </w:tc>
      </w:tr>
      <w:tr w:rsidR="00AD57DA" w:rsidRPr="00555461" w:rsidTr="009724CE">
        <w:trPr>
          <w:cantSplit/>
        </w:trPr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461">
              <w:rPr>
                <w:rFonts w:ascii="Calibri" w:hAnsi="Calibri" w:cs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461">
              <w:rPr>
                <w:rFonts w:ascii="Calibri" w:hAnsi="Calibri" w:cs="Calibri"/>
                <w:color w:val="000000"/>
                <w:sz w:val="22"/>
                <w:szCs w:val="22"/>
              </w:rPr>
              <w:t>2,913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461">
              <w:rPr>
                <w:rFonts w:ascii="Calibri" w:hAnsi="Calibri" w:cs="Calibri"/>
                <w:color w:val="000000"/>
                <w:sz w:val="22"/>
                <w:szCs w:val="22"/>
              </w:rPr>
              <w:t>2,171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461">
              <w:rPr>
                <w:rFonts w:ascii="Calibri" w:hAnsi="Calibri" w:cs="Calibri"/>
                <w:color w:val="000000"/>
                <w:sz w:val="22"/>
                <w:szCs w:val="22"/>
              </w:rPr>
              <w:t>3,657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461">
              <w:rPr>
                <w:rFonts w:ascii="Calibri" w:hAnsi="Calibri" w:cs="Calibri"/>
                <w:color w:val="000000"/>
                <w:sz w:val="22"/>
                <w:szCs w:val="22"/>
              </w:rPr>
              <w:t>2,033</w:t>
            </w: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461">
              <w:rPr>
                <w:rFonts w:ascii="Calibri" w:hAnsi="Calibri" w:cs="Calibri"/>
                <w:color w:val="000000"/>
                <w:sz w:val="22"/>
                <w:szCs w:val="22"/>
              </w:rPr>
              <w:t>2,669</w:t>
            </w:r>
          </w:p>
        </w:tc>
      </w:tr>
      <w:tr w:rsidR="00AD57DA" w:rsidRPr="00555461" w:rsidTr="009724CE">
        <w:trPr>
          <w:cantSplit/>
        </w:trPr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461">
              <w:rPr>
                <w:rFonts w:ascii="Calibri" w:hAnsi="Calibri" w:cs="Calibri"/>
                <w:color w:val="000000"/>
                <w:sz w:val="22"/>
                <w:szCs w:val="22"/>
              </w:rPr>
              <w:t>Event (rate)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461">
              <w:rPr>
                <w:rFonts w:ascii="Calibri" w:hAnsi="Calibri" w:cs="Calibri"/>
                <w:color w:val="000000"/>
                <w:sz w:val="22"/>
                <w:szCs w:val="22"/>
              </w:rPr>
              <w:t>77 (3.2)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461">
              <w:rPr>
                <w:rFonts w:ascii="Calibri" w:hAnsi="Calibri" w:cs="Calibri"/>
                <w:color w:val="000000"/>
                <w:sz w:val="22"/>
                <w:szCs w:val="22"/>
              </w:rPr>
              <w:t>125 (7.2)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461">
              <w:rPr>
                <w:rFonts w:ascii="Calibri" w:hAnsi="Calibri" w:cs="Calibri"/>
                <w:color w:val="000000"/>
                <w:sz w:val="22"/>
                <w:szCs w:val="22"/>
              </w:rPr>
              <w:t>277 (9.7)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461">
              <w:rPr>
                <w:rFonts w:ascii="Calibri" w:hAnsi="Calibri" w:cs="Calibri"/>
                <w:color w:val="000000"/>
                <w:sz w:val="22"/>
                <w:szCs w:val="22"/>
              </w:rPr>
              <w:t>221 (14.3)</w:t>
            </w: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461">
              <w:rPr>
                <w:rFonts w:ascii="Calibri" w:hAnsi="Calibri" w:cs="Calibri"/>
                <w:color w:val="000000"/>
                <w:sz w:val="22"/>
                <w:szCs w:val="22"/>
              </w:rPr>
              <w:t>462 (23.9)</w:t>
            </w:r>
          </w:p>
        </w:tc>
      </w:tr>
      <w:tr w:rsidR="00AD57DA" w:rsidRPr="00555461" w:rsidTr="009724CE">
        <w:trPr>
          <w:cantSplit/>
        </w:trPr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461">
              <w:rPr>
                <w:rFonts w:ascii="Calibri" w:hAnsi="Calibri" w:cs="Calibri"/>
                <w:color w:val="000000"/>
                <w:sz w:val="22"/>
                <w:szCs w:val="22"/>
              </w:rPr>
              <w:t>HR (95% CI)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461">
              <w:rPr>
                <w:rFonts w:ascii="Calibri" w:hAnsi="Calibri" w:cs="Calibri"/>
                <w:color w:val="000000"/>
                <w:sz w:val="22"/>
                <w:szCs w:val="22"/>
              </w:rPr>
              <w:t>1 (reference)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461">
              <w:rPr>
                <w:rFonts w:ascii="Calibri" w:hAnsi="Calibri" w:cs="Calibri"/>
                <w:color w:val="000000"/>
                <w:sz w:val="22"/>
                <w:szCs w:val="22"/>
              </w:rPr>
              <w:t>2.27 (1.71-3.02)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461">
              <w:rPr>
                <w:rFonts w:ascii="Calibri" w:hAnsi="Calibri" w:cs="Calibri"/>
                <w:color w:val="000000"/>
                <w:sz w:val="22"/>
                <w:szCs w:val="22"/>
              </w:rPr>
              <w:t>3.05 (2.37-3.93)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461">
              <w:rPr>
                <w:rFonts w:ascii="Calibri" w:hAnsi="Calibri" w:cs="Calibri"/>
                <w:color w:val="000000"/>
                <w:sz w:val="22"/>
                <w:szCs w:val="22"/>
              </w:rPr>
              <w:t>4.51 (3.48-5.84)</w:t>
            </w:r>
          </w:p>
        </w:tc>
        <w:tc>
          <w:tcPr>
            <w:tcW w:w="1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461">
              <w:rPr>
                <w:rFonts w:ascii="Calibri" w:hAnsi="Calibri" w:cs="Calibri"/>
                <w:color w:val="000000"/>
                <w:sz w:val="22"/>
                <w:szCs w:val="22"/>
              </w:rPr>
              <w:t>7.60 (5.97-9.68)</w:t>
            </w:r>
          </w:p>
        </w:tc>
      </w:tr>
      <w:tr w:rsidR="00AD57DA" w:rsidRPr="00555461" w:rsidTr="009724CE">
        <w:trPr>
          <w:cantSplit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ASCVD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57DA" w:rsidRPr="00555461" w:rsidTr="009724CE">
        <w:trPr>
          <w:cantSplit/>
        </w:trPr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461">
              <w:rPr>
                <w:rFonts w:ascii="Calibri" w:hAnsi="Calibri" w:cs="Calibri"/>
                <w:color w:val="000000"/>
                <w:sz w:val="22"/>
                <w:szCs w:val="22"/>
              </w:rPr>
              <w:t>Quintile range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461">
              <w:rPr>
                <w:rFonts w:ascii="Calibri" w:hAnsi="Calibri" w:cs="Calibri"/>
                <w:color w:val="000000"/>
                <w:sz w:val="22"/>
                <w:szCs w:val="22"/>
              </w:rPr>
              <w:t>0-5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461">
              <w:rPr>
                <w:rFonts w:ascii="Calibri" w:hAnsi="Calibri" w:cs="Calibri"/>
                <w:color w:val="000000"/>
                <w:sz w:val="22"/>
                <w:szCs w:val="22"/>
              </w:rPr>
              <w:t>5-8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461">
              <w:rPr>
                <w:rFonts w:ascii="Calibri" w:hAnsi="Calibri" w:cs="Calibri"/>
                <w:color w:val="000000"/>
                <w:sz w:val="22"/>
                <w:szCs w:val="22"/>
              </w:rPr>
              <w:t>8-12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461">
              <w:rPr>
                <w:rFonts w:ascii="Calibri" w:hAnsi="Calibri" w:cs="Calibri"/>
                <w:color w:val="000000"/>
                <w:sz w:val="22"/>
                <w:szCs w:val="22"/>
              </w:rPr>
              <w:t>12-18</w:t>
            </w: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461">
              <w:rPr>
                <w:rFonts w:ascii="Calibri" w:hAnsi="Calibri" w:cs="Calibri"/>
                <w:color w:val="000000"/>
                <w:sz w:val="22"/>
                <w:szCs w:val="22"/>
              </w:rPr>
              <w:t>18-146</w:t>
            </w:r>
          </w:p>
        </w:tc>
      </w:tr>
      <w:tr w:rsidR="00AD57DA" w:rsidRPr="00555461" w:rsidTr="009724CE">
        <w:trPr>
          <w:cantSplit/>
        </w:trPr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461">
              <w:rPr>
                <w:rFonts w:ascii="Calibri" w:hAnsi="Calibri" w:cs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461">
              <w:rPr>
                <w:rFonts w:ascii="Calibri" w:hAnsi="Calibri" w:cs="Calibri"/>
                <w:color w:val="000000"/>
                <w:sz w:val="22"/>
                <w:szCs w:val="22"/>
              </w:rPr>
              <w:t>2,685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461">
              <w:rPr>
                <w:rFonts w:ascii="Calibri" w:hAnsi="Calibri" w:cs="Calibri"/>
                <w:color w:val="000000"/>
                <w:sz w:val="22"/>
                <w:szCs w:val="22"/>
              </w:rPr>
              <w:t>2,654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461">
              <w:rPr>
                <w:rFonts w:ascii="Calibri" w:hAnsi="Calibri" w:cs="Calibri"/>
                <w:color w:val="000000"/>
                <w:sz w:val="22"/>
                <w:szCs w:val="22"/>
              </w:rPr>
              <w:t>2,618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461">
              <w:rPr>
                <w:rFonts w:ascii="Calibri" w:hAnsi="Calibri" w:cs="Calibri"/>
                <w:color w:val="000000"/>
                <w:sz w:val="22"/>
                <w:szCs w:val="22"/>
              </w:rPr>
              <w:t>2,579</w:t>
            </w: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461">
              <w:rPr>
                <w:rFonts w:ascii="Calibri" w:hAnsi="Calibri" w:cs="Calibri"/>
                <w:color w:val="000000"/>
                <w:sz w:val="22"/>
                <w:szCs w:val="22"/>
              </w:rPr>
              <w:t>2,504</w:t>
            </w:r>
          </w:p>
        </w:tc>
      </w:tr>
      <w:tr w:rsidR="00AD57DA" w:rsidRPr="00555461" w:rsidTr="009724CE">
        <w:trPr>
          <w:cantSplit/>
        </w:trPr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461">
              <w:rPr>
                <w:rFonts w:ascii="Calibri" w:hAnsi="Calibri" w:cs="Calibri"/>
                <w:color w:val="000000"/>
                <w:sz w:val="22"/>
                <w:szCs w:val="22"/>
              </w:rPr>
              <w:t>Event (rate)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461">
              <w:rPr>
                <w:rFonts w:ascii="Calibri" w:hAnsi="Calibri" w:cs="Calibri"/>
                <w:color w:val="000000"/>
                <w:sz w:val="22"/>
                <w:szCs w:val="22"/>
              </w:rPr>
              <w:t>89 (4.0)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461">
              <w:rPr>
                <w:rFonts w:ascii="Calibri" w:hAnsi="Calibri" w:cs="Calibri"/>
                <w:color w:val="000000"/>
                <w:sz w:val="22"/>
                <w:szCs w:val="22"/>
              </w:rPr>
              <w:t>167 (7.9)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461">
              <w:rPr>
                <w:rFonts w:ascii="Calibri" w:hAnsi="Calibri" w:cs="Calibri"/>
                <w:color w:val="000000"/>
                <w:sz w:val="22"/>
                <w:szCs w:val="22"/>
              </w:rPr>
              <w:t>212 (10.3)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461">
              <w:rPr>
                <w:rFonts w:ascii="Calibri" w:hAnsi="Calibri" w:cs="Calibri"/>
                <w:color w:val="000000"/>
                <w:sz w:val="22"/>
                <w:szCs w:val="22"/>
              </w:rPr>
              <w:t>251 (12.8)</w:t>
            </w: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461">
              <w:rPr>
                <w:rFonts w:ascii="Calibri" w:hAnsi="Calibri" w:cs="Calibri"/>
                <w:color w:val="000000"/>
                <w:sz w:val="22"/>
                <w:szCs w:val="22"/>
              </w:rPr>
              <w:t>402 (22.4)</w:t>
            </w:r>
          </w:p>
        </w:tc>
      </w:tr>
      <w:tr w:rsidR="00AD57DA" w:rsidRPr="00555461" w:rsidTr="009724CE">
        <w:trPr>
          <w:cantSplit/>
        </w:trPr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461">
              <w:rPr>
                <w:rFonts w:ascii="Calibri" w:hAnsi="Calibri" w:cs="Calibri"/>
                <w:color w:val="000000"/>
                <w:sz w:val="22"/>
                <w:szCs w:val="22"/>
              </w:rPr>
              <w:t>HR (95% CI)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461">
              <w:rPr>
                <w:rFonts w:ascii="Calibri" w:hAnsi="Calibri" w:cs="Calibri"/>
                <w:color w:val="000000"/>
                <w:sz w:val="22"/>
                <w:szCs w:val="22"/>
              </w:rPr>
              <w:t>1 (reference)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461">
              <w:rPr>
                <w:rFonts w:ascii="Calibri" w:hAnsi="Calibri" w:cs="Calibri"/>
                <w:color w:val="000000"/>
                <w:sz w:val="22"/>
                <w:szCs w:val="22"/>
              </w:rPr>
              <w:t>2.02 (1.56-2.61)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461">
              <w:rPr>
                <w:rFonts w:ascii="Calibri" w:hAnsi="Calibri" w:cs="Calibri"/>
                <w:color w:val="000000"/>
                <w:sz w:val="22"/>
                <w:szCs w:val="22"/>
              </w:rPr>
              <w:t>2.64 (2.06-3.39)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461">
              <w:rPr>
                <w:rFonts w:ascii="Calibri" w:hAnsi="Calibri" w:cs="Calibri"/>
                <w:color w:val="000000"/>
                <w:sz w:val="22"/>
                <w:szCs w:val="22"/>
              </w:rPr>
              <w:t>3.31 (2.60-4.21)</w:t>
            </w:r>
          </w:p>
        </w:tc>
        <w:tc>
          <w:tcPr>
            <w:tcW w:w="1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461">
              <w:rPr>
                <w:rFonts w:ascii="Calibri" w:hAnsi="Calibri" w:cs="Calibri"/>
                <w:color w:val="000000"/>
                <w:sz w:val="22"/>
                <w:szCs w:val="22"/>
              </w:rPr>
              <w:t>5.83 (4.63-7.33)</w:t>
            </w:r>
          </w:p>
        </w:tc>
      </w:tr>
      <w:tr w:rsidR="00AD57DA" w:rsidRPr="00555461" w:rsidTr="009724CE">
        <w:trPr>
          <w:cantSplit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57DA" w:rsidRPr="00555461" w:rsidTr="009724CE">
        <w:trPr>
          <w:cantSplit/>
        </w:trPr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461">
              <w:rPr>
                <w:rFonts w:ascii="Calibri" w:hAnsi="Calibri" w:cs="Calibri"/>
                <w:color w:val="000000"/>
                <w:sz w:val="22"/>
                <w:szCs w:val="22"/>
              </w:rPr>
              <w:t>Quintile range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461">
              <w:rPr>
                <w:rFonts w:ascii="Calibri" w:hAnsi="Calibri" w:cs="Calibri"/>
                <w:color w:val="000000"/>
                <w:sz w:val="22"/>
                <w:szCs w:val="22"/>
              </w:rPr>
              <w:t>50-56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461">
              <w:rPr>
                <w:rFonts w:ascii="Calibri" w:hAnsi="Calibri" w:cs="Calibri"/>
                <w:color w:val="000000"/>
                <w:sz w:val="22"/>
                <w:szCs w:val="22"/>
              </w:rPr>
              <w:t>57-61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461">
              <w:rPr>
                <w:rFonts w:ascii="Calibri" w:hAnsi="Calibri" w:cs="Calibri"/>
                <w:color w:val="000000"/>
                <w:sz w:val="22"/>
                <w:szCs w:val="22"/>
              </w:rPr>
              <w:t>62-65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461">
              <w:rPr>
                <w:rFonts w:ascii="Calibri" w:hAnsi="Calibri" w:cs="Calibri"/>
                <w:color w:val="000000"/>
                <w:sz w:val="22"/>
                <w:szCs w:val="22"/>
              </w:rPr>
              <w:t>66-70</w:t>
            </w: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461">
              <w:rPr>
                <w:rFonts w:ascii="Calibri" w:hAnsi="Calibri" w:cs="Calibri"/>
                <w:color w:val="000000"/>
                <w:sz w:val="22"/>
                <w:szCs w:val="22"/>
              </w:rPr>
              <w:t>71-81</w:t>
            </w:r>
          </w:p>
        </w:tc>
      </w:tr>
      <w:tr w:rsidR="00AD57DA" w:rsidRPr="00555461" w:rsidTr="009724CE">
        <w:trPr>
          <w:cantSplit/>
        </w:trPr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461">
              <w:rPr>
                <w:rFonts w:ascii="Calibri" w:hAnsi="Calibri" w:cs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461">
              <w:rPr>
                <w:rFonts w:ascii="Calibri" w:hAnsi="Calibri" w:cs="Calibri"/>
                <w:color w:val="000000"/>
                <w:sz w:val="22"/>
                <w:szCs w:val="22"/>
              </w:rPr>
              <w:t>5,478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461">
              <w:rPr>
                <w:rFonts w:ascii="Calibri" w:hAnsi="Calibri" w:cs="Calibri"/>
                <w:color w:val="000000"/>
                <w:sz w:val="22"/>
                <w:szCs w:val="22"/>
              </w:rPr>
              <w:t>5,497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461">
              <w:rPr>
                <w:rFonts w:ascii="Calibri" w:hAnsi="Calibri" w:cs="Calibri"/>
                <w:color w:val="000000"/>
                <w:sz w:val="22"/>
                <w:szCs w:val="22"/>
              </w:rPr>
              <w:t>4,673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461">
              <w:rPr>
                <w:rFonts w:ascii="Calibri" w:hAnsi="Calibri" w:cs="Calibri"/>
                <w:color w:val="000000"/>
                <w:sz w:val="22"/>
                <w:szCs w:val="22"/>
              </w:rPr>
              <w:t>5,569</w:t>
            </w: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461">
              <w:rPr>
                <w:rFonts w:ascii="Calibri" w:hAnsi="Calibri" w:cs="Calibri"/>
                <w:color w:val="000000"/>
                <w:sz w:val="22"/>
                <w:szCs w:val="22"/>
              </w:rPr>
              <w:t>4,684</w:t>
            </w:r>
          </w:p>
        </w:tc>
      </w:tr>
      <w:tr w:rsidR="00AD57DA" w:rsidRPr="00555461" w:rsidTr="009724CE">
        <w:trPr>
          <w:cantSplit/>
        </w:trPr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461">
              <w:rPr>
                <w:rFonts w:ascii="Calibri" w:hAnsi="Calibri" w:cs="Calibri"/>
                <w:color w:val="000000"/>
                <w:sz w:val="22"/>
                <w:szCs w:val="22"/>
              </w:rPr>
              <w:t>Event (rate)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461">
              <w:rPr>
                <w:rFonts w:ascii="Calibri" w:hAnsi="Calibri" w:cs="Calibri"/>
                <w:color w:val="000000"/>
                <w:sz w:val="22"/>
                <w:szCs w:val="22"/>
              </w:rPr>
              <w:t>141 (3.0)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461">
              <w:rPr>
                <w:rFonts w:ascii="Calibri" w:hAnsi="Calibri" w:cs="Calibri"/>
                <w:color w:val="000000"/>
                <w:sz w:val="22"/>
                <w:szCs w:val="22"/>
              </w:rPr>
              <w:t>218 (4.9)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461">
              <w:rPr>
                <w:rFonts w:ascii="Calibri" w:hAnsi="Calibri" w:cs="Calibri"/>
                <w:color w:val="000000"/>
                <w:sz w:val="22"/>
                <w:szCs w:val="22"/>
              </w:rPr>
              <w:t>278 (7.5)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461">
              <w:rPr>
                <w:rFonts w:ascii="Calibri" w:hAnsi="Calibri" w:cs="Calibri"/>
                <w:color w:val="000000"/>
                <w:sz w:val="22"/>
                <w:szCs w:val="22"/>
              </w:rPr>
              <w:t>441 (10.1)</w:t>
            </w: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461">
              <w:rPr>
                <w:rFonts w:ascii="Calibri" w:hAnsi="Calibri" w:cs="Calibri"/>
                <w:color w:val="000000"/>
                <w:sz w:val="22"/>
                <w:szCs w:val="22"/>
              </w:rPr>
              <w:t>545 (15.5)</w:t>
            </w:r>
          </w:p>
        </w:tc>
      </w:tr>
      <w:tr w:rsidR="00AD57DA" w:rsidRPr="00555461" w:rsidTr="009724CE">
        <w:trPr>
          <w:cantSplit/>
        </w:trPr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461">
              <w:rPr>
                <w:rFonts w:ascii="Calibri" w:hAnsi="Calibri" w:cs="Calibri"/>
                <w:color w:val="000000"/>
                <w:sz w:val="22"/>
                <w:szCs w:val="22"/>
              </w:rPr>
              <w:t>HR (95% CI)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461">
              <w:rPr>
                <w:rFonts w:ascii="Calibri" w:hAnsi="Calibri" w:cs="Calibri"/>
                <w:color w:val="000000"/>
                <w:sz w:val="22"/>
                <w:szCs w:val="22"/>
              </w:rPr>
              <w:t>1 (reference)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461">
              <w:rPr>
                <w:rFonts w:ascii="Calibri" w:hAnsi="Calibri" w:cs="Calibri"/>
                <w:color w:val="000000"/>
                <w:sz w:val="22"/>
                <w:szCs w:val="22"/>
              </w:rPr>
              <w:t>1.62 (1.31-2.00)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461">
              <w:rPr>
                <w:rFonts w:ascii="Calibri" w:hAnsi="Calibri" w:cs="Calibri"/>
                <w:color w:val="000000"/>
                <w:sz w:val="22"/>
                <w:szCs w:val="22"/>
              </w:rPr>
              <w:t>2.52 (2.06-3.09)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461">
              <w:rPr>
                <w:rFonts w:ascii="Calibri" w:hAnsi="Calibri" w:cs="Calibri"/>
                <w:color w:val="000000"/>
                <w:sz w:val="22"/>
                <w:szCs w:val="22"/>
              </w:rPr>
              <w:t>3.43 (2.84-4.15)</w:t>
            </w:r>
          </w:p>
        </w:tc>
        <w:tc>
          <w:tcPr>
            <w:tcW w:w="1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461">
              <w:rPr>
                <w:rFonts w:ascii="Calibri" w:hAnsi="Calibri" w:cs="Calibri"/>
                <w:color w:val="000000"/>
                <w:sz w:val="22"/>
                <w:szCs w:val="22"/>
              </w:rPr>
              <w:t>5.33 (4.42-6.41)</w:t>
            </w:r>
          </w:p>
        </w:tc>
      </w:tr>
      <w:tr w:rsidR="00AD57DA" w:rsidRPr="00555461" w:rsidTr="009724CE">
        <w:trPr>
          <w:cantSplit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Years since menopause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57DA" w:rsidRPr="00555461" w:rsidTr="009724CE">
        <w:trPr>
          <w:cantSplit/>
        </w:trPr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461">
              <w:rPr>
                <w:rFonts w:ascii="Calibri" w:hAnsi="Calibri" w:cs="Calibri"/>
                <w:color w:val="000000"/>
                <w:sz w:val="22"/>
                <w:szCs w:val="22"/>
              </w:rPr>
              <w:t>Quintile range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461">
              <w:rPr>
                <w:rFonts w:ascii="Calibri" w:hAnsi="Calibri" w:cs="Calibri"/>
                <w:color w:val="000000"/>
                <w:sz w:val="22"/>
                <w:szCs w:val="22"/>
              </w:rPr>
              <w:t>0-6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461">
              <w:rPr>
                <w:rFonts w:ascii="Calibri" w:hAnsi="Calibri" w:cs="Calibri"/>
                <w:color w:val="000000"/>
                <w:sz w:val="22"/>
                <w:szCs w:val="22"/>
              </w:rPr>
              <w:t>7-12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461">
              <w:rPr>
                <w:rFonts w:ascii="Calibri" w:hAnsi="Calibri" w:cs="Calibri"/>
                <w:color w:val="000000"/>
                <w:sz w:val="22"/>
                <w:szCs w:val="22"/>
              </w:rPr>
              <w:t>13-17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461">
              <w:rPr>
                <w:rFonts w:ascii="Calibri" w:hAnsi="Calibri" w:cs="Calibri"/>
                <w:color w:val="000000"/>
                <w:sz w:val="22"/>
                <w:szCs w:val="22"/>
              </w:rPr>
              <w:t>18-23</w:t>
            </w: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461">
              <w:rPr>
                <w:rFonts w:ascii="Calibri" w:hAnsi="Calibri" w:cs="Calibri"/>
                <w:color w:val="000000"/>
                <w:sz w:val="22"/>
                <w:szCs w:val="22"/>
              </w:rPr>
              <w:t>24-55</w:t>
            </w:r>
          </w:p>
        </w:tc>
      </w:tr>
      <w:tr w:rsidR="00AD57DA" w:rsidRPr="00555461" w:rsidTr="009724CE">
        <w:trPr>
          <w:cantSplit/>
        </w:trPr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461">
              <w:rPr>
                <w:rFonts w:ascii="Calibri" w:hAnsi="Calibri" w:cs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461">
              <w:rPr>
                <w:rFonts w:ascii="Calibri" w:hAnsi="Calibri" w:cs="Calibri"/>
                <w:color w:val="000000"/>
                <w:sz w:val="22"/>
                <w:szCs w:val="22"/>
              </w:rPr>
              <w:t>4,682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461">
              <w:rPr>
                <w:rFonts w:ascii="Calibri" w:hAnsi="Calibri" w:cs="Calibri"/>
                <w:color w:val="000000"/>
                <w:sz w:val="22"/>
                <w:szCs w:val="22"/>
              </w:rPr>
              <w:t>4,895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461">
              <w:rPr>
                <w:rFonts w:ascii="Calibri" w:hAnsi="Calibri" w:cs="Calibri"/>
                <w:color w:val="000000"/>
                <w:sz w:val="22"/>
                <w:szCs w:val="22"/>
              </w:rPr>
              <w:t>4,288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461">
              <w:rPr>
                <w:rFonts w:ascii="Calibri" w:hAnsi="Calibri" w:cs="Calibri"/>
                <w:color w:val="000000"/>
                <w:sz w:val="22"/>
                <w:szCs w:val="22"/>
              </w:rPr>
              <w:t>4,542</w:t>
            </w: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461">
              <w:rPr>
                <w:rFonts w:ascii="Calibri" w:hAnsi="Calibri" w:cs="Calibri"/>
                <w:color w:val="000000"/>
                <w:sz w:val="22"/>
                <w:szCs w:val="22"/>
              </w:rPr>
              <w:t>4,627</w:t>
            </w:r>
          </w:p>
        </w:tc>
      </w:tr>
      <w:tr w:rsidR="00AD57DA" w:rsidRPr="00555461" w:rsidTr="009724CE">
        <w:trPr>
          <w:cantSplit/>
        </w:trPr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461">
              <w:rPr>
                <w:rFonts w:ascii="Calibri" w:hAnsi="Calibri" w:cs="Calibri"/>
                <w:color w:val="000000"/>
                <w:sz w:val="22"/>
                <w:szCs w:val="22"/>
              </w:rPr>
              <w:t>Event (rate)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461">
              <w:rPr>
                <w:rFonts w:ascii="Calibri" w:hAnsi="Calibri" w:cs="Calibri"/>
                <w:color w:val="000000"/>
                <w:sz w:val="22"/>
                <w:szCs w:val="22"/>
              </w:rPr>
              <w:t>137 (3.5)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461">
              <w:rPr>
                <w:rFonts w:ascii="Calibri" w:hAnsi="Calibri" w:cs="Calibri"/>
                <w:color w:val="000000"/>
                <w:sz w:val="22"/>
                <w:szCs w:val="22"/>
              </w:rPr>
              <w:t>202 (5.1)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461">
              <w:rPr>
                <w:rFonts w:ascii="Calibri" w:hAnsi="Calibri" w:cs="Calibri"/>
                <w:color w:val="000000"/>
                <w:sz w:val="22"/>
                <w:szCs w:val="22"/>
              </w:rPr>
              <w:t>260 (7.8)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461">
              <w:rPr>
                <w:rFonts w:ascii="Calibri" w:hAnsi="Calibri" w:cs="Calibri"/>
                <w:color w:val="000000"/>
                <w:sz w:val="22"/>
                <w:szCs w:val="22"/>
              </w:rPr>
              <w:t>356 (10.1)</w:t>
            </w: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461">
              <w:rPr>
                <w:rFonts w:ascii="Calibri" w:hAnsi="Calibri" w:cs="Calibri"/>
                <w:color w:val="000000"/>
                <w:sz w:val="22"/>
                <w:szCs w:val="22"/>
              </w:rPr>
              <w:t>469 (13.4)</w:t>
            </w:r>
          </w:p>
        </w:tc>
      </w:tr>
      <w:tr w:rsidR="00AD57DA" w:rsidRPr="00555461" w:rsidTr="009724CE">
        <w:trPr>
          <w:cantSplit/>
        </w:trPr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461">
              <w:rPr>
                <w:rFonts w:ascii="Calibri" w:hAnsi="Calibri" w:cs="Calibri"/>
                <w:color w:val="000000"/>
                <w:sz w:val="22"/>
                <w:szCs w:val="22"/>
              </w:rPr>
              <w:t>HR (95% CI)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461">
              <w:rPr>
                <w:rFonts w:ascii="Calibri" w:hAnsi="Calibri" w:cs="Calibri"/>
                <w:color w:val="000000"/>
                <w:sz w:val="22"/>
                <w:szCs w:val="22"/>
              </w:rPr>
              <w:t>1 (reference)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461">
              <w:rPr>
                <w:rFonts w:ascii="Calibri" w:hAnsi="Calibri" w:cs="Calibri"/>
                <w:color w:val="000000"/>
                <w:sz w:val="22"/>
                <w:szCs w:val="22"/>
              </w:rPr>
              <w:t>1.47 (1.18-1.83)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461">
              <w:rPr>
                <w:rFonts w:ascii="Calibri" w:hAnsi="Calibri" w:cs="Calibri"/>
                <w:color w:val="000000"/>
                <w:sz w:val="22"/>
                <w:szCs w:val="22"/>
              </w:rPr>
              <w:t>2.25 (1.83-2.76)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461">
              <w:rPr>
                <w:rFonts w:ascii="Calibri" w:hAnsi="Calibri" w:cs="Calibri"/>
                <w:color w:val="000000"/>
                <w:sz w:val="22"/>
                <w:szCs w:val="22"/>
              </w:rPr>
              <w:t>2.94 (2.41-3.58)</w:t>
            </w:r>
          </w:p>
        </w:tc>
        <w:tc>
          <w:tcPr>
            <w:tcW w:w="1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461">
              <w:rPr>
                <w:rFonts w:ascii="Calibri" w:hAnsi="Calibri" w:cs="Calibri"/>
                <w:color w:val="000000"/>
                <w:sz w:val="22"/>
                <w:szCs w:val="22"/>
              </w:rPr>
              <w:t>3.90 (3.22-4.72)</w:t>
            </w:r>
          </w:p>
        </w:tc>
      </w:tr>
    </w:tbl>
    <w:p w:rsidR="00AD57DA" w:rsidRDefault="00AD57DA" w:rsidP="00AD57DA">
      <w:pPr>
        <w:adjustRightInd w:val="0"/>
        <w:rPr>
          <w:rFonts w:ascii="Calibri" w:hAnsi="Calibri" w:cs="Calibri"/>
          <w:bCs/>
          <w:color w:val="000000"/>
          <w:sz w:val="18"/>
          <w:szCs w:val="22"/>
        </w:rPr>
      </w:pPr>
      <w:r w:rsidRPr="00555461">
        <w:rPr>
          <w:rFonts w:ascii="Calibri" w:hAnsi="Calibri" w:cs="Calibri"/>
          <w:bCs/>
          <w:color w:val="000000"/>
          <w:sz w:val="18"/>
          <w:szCs w:val="22"/>
        </w:rPr>
        <w:t>Rate – events per 1,000 person-years</w:t>
      </w:r>
    </w:p>
    <w:p w:rsidR="00AD57DA" w:rsidRPr="00555461" w:rsidRDefault="00AD57DA" w:rsidP="00AD57DA">
      <w:pPr>
        <w:adjustRightInd w:val="0"/>
        <w:rPr>
          <w:rFonts w:ascii="Calibri" w:hAnsi="Calibri" w:cs="Calibri"/>
          <w:bCs/>
          <w:color w:val="000000"/>
          <w:sz w:val="18"/>
          <w:szCs w:val="22"/>
        </w:rPr>
      </w:pPr>
      <w:r>
        <w:rPr>
          <w:rFonts w:ascii="Calibri" w:hAnsi="Calibri" w:cs="Calibri"/>
          <w:bCs/>
          <w:color w:val="000000"/>
          <w:sz w:val="18"/>
          <w:szCs w:val="22"/>
        </w:rPr>
        <w:t xml:space="preserve">CVD---Cardiovascular Disease </w:t>
      </w:r>
    </w:p>
    <w:p w:rsidR="00AD57DA" w:rsidRPr="00555461" w:rsidRDefault="00AD57DA" w:rsidP="00AD57DA">
      <w:pPr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AD57DA" w:rsidRDefault="00AD57DA" w:rsidP="00AD57DA">
      <w:pPr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br w:type="page"/>
      </w:r>
      <w:r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 xml:space="preserve">Table 2b.  Supplemental Digital content.  </w:t>
      </w:r>
      <w:r w:rsidRPr="00555461">
        <w:rPr>
          <w:rFonts w:ascii="Calibri" w:hAnsi="Calibri" w:cs="Calibri"/>
          <w:b/>
          <w:bCs/>
          <w:color w:val="000000"/>
          <w:sz w:val="22"/>
          <w:szCs w:val="22"/>
        </w:rPr>
        <w:t>Absolute CVD event rates and hazard ratio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s for events through end of follow-up (2017)</w:t>
      </w:r>
      <w:r w:rsidRPr="00555461">
        <w:rPr>
          <w:rFonts w:ascii="Calibri" w:hAnsi="Calibri" w:cs="Calibri"/>
          <w:b/>
          <w:bCs/>
          <w:color w:val="000000"/>
          <w:sz w:val="22"/>
          <w:szCs w:val="22"/>
        </w:rPr>
        <w:t xml:space="preserve"> by quintile of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three </w:t>
      </w:r>
      <w:r w:rsidRPr="00555461">
        <w:rPr>
          <w:rFonts w:ascii="Calibri" w:hAnsi="Calibri" w:cs="Calibri"/>
          <w:b/>
          <w:bCs/>
          <w:color w:val="000000"/>
          <w:sz w:val="22"/>
          <w:szCs w:val="22"/>
        </w:rPr>
        <w:t>CVD risk scores, age and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,</w:t>
      </w:r>
      <w:r w:rsidRPr="00555461">
        <w:rPr>
          <w:rFonts w:ascii="Calibri" w:hAnsi="Calibri" w:cs="Calibri"/>
          <w:b/>
          <w:bCs/>
          <w:color w:val="000000"/>
          <w:sz w:val="22"/>
          <w:szCs w:val="22"/>
        </w:rPr>
        <w:t xml:space="preserve"> years since menopause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Pr="002B1CC3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3C02FF">
        <w:rPr>
          <w:rFonts w:ascii="Calibri" w:hAnsi="Calibri" w:cs="Calibri"/>
          <w:b/>
          <w:bCs/>
          <w:color w:val="000000"/>
          <w:sz w:val="22"/>
          <w:szCs w:val="22"/>
        </w:rPr>
        <w:t xml:space="preserve">Sensitivity Analysis, </w:t>
      </w:r>
      <w:r w:rsidRPr="001C3C3D">
        <w:rPr>
          <w:rFonts w:ascii="Calibri" w:hAnsi="Calibri" w:cs="Calibri"/>
          <w:b/>
          <w:bCs/>
          <w:color w:val="000000"/>
          <w:sz w:val="22"/>
          <w:szCs w:val="22"/>
        </w:rPr>
        <w:t>excluding 872 women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with </w:t>
      </w:r>
      <w:r w:rsidRPr="003C02FF">
        <w:rPr>
          <w:rFonts w:ascii="Calibri" w:hAnsi="Calibri" w:cs="Calibri"/>
          <w:b/>
          <w:bCs/>
          <w:color w:val="000000"/>
          <w:sz w:val="22"/>
          <w:szCs w:val="22"/>
        </w:rPr>
        <w:t>history of CVD (MI or Stroke)</w:t>
      </w:r>
    </w:p>
    <w:p w:rsidR="00AD57DA" w:rsidRPr="00911768" w:rsidRDefault="00AD57DA" w:rsidP="00AD57DA">
      <w:pPr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tbl>
      <w:tblPr>
        <w:tblW w:w="10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1396"/>
        <w:gridCol w:w="1693"/>
        <w:gridCol w:w="1710"/>
        <w:gridCol w:w="1710"/>
        <w:gridCol w:w="1710"/>
      </w:tblGrid>
      <w:tr w:rsidR="00AD57DA" w:rsidRPr="00555461" w:rsidTr="009724CE">
        <w:trPr>
          <w:cantSplit/>
          <w:tblHeader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bookmarkStart w:id="0" w:name="IDX"/>
            <w:bookmarkEnd w:id="0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733643" w:rsidRDefault="00AD57DA" w:rsidP="009724CE">
            <w:pPr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733643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Quintile 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733643" w:rsidRDefault="00AD57DA" w:rsidP="009724CE">
            <w:pPr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733643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Quintile 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733643" w:rsidRDefault="00AD57DA" w:rsidP="009724CE">
            <w:pPr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733643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Quintile 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733643" w:rsidRDefault="00AD57DA" w:rsidP="009724CE">
            <w:pPr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733643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Quintile 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733643" w:rsidRDefault="00AD57DA" w:rsidP="009724CE">
            <w:pPr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733643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Quintile 5</w:t>
            </w:r>
          </w:p>
        </w:tc>
      </w:tr>
      <w:tr w:rsidR="00AD57DA" w:rsidRPr="00555461" w:rsidTr="009724CE">
        <w:trPr>
          <w:cantSplit/>
          <w:tblHeader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78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Framingham (BMI)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D57DA" w:rsidRPr="00555461" w:rsidTr="009724CE">
        <w:trPr>
          <w:cantSplit/>
        </w:trPr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54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Quintile range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54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5-9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54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10-12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54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13-15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54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16-17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54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18-33</w:t>
            </w:r>
          </w:p>
        </w:tc>
      </w:tr>
      <w:tr w:rsidR="00AD57DA" w:rsidRPr="00555461" w:rsidTr="009724CE">
        <w:trPr>
          <w:cantSplit/>
        </w:trPr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54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54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4,806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54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5,554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54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6,463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54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3,609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54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5,469</w:t>
            </w:r>
          </w:p>
        </w:tc>
      </w:tr>
      <w:tr w:rsidR="00AD57DA" w:rsidRPr="00555461" w:rsidTr="009724CE">
        <w:trPr>
          <w:cantSplit/>
        </w:trPr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54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Event (rate)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54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251 (3.2)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54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533 (6.2)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54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922 (9.7)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54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660 (13.2)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54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 w:rsidRPr="005554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526 (23.0)</w:t>
            </w:r>
          </w:p>
        </w:tc>
      </w:tr>
      <w:tr w:rsidR="00AD57DA" w:rsidRPr="00555461" w:rsidTr="009724CE">
        <w:trPr>
          <w:cantSplit/>
        </w:trPr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54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HR (95% CI)</w:t>
            </w: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733643" w:rsidRDefault="00AD57DA" w:rsidP="009724C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733643">
              <w:rPr>
                <w:rFonts w:asciiTheme="minorHAnsi" w:hAnsiTheme="minorHAnsi" w:cstheme="minorHAnsi"/>
                <w:color w:val="000000"/>
                <w:szCs w:val="22"/>
              </w:rPr>
              <w:t>1 (reference)</w:t>
            </w: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54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2.03 (1.75-2.36)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54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3.25 (2.83-3.74)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54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4.54 (3.93-5.25)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54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8.40 (7.35-9.61)</w:t>
            </w:r>
          </w:p>
        </w:tc>
      </w:tr>
      <w:tr w:rsidR="00AD57DA" w:rsidRPr="00555461" w:rsidTr="009724CE">
        <w:trPr>
          <w:cantSplit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78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Framingham (HDL)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733643" w:rsidRDefault="00AD57DA" w:rsidP="009724C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D57DA" w:rsidRPr="00555461" w:rsidTr="009724CE">
        <w:trPr>
          <w:cantSplit/>
        </w:trPr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54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Quintile range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54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2-10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54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11-12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54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13-15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54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16-17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54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18-29</w:t>
            </w:r>
          </w:p>
        </w:tc>
      </w:tr>
      <w:tr w:rsidR="00AD57DA" w:rsidRPr="00555461" w:rsidTr="009724CE">
        <w:trPr>
          <w:cantSplit/>
        </w:trPr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54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54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2,913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54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2,171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54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3,657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54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2,033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54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2,669</w:t>
            </w:r>
          </w:p>
        </w:tc>
      </w:tr>
      <w:tr w:rsidR="00AD57DA" w:rsidRPr="00555461" w:rsidTr="009724CE">
        <w:trPr>
          <w:cantSplit/>
        </w:trPr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54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Event (rate)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54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271 (5.7)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54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330 (9.9)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54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684 (12.6)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54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 (17.8)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54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886 (26.6)</w:t>
            </w:r>
          </w:p>
        </w:tc>
      </w:tr>
      <w:tr w:rsidR="00AD57DA" w:rsidRPr="00555461" w:rsidTr="009724CE">
        <w:trPr>
          <w:cantSplit/>
        </w:trPr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54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HR (95% CI)</w:t>
            </w: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733643" w:rsidRDefault="00AD57DA" w:rsidP="009724C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733643">
              <w:rPr>
                <w:rFonts w:asciiTheme="minorHAnsi" w:hAnsiTheme="minorHAnsi" w:cstheme="minorHAnsi"/>
                <w:color w:val="000000"/>
                <w:szCs w:val="22"/>
              </w:rPr>
              <w:t>1 (reference)</w:t>
            </w: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54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1.79 (1.53-2.11)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54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2.31 (2.01-2.66)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54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3.32 (2.87-3.85)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54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5.12 (4.47-5.87)</w:t>
            </w:r>
          </w:p>
        </w:tc>
      </w:tr>
      <w:tr w:rsidR="00AD57DA" w:rsidRPr="00555461" w:rsidTr="009724CE">
        <w:trPr>
          <w:cantSplit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ASCVD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733643" w:rsidRDefault="00AD57DA" w:rsidP="009724C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D57DA" w:rsidRPr="00555461" w:rsidTr="009724CE">
        <w:trPr>
          <w:cantSplit/>
        </w:trPr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54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Quintile range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54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0-5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54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5-8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54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8-12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54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12-18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54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18-146</w:t>
            </w:r>
          </w:p>
        </w:tc>
      </w:tr>
      <w:tr w:rsidR="00AD57DA" w:rsidRPr="00555461" w:rsidTr="009724CE">
        <w:trPr>
          <w:cantSplit/>
        </w:trPr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54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54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2,685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54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2,654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54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2,618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54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2,579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54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2,504</w:t>
            </w:r>
          </w:p>
        </w:tc>
      </w:tr>
      <w:tr w:rsidR="00AD57DA" w:rsidRPr="00555461" w:rsidTr="009724CE">
        <w:trPr>
          <w:cantSplit/>
        </w:trPr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54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Event (rate)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54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207 (4.7)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54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412 (9.9)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54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508 (13.0)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54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629 (17.5)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54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835 (27.7)</w:t>
            </w:r>
          </w:p>
        </w:tc>
      </w:tr>
      <w:tr w:rsidR="00AD57DA" w:rsidRPr="00555461" w:rsidTr="009724CE">
        <w:trPr>
          <w:cantSplit/>
        </w:trPr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54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HR (95% CI)</w:t>
            </w: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733643" w:rsidRDefault="00AD57DA" w:rsidP="009724C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733643">
              <w:rPr>
                <w:rFonts w:asciiTheme="minorHAnsi" w:hAnsiTheme="minorHAnsi" w:cstheme="minorHAnsi"/>
                <w:color w:val="000000"/>
                <w:szCs w:val="22"/>
              </w:rPr>
              <w:t>1 (reference)</w:t>
            </w: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54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2.17 (1.84-2.57)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54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2.89 (2.46-3.40)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54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4.03 (3.45-4.72)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54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6.72 (5.77-7.83)</w:t>
            </w:r>
          </w:p>
        </w:tc>
      </w:tr>
      <w:tr w:rsidR="00AD57DA" w:rsidRPr="00555461" w:rsidTr="009724CE">
        <w:trPr>
          <w:cantSplit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r w:rsidRPr="005554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733643" w:rsidRDefault="00AD57DA" w:rsidP="009724C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D57DA" w:rsidRPr="00555461" w:rsidTr="009724CE">
        <w:trPr>
          <w:cantSplit/>
        </w:trPr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54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Quintile range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54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50-56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54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57-61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54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62-65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54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66-70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54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71-81</w:t>
            </w:r>
          </w:p>
        </w:tc>
      </w:tr>
      <w:tr w:rsidR="00AD57DA" w:rsidRPr="00555461" w:rsidTr="009724CE">
        <w:trPr>
          <w:cantSplit/>
        </w:trPr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54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54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5,478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54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5,497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54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4,673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54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5,569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54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4,684</w:t>
            </w:r>
          </w:p>
        </w:tc>
      </w:tr>
      <w:tr w:rsidR="00AD57DA" w:rsidRPr="00555461" w:rsidTr="009724CE">
        <w:trPr>
          <w:cantSplit/>
        </w:trPr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54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Event (rate)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54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359 (4.1)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54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552 (6.5)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54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676 (9.8)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54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 w:rsidRPr="005554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058 (13.5)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54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 w:rsidRPr="005554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247 (22.0)</w:t>
            </w:r>
          </w:p>
        </w:tc>
      </w:tr>
      <w:tr w:rsidR="00AD57DA" w:rsidRPr="00555461" w:rsidTr="009724CE">
        <w:trPr>
          <w:cantSplit/>
        </w:trPr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54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HR (95% CI)</w:t>
            </w: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733643" w:rsidRDefault="00AD57DA" w:rsidP="009724C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733643">
              <w:rPr>
                <w:rFonts w:asciiTheme="minorHAnsi" w:hAnsiTheme="minorHAnsi" w:cstheme="minorHAnsi"/>
                <w:color w:val="000000"/>
                <w:szCs w:val="22"/>
              </w:rPr>
              <w:t>1 (reference)</w:t>
            </w: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54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1.61 (1.41-1.84)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54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2.50 (2.20-2.84)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54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3.53 (3.13-3.98)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54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6.19 (5.50-6.97)</w:t>
            </w:r>
          </w:p>
        </w:tc>
      </w:tr>
      <w:tr w:rsidR="00AD57DA" w:rsidRPr="00555461" w:rsidTr="009724CE">
        <w:trPr>
          <w:cantSplit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Years since menopause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733643" w:rsidRDefault="00AD57DA" w:rsidP="009724C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D57DA" w:rsidRPr="00555461" w:rsidTr="009724CE">
        <w:trPr>
          <w:cantSplit/>
        </w:trPr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54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Quintile range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54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0-6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54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7-12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54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13-17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54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18-23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54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24-55</w:t>
            </w:r>
          </w:p>
        </w:tc>
      </w:tr>
      <w:tr w:rsidR="00AD57DA" w:rsidRPr="00555461" w:rsidTr="009724CE">
        <w:trPr>
          <w:cantSplit/>
        </w:trPr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54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54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4,682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54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4,895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54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4,288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54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4,542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54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4,627</w:t>
            </w:r>
          </w:p>
        </w:tc>
      </w:tr>
      <w:tr w:rsidR="00AD57DA" w:rsidRPr="00555461" w:rsidTr="009724CE">
        <w:trPr>
          <w:cantSplit/>
        </w:trPr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54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Event (rate)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54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333 (4.4)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54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552 (7.4)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54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666 (10.8)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54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828 (13.2)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54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 w:rsidRPr="005554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063 (18.2)</w:t>
            </w:r>
          </w:p>
        </w:tc>
      </w:tr>
      <w:tr w:rsidR="00AD57DA" w:rsidRPr="00555461" w:rsidTr="009724CE">
        <w:trPr>
          <w:cantSplit/>
        </w:trPr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54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HR (95% CI)</w:t>
            </w: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733643" w:rsidRDefault="00AD57DA" w:rsidP="009724C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733643">
              <w:rPr>
                <w:rFonts w:asciiTheme="minorHAnsi" w:hAnsiTheme="minorHAnsi" w:cstheme="minorHAnsi"/>
                <w:color w:val="000000"/>
                <w:szCs w:val="22"/>
              </w:rPr>
              <w:t>1 (reference)</w:t>
            </w: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54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1.70 (1.48-1.94)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54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2.57 (2.25-2.93)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54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3.19 (2.80-3.62)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AD57DA" w:rsidRPr="00555461" w:rsidRDefault="00AD57DA" w:rsidP="009724CE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54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4.56 (4.03-5.15)</w:t>
            </w:r>
          </w:p>
        </w:tc>
      </w:tr>
    </w:tbl>
    <w:p w:rsidR="00AD57DA" w:rsidRPr="000D0685" w:rsidRDefault="00AD57DA" w:rsidP="00AD57DA">
      <w:pPr>
        <w:adjustRightInd w:val="0"/>
        <w:rPr>
          <w:rFonts w:ascii="Calibri" w:hAnsi="Calibri" w:cs="Calibri"/>
          <w:bCs/>
          <w:color w:val="000000"/>
          <w:sz w:val="18"/>
          <w:szCs w:val="18"/>
        </w:rPr>
      </w:pPr>
      <w:r w:rsidRPr="000D0685">
        <w:rPr>
          <w:rFonts w:ascii="Calibri" w:hAnsi="Calibri" w:cs="Calibri"/>
          <w:bCs/>
          <w:color w:val="000000"/>
          <w:sz w:val="18"/>
          <w:szCs w:val="18"/>
        </w:rPr>
        <w:t>Rate – events per 1,000 person-years</w:t>
      </w:r>
    </w:p>
    <w:p w:rsidR="00AD57DA" w:rsidRPr="000D0685" w:rsidRDefault="00AD57DA" w:rsidP="00AD57DA">
      <w:pPr>
        <w:adjustRightInd w:val="0"/>
        <w:rPr>
          <w:rFonts w:asciiTheme="minorHAnsi" w:hAnsiTheme="minorHAnsi" w:cstheme="minorHAnsi"/>
          <w:sz w:val="18"/>
          <w:szCs w:val="18"/>
        </w:rPr>
      </w:pPr>
      <w:r w:rsidRPr="000D0685">
        <w:rPr>
          <w:rFonts w:asciiTheme="minorHAnsi" w:hAnsiTheme="minorHAnsi" w:cstheme="minorHAnsi"/>
          <w:sz w:val="18"/>
          <w:szCs w:val="18"/>
        </w:rPr>
        <w:t>CVD---Cardiovascular Disease</w:t>
      </w:r>
    </w:p>
    <w:p w:rsidR="00AD57DA" w:rsidRDefault="00AD57DA">
      <w:bookmarkStart w:id="1" w:name="_GoBack"/>
      <w:bookmarkEnd w:id="1"/>
    </w:p>
    <w:sectPr w:rsidR="00AD5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7DA"/>
    <w:rsid w:val="009F7EED"/>
    <w:rsid w:val="00AD57DA"/>
    <w:rsid w:val="00B2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4AB38"/>
  <w15:chartTrackingRefBased/>
  <w15:docId w15:val="{41E1E3D3-6B6D-4B67-8A93-008F2C9C1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57D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Oklahoma Health Science Center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Wild, Robert A. (HSC)</dc:creator>
  <cp:keywords/>
  <dc:description/>
  <cp:lastModifiedBy>Wild, Robert A. (HSC)</cp:lastModifiedBy>
  <cp:revision>1</cp:revision>
  <dcterms:created xsi:type="dcterms:W3CDTF">2020-12-15T21:52:00Z</dcterms:created>
  <dcterms:modified xsi:type="dcterms:W3CDTF">2020-12-15T21:54:00Z</dcterms:modified>
</cp:coreProperties>
</file>