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20" w:rsidRDefault="00E36F55" w:rsidP="008C5720">
      <w:r>
        <w:t>Table SDC 3</w:t>
      </w:r>
      <w:r w:rsidR="008C5720">
        <w:t xml:space="preserve">: Average Association of Diseases Combinations with Cancer Screening Metrics </w:t>
      </w:r>
      <w:r w:rsidR="001A01DF" w:rsidRPr="00534925">
        <w:rPr>
          <w:b/>
        </w:rPr>
        <w:t>for Continuously Medicaid Enrolled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1800"/>
        <w:gridCol w:w="1710"/>
        <w:gridCol w:w="1890"/>
        <w:gridCol w:w="1620"/>
        <w:gridCol w:w="1908"/>
      </w:tblGrid>
      <w:tr w:rsidR="008C5720" w:rsidTr="00172641">
        <w:tc>
          <w:tcPr>
            <w:tcW w:w="2628" w:type="dxa"/>
          </w:tcPr>
          <w:p w:rsidR="008C5720" w:rsidRDefault="008C5720" w:rsidP="00172641"/>
        </w:tc>
        <w:tc>
          <w:tcPr>
            <w:tcW w:w="5130" w:type="dxa"/>
            <w:gridSpan w:val="3"/>
          </w:tcPr>
          <w:p w:rsidR="008C5720" w:rsidRDefault="008C5720" w:rsidP="00172641">
            <w:r>
              <w:t>Percentage Point Change Associated with Clinical Diagnosis of Depression</w:t>
            </w:r>
          </w:p>
        </w:tc>
        <w:tc>
          <w:tcPr>
            <w:tcW w:w="5418" w:type="dxa"/>
            <w:gridSpan w:val="3"/>
          </w:tcPr>
          <w:p w:rsidR="008C5720" w:rsidRDefault="008C5720" w:rsidP="00172641">
            <w:r>
              <w:t>Percentage Point Change Associated with Clinical Diagnosis of Schizophrenia</w:t>
            </w:r>
          </w:p>
        </w:tc>
      </w:tr>
      <w:tr w:rsidR="008C5720" w:rsidTr="00172641">
        <w:tc>
          <w:tcPr>
            <w:tcW w:w="2628" w:type="dxa"/>
          </w:tcPr>
          <w:p w:rsidR="008C5720" w:rsidRDefault="008C5720" w:rsidP="00172641"/>
        </w:tc>
        <w:tc>
          <w:tcPr>
            <w:tcW w:w="1620" w:type="dxa"/>
          </w:tcPr>
          <w:p w:rsidR="008C5720" w:rsidRDefault="008C5720" w:rsidP="00172641">
            <w:r>
              <w:t>For those with one medical comorbidity</w:t>
            </w:r>
          </w:p>
        </w:tc>
        <w:tc>
          <w:tcPr>
            <w:tcW w:w="1800" w:type="dxa"/>
          </w:tcPr>
          <w:p w:rsidR="008C5720" w:rsidRDefault="008C5720" w:rsidP="00172641">
            <w:r>
              <w:t>For those with two medical comorbidities</w:t>
            </w:r>
          </w:p>
        </w:tc>
        <w:tc>
          <w:tcPr>
            <w:tcW w:w="1710" w:type="dxa"/>
          </w:tcPr>
          <w:p w:rsidR="008C5720" w:rsidRDefault="008C5720" w:rsidP="00172641">
            <w:r>
              <w:t>For those with three medical comorbidities</w:t>
            </w:r>
          </w:p>
        </w:tc>
        <w:tc>
          <w:tcPr>
            <w:tcW w:w="1890" w:type="dxa"/>
          </w:tcPr>
          <w:p w:rsidR="008C5720" w:rsidRDefault="008C5720" w:rsidP="00172641">
            <w:r>
              <w:t>For those with one medical comorbidity</w:t>
            </w:r>
          </w:p>
        </w:tc>
        <w:tc>
          <w:tcPr>
            <w:tcW w:w="1620" w:type="dxa"/>
          </w:tcPr>
          <w:p w:rsidR="008C5720" w:rsidRDefault="008C5720" w:rsidP="00172641">
            <w:r>
              <w:t>For those with two medical comorbidities</w:t>
            </w:r>
          </w:p>
        </w:tc>
        <w:tc>
          <w:tcPr>
            <w:tcW w:w="1908" w:type="dxa"/>
          </w:tcPr>
          <w:p w:rsidR="008C5720" w:rsidRDefault="008C5720" w:rsidP="00172641">
            <w:r>
              <w:t>For those with three medical comorbidities</w:t>
            </w:r>
          </w:p>
        </w:tc>
      </w:tr>
      <w:tr w:rsidR="008C5720" w:rsidTr="00172641">
        <w:tc>
          <w:tcPr>
            <w:tcW w:w="2628" w:type="dxa"/>
          </w:tcPr>
          <w:p w:rsidR="008C5720" w:rsidRDefault="008C5720" w:rsidP="00172641">
            <w:r>
              <w:t xml:space="preserve">Percent of persons over age 50 receiving colorectal cancer screening </w:t>
            </w:r>
          </w:p>
        </w:tc>
        <w:tc>
          <w:tcPr>
            <w:tcW w:w="1620" w:type="dxa"/>
          </w:tcPr>
          <w:p w:rsidR="008C5720" w:rsidRDefault="008C5720" w:rsidP="00172641">
            <w:r>
              <w:t>6.3%**</w:t>
            </w:r>
          </w:p>
          <w:p w:rsidR="008C5720" w:rsidRDefault="008C5720" w:rsidP="00172641">
            <w:r>
              <w:t>(1.6)</w:t>
            </w:r>
          </w:p>
          <w:p w:rsidR="008C5720" w:rsidRDefault="008C5720" w:rsidP="00172641"/>
        </w:tc>
        <w:tc>
          <w:tcPr>
            <w:tcW w:w="1800" w:type="dxa"/>
          </w:tcPr>
          <w:p w:rsidR="008C5720" w:rsidRDefault="008C5720" w:rsidP="00172641">
            <w:r>
              <w:t>4.8%**</w:t>
            </w:r>
          </w:p>
          <w:p w:rsidR="008C5720" w:rsidRDefault="008C5720" w:rsidP="00172641">
            <w:r>
              <w:t>(1.3)</w:t>
            </w:r>
          </w:p>
        </w:tc>
        <w:tc>
          <w:tcPr>
            <w:tcW w:w="1710" w:type="dxa"/>
          </w:tcPr>
          <w:p w:rsidR="008C5720" w:rsidRDefault="008C5720" w:rsidP="00172641">
            <w:r>
              <w:t>2.32%**</w:t>
            </w:r>
          </w:p>
          <w:p w:rsidR="008C5720" w:rsidRDefault="008C5720" w:rsidP="00172641">
            <w:r>
              <w:t>(0.97)</w:t>
            </w:r>
          </w:p>
        </w:tc>
        <w:tc>
          <w:tcPr>
            <w:tcW w:w="1890" w:type="dxa"/>
          </w:tcPr>
          <w:p w:rsidR="008C5720" w:rsidRDefault="008C5720" w:rsidP="00172641">
            <w:r>
              <w:t>-1.6%</w:t>
            </w:r>
          </w:p>
          <w:p w:rsidR="008C5720" w:rsidRDefault="008C5720" w:rsidP="00172641">
            <w:r>
              <w:t>(2.2)</w:t>
            </w:r>
          </w:p>
        </w:tc>
        <w:tc>
          <w:tcPr>
            <w:tcW w:w="1620" w:type="dxa"/>
          </w:tcPr>
          <w:p w:rsidR="008C5720" w:rsidRDefault="008C5720" w:rsidP="00172641">
            <w:r>
              <w:t>-7.0%**</w:t>
            </w:r>
          </w:p>
          <w:p w:rsidR="008C5720" w:rsidRDefault="008C5720" w:rsidP="00172641">
            <w:r>
              <w:t>(1.9)</w:t>
            </w:r>
          </w:p>
        </w:tc>
        <w:tc>
          <w:tcPr>
            <w:tcW w:w="1908" w:type="dxa"/>
          </w:tcPr>
          <w:p w:rsidR="008C5720" w:rsidRDefault="008C5720" w:rsidP="00172641">
            <w:r>
              <w:t>0.7%</w:t>
            </w:r>
          </w:p>
          <w:p w:rsidR="008C5720" w:rsidRDefault="008C5720" w:rsidP="00172641">
            <w:r>
              <w:t>(1.6)</w:t>
            </w:r>
          </w:p>
        </w:tc>
      </w:tr>
      <w:tr w:rsidR="008C5720" w:rsidTr="00172641">
        <w:tc>
          <w:tcPr>
            <w:tcW w:w="2628" w:type="dxa"/>
          </w:tcPr>
          <w:p w:rsidR="008C5720" w:rsidRDefault="008C5720" w:rsidP="00172641">
            <w:r>
              <w:t>Percent of women over age 40 receiving breast cancer screening</w:t>
            </w:r>
          </w:p>
        </w:tc>
        <w:tc>
          <w:tcPr>
            <w:tcW w:w="1620" w:type="dxa"/>
          </w:tcPr>
          <w:p w:rsidR="008C5720" w:rsidRDefault="008C5720" w:rsidP="00172641">
            <w:r>
              <w:t>2.5%</w:t>
            </w:r>
          </w:p>
          <w:p w:rsidR="008C5720" w:rsidRDefault="008C5720" w:rsidP="00172641">
            <w:r>
              <w:t>(1.3)</w:t>
            </w:r>
          </w:p>
        </w:tc>
        <w:tc>
          <w:tcPr>
            <w:tcW w:w="1800" w:type="dxa"/>
          </w:tcPr>
          <w:p w:rsidR="008C5720" w:rsidRDefault="008C5720" w:rsidP="00172641">
            <w:r>
              <w:t>1.5%</w:t>
            </w:r>
          </w:p>
          <w:p w:rsidR="008C5720" w:rsidRDefault="008C5720" w:rsidP="00172641">
            <w:r>
              <w:t>(1.1)</w:t>
            </w:r>
          </w:p>
        </w:tc>
        <w:tc>
          <w:tcPr>
            <w:tcW w:w="1710" w:type="dxa"/>
          </w:tcPr>
          <w:p w:rsidR="008C5720" w:rsidRDefault="008C5720" w:rsidP="00172641">
            <w:r>
              <w:t>-0.50%</w:t>
            </w:r>
          </w:p>
          <w:p w:rsidR="008C5720" w:rsidRDefault="008C5720" w:rsidP="00172641">
            <w:r>
              <w:t>(0.89)</w:t>
            </w:r>
          </w:p>
        </w:tc>
        <w:tc>
          <w:tcPr>
            <w:tcW w:w="1890" w:type="dxa"/>
          </w:tcPr>
          <w:p w:rsidR="008C5720" w:rsidRDefault="008C5720" w:rsidP="00172641">
            <w:r>
              <w:t>0.2%</w:t>
            </w:r>
          </w:p>
          <w:p w:rsidR="008C5720" w:rsidRDefault="008C5720" w:rsidP="00172641">
            <w:r>
              <w:t>(2.1)</w:t>
            </w:r>
          </w:p>
        </w:tc>
        <w:tc>
          <w:tcPr>
            <w:tcW w:w="1620" w:type="dxa"/>
          </w:tcPr>
          <w:p w:rsidR="008C5720" w:rsidRDefault="008C5720" w:rsidP="00172641">
            <w:r>
              <w:t>-1.3%</w:t>
            </w:r>
          </w:p>
          <w:p w:rsidR="008C5720" w:rsidRDefault="008C5720" w:rsidP="00172641">
            <w:r>
              <w:t>(1.9)</w:t>
            </w:r>
          </w:p>
        </w:tc>
        <w:tc>
          <w:tcPr>
            <w:tcW w:w="1908" w:type="dxa"/>
          </w:tcPr>
          <w:p w:rsidR="008C5720" w:rsidRDefault="008C5720" w:rsidP="00172641">
            <w:r>
              <w:t>0.5%</w:t>
            </w:r>
          </w:p>
          <w:p w:rsidR="008C5720" w:rsidRDefault="008C5720" w:rsidP="00172641">
            <w:r>
              <w:t>(1.5)</w:t>
            </w:r>
          </w:p>
        </w:tc>
      </w:tr>
      <w:tr w:rsidR="008C5720" w:rsidTr="00172641">
        <w:tc>
          <w:tcPr>
            <w:tcW w:w="2628" w:type="dxa"/>
          </w:tcPr>
          <w:p w:rsidR="008C5720" w:rsidRDefault="008C5720" w:rsidP="00172641">
            <w:r>
              <w:t>Percent of women between ages 21 and 65 receiving cervical cancer screening</w:t>
            </w:r>
          </w:p>
        </w:tc>
        <w:tc>
          <w:tcPr>
            <w:tcW w:w="1620" w:type="dxa"/>
          </w:tcPr>
          <w:p w:rsidR="008C5720" w:rsidRDefault="008C5720" w:rsidP="00172641">
            <w:r>
              <w:t>1.08%</w:t>
            </w:r>
          </w:p>
          <w:p w:rsidR="008C5720" w:rsidRDefault="008C5720" w:rsidP="00172641">
            <w:r>
              <w:t>(0.79)</w:t>
            </w:r>
          </w:p>
        </w:tc>
        <w:tc>
          <w:tcPr>
            <w:tcW w:w="1800" w:type="dxa"/>
          </w:tcPr>
          <w:p w:rsidR="008C5720" w:rsidRDefault="008C5720" w:rsidP="00172641">
            <w:r>
              <w:t>1.27%</w:t>
            </w:r>
          </w:p>
          <w:p w:rsidR="008C5720" w:rsidRDefault="008C5720" w:rsidP="00172641">
            <w:r>
              <w:t>(0.83)</w:t>
            </w:r>
          </w:p>
        </w:tc>
        <w:tc>
          <w:tcPr>
            <w:tcW w:w="1710" w:type="dxa"/>
          </w:tcPr>
          <w:p w:rsidR="008C5720" w:rsidRDefault="008C5720" w:rsidP="00172641">
            <w:r>
              <w:t>1.26%</w:t>
            </w:r>
          </w:p>
          <w:p w:rsidR="008C5720" w:rsidRDefault="008C5720" w:rsidP="00172641">
            <w:r>
              <w:t>(0.75)</w:t>
            </w:r>
          </w:p>
        </w:tc>
        <w:tc>
          <w:tcPr>
            <w:tcW w:w="1890" w:type="dxa"/>
          </w:tcPr>
          <w:p w:rsidR="008C5720" w:rsidRDefault="008C5720" w:rsidP="00172641">
            <w:r>
              <w:t>-1.3%</w:t>
            </w:r>
          </w:p>
          <w:p w:rsidR="008C5720" w:rsidRDefault="008C5720" w:rsidP="00172641">
            <w:r>
              <w:t>(1.5)</w:t>
            </w:r>
          </w:p>
        </w:tc>
        <w:tc>
          <w:tcPr>
            <w:tcW w:w="1620" w:type="dxa"/>
          </w:tcPr>
          <w:p w:rsidR="008C5720" w:rsidRDefault="008C5720" w:rsidP="00172641">
            <w:r>
              <w:t>0.2%</w:t>
            </w:r>
          </w:p>
          <w:p w:rsidR="008C5720" w:rsidRDefault="008C5720" w:rsidP="00172641">
            <w:r>
              <w:t>(1.6)</w:t>
            </w:r>
          </w:p>
        </w:tc>
        <w:tc>
          <w:tcPr>
            <w:tcW w:w="1908" w:type="dxa"/>
          </w:tcPr>
          <w:p w:rsidR="008C5720" w:rsidRDefault="008C5720" w:rsidP="00172641">
            <w:r>
              <w:t>5.7%**</w:t>
            </w:r>
          </w:p>
          <w:p w:rsidR="008C5720" w:rsidRDefault="008C5720" w:rsidP="00172641">
            <w:r>
              <w:t>(1.3)</w:t>
            </w:r>
          </w:p>
        </w:tc>
      </w:tr>
    </w:tbl>
    <w:p w:rsidR="008C5720" w:rsidRDefault="008C5720" w:rsidP="008C5720">
      <w:r>
        <w:t>*=p&lt;0.05; **=p&lt;0.01. Delta-method standard errors are in parentheses. All models control for age in quadratic form, number of months enrolled in Medicaid, gender, race, and ethnicity.</w:t>
      </w:r>
    </w:p>
    <w:p w:rsidR="008B359C" w:rsidRDefault="008B359C"/>
    <w:sectPr w:rsidR="008B359C" w:rsidSect="008C5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20"/>
    <w:rsid w:val="001A01DF"/>
    <w:rsid w:val="008B359C"/>
    <w:rsid w:val="008C5720"/>
    <w:rsid w:val="00E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Domino</dc:creator>
  <cp:lastModifiedBy>Marisa Domino</cp:lastModifiedBy>
  <cp:revision>3</cp:revision>
  <dcterms:created xsi:type="dcterms:W3CDTF">2013-09-09T16:47:00Z</dcterms:created>
  <dcterms:modified xsi:type="dcterms:W3CDTF">2013-09-09T16:51:00Z</dcterms:modified>
</cp:coreProperties>
</file>