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4E" w:rsidRDefault="00276485" w:rsidP="00FC464E">
      <w:pPr>
        <w:ind w:left="360"/>
      </w:pPr>
      <w:r>
        <w:t>Table SDC 5</w:t>
      </w:r>
      <w:r w:rsidR="00FC464E">
        <w:t>: Average Differences in Disease-specific Quality Metrics</w:t>
      </w:r>
      <w:r w:rsidR="00FC464E" w:rsidDel="00925230">
        <w:t xml:space="preserve"> </w:t>
      </w:r>
      <w:r w:rsidR="00FC464E">
        <w:t xml:space="preserve">by </w:t>
      </w:r>
      <w:r w:rsidRPr="00DF39E7">
        <w:rPr>
          <w:b/>
        </w:rPr>
        <w:t>Psychiatric Comorbidity</w:t>
      </w:r>
      <w:r w:rsidR="00EC671A">
        <w:rPr>
          <w:b/>
        </w:rPr>
        <w:t xml:space="preserve"> </w:t>
      </w:r>
      <w:r w:rsidR="00EC671A" w:rsidRPr="00534925">
        <w:rPr>
          <w:b/>
        </w:rPr>
        <w:t>for Continuously Medicaid Enrolled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1690"/>
        <w:gridCol w:w="1838"/>
        <w:gridCol w:w="1860"/>
        <w:gridCol w:w="1690"/>
        <w:gridCol w:w="1838"/>
        <w:gridCol w:w="1860"/>
      </w:tblGrid>
      <w:tr w:rsidR="00FC464E" w:rsidTr="00172641">
        <w:tc>
          <w:tcPr>
            <w:tcW w:w="0" w:type="auto"/>
          </w:tcPr>
          <w:p w:rsidR="00FC464E" w:rsidRDefault="00FC464E" w:rsidP="00172641"/>
        </w:tc>
        <w:tc>
          <w:tcPr>
            <w:tcW w:w="0" w:type="auto"/>
            <w:gridSpan w:val="3"/>
          </w:tcPr>
          <w:p w:rsidR="00FC464E" w:rsidRDefault="00FC464E" w:rsidP="00172641">
            <w:r>
              <w:t>Percentage Point Change Associated with Clinical Diagnosis of Depression</w:t>
            </w:r>
          </w:p>
        </w:tc>
        <w:tc>
          <w:tcPr>
            <w:tcW w:w="0" w:type="auto"/>
            <w:gridSpan w:val="3"/>
          </w:tcPr>
          <w:p w:rsidR="00FC464E" w:rsidRDefault="00FC464E" w:rsidP="00172641">
            <w:r>
              <w:t>Percentage Point Change Associated with Clinical Diagnosis of Schizophrenia</w:t>
            </w:r>
          </w:p>
        </w:tc>
      </w:tr>
      <w:tr w:rsidR="00FC464E" w:rsidTr="00172641">
        <w:tc>
          <w:tcPr>
            <w:tcW w:w="0" w:type="auto"/>
          </w:tcPr>
          <w:p w:rsidR="00FC464E" w:rsidRDefault="00FC464E" w:rsidP="00172641">
            <w:r>
              <w:t>Disease-specific Quality Metrics</w:t>
            </w:r>
          </w:p>
        </w:tc>
        <w:tc>
          <w:tcPr>
            <w:tcW w:w="0" w:type="auto"/>
          </w:tcPr>
          <w:p w:rsidR="00FC464E" w:rsidRDefault="00FC464E" w:rsidP="00172641">
            <w:r>
              <w:t>For those with one medical comorbidity</w:t>
            </w:r>
          </w:p>
        </w:tc>
        <w:tc>
          <w:tcPr>
            <w:tcW w:w="0" w:type="auto"/>
          </w:tcPr>
          <w:p w:rsidR="00FC464E" w:rsidRDefault="00FC464E" w:rsidP="00172641">
            <w:r>
              <w:t>For those with two medical comorbidities</w:t>
            </w:r>
          </w:p>
        </w:tc>
        <w:tc>
          <w:tcPr>
            <w:tcW w:w="0" w:type="auto"/>
          </w:tcPr>
          <w:p w:rsidR="00FC464E" w:rsidRDefault="00FC464E" w:rsidP="00172641">
            <w:r>
              <w:t>For those with three medical comorbidities</w:t>
            </w:r>
          </w:p>
        </w:tc>
        <w:tc>
          <w:tcPr>
            <w:tcW w:w="0" w:type="auto"/>
          </w:tcPr>
          <w:p w:rsidR="00FC464E" w:rsidRDefault="00FC464E" w:rsidP="00172641">
            <w:r>
              <w:t>For those with one medical comorbidity</w:t>
            </w:r>
          </w:p>
        </w:tc>
        <w:tc>
          <w:tcPr>
            <w:tcW w:w="0" w:type="auto"/>
          </w:tcPr>
          <w:p w:rsidR="00FC464E" w:rsidRDefault="00FC464E" w:rsidP="00172641">
            <w:r>
              <w:t>For those with two medical comorbidities</w:t>
            </w:r>
          </w:p>
        </w:tc>
        <w:tc>
          <w:tcPr>
            <w:tcW w:w="0" w:type="auto"/>
          </w:tcPr>
          <w:p w:rsidR="00FC464E" w:rsidRDefault="00FC464E" w:rsidP="00172641">
            <w:r>
              <w:t>For those with three medical comorbidities</w:t>
            </w:r>
          </w:p>
        </w:tc>
      </w:tr>
      <w:tr w:rsidR="00FC464E" w:rsidTr="00172641">
        <w:tc>
          <w:tcPr>
            <w:tcW w:w="0" w:type="auto"/>
            <w:gridSpan w:val="7"/>
          </w:tcPr>
          <w:p w:rsidR="00FC464E" w:rsidRDefault="00FC464E" w:rsidP="00172641">
            <w:r w:rsidRPr="00042F64">
              <w:rPr>
                <w:b/>
              </w:rPr>
              <w:t>Persons with Diabetes</w:t>
            </w:r>
          </w:p>
        </w:tc>
      </w:tr>
      <w:tr w:rsidR="00FC464E" w:rsidTr="00172641">
        <w:tc>
          <w:tcPr>
            <w:tcW w:w="0" w:type="auto"/>
          </w:tcPr>
          <w:p w:rsidR="00FC464E" w:rsidRDefault="00FC464E" w:rsidP="00172641">
            <w:r>
              <w:t>Adherence to medications</w:t>
            </w:r>
          </w:p>
        </w:tc>
        <w:tc>
          <w:tcPr>
            <w:tcW w:w="0" w:type="auto"/>
          </w:tcPr>
          <w:p w:rsidR="00FC464E" w:rsidRDefault="00FC464E" w:rsidP="00172641">
            <w:r>
              <w:t>-0.037**</w:t>
            </w:r>
          </w:p>
          <w:p w:rsidR="00FC464E" w:rsidRDefault="00FC464E" w:rsidP="00172641">
            <w:r>
              <w:t>(0.014)</w:t>
            </w:r>
          </w:p>
        </w:tc>
        <w:tc>
          <w:tcPr>
            <w:tcW w:w="0" w:type="auto"/>
          </w:tcPr>
          <w:p w:rsidR="00FC464E" w:rsidRDefault="00FC464E" w:rsidP="00172641">
            <w:r>
              <w:t>-0.0411**</w:t>
            </w:r>
          </w:p>
          <w:p w:rsidR="00FC464E" w:rsidRDefault="00FC464E" w:rsidP="00172641">
            <w:r>
              <w:t>(0.0093)</w:t>
            </w:r>
          </w:p>
        </w:tc>
        <w:tc>
          <w:tcPr>
            <w:tcW w:w="0" w:type="auto"/>
          </w:tcPr>
          <w:p w:rsidR="00FC464E" w:rsidRDefault="00FC464E" w:rsidP="00172641">
            <w:r>
              <w:t>-0.0544**</w:t>
            </w:r>
          </w:p>
          <w:p w:rsidR="00FC464E" w:rsidRDefault="00FC464E" w:rsidP="00172641">
            <w:r>
              <w:t>(0.0056)</w:t>
            </w:r>
          </w:p>
        </w:tc>
        <w:tc>
          <w:tcPr>
            <w:tcW w:w="0" w:type="auto"/>
          </w:tcPr>
          <w:p w:rsidR="00FC464E" w:rsidRDefault="00FC464E" w:rsidP="00172641">
            <w:r>
              <w:t>0.038</w:t>
            </w:r>
          </w:p>
          <w:p w:rsidR="00FC464E" w:rsidRDefault="00FC464E" w:rsidP="00172641">
            <w:r>
              <w:t>(0.027)</w:t>
            </w:r>
          </w:p>
        </w:tc>
        <w:tc>
          <w:tcPr>
            <w:tcW w:w="0" w:type="auto"/>
          </w:tcPr>
          <w:p w:rsidR="00FC464E" w:rsidRDefault="00FC464E" w:rsidP="00172641">
            <w:r>
              <w:t>0.087**</w:t>
            </w:r>
          </w:p>
          <w:p w:rsidR="00FC464E" w:rsidRDefault="00FC464E" w:rsidP="00172641">
            <w:r>
              <w:t>(0.016)</w:t>
            </w:r>
          </w:p>
        </w:tc>
        <w:tc>
          <w:tcPr>
            <w:tcW w:w="0" w:type="auto"/>
          </w:tcPr>
          <w:p w:rsidR="00FC464E" w:rsidRDefault="00FC464E" w:rsidP="00172641">
            <w:r>
              <w:t>0.0535**</w:t>
            </w:r>
          </w:p>
          <w:p w:rsidR="00FC464E" w:rsidRDefault="00FC464E" w:rsidP="00172641">
            <w:r>
              <w:t>(0.0092)</w:t>
            </w:r>
          </w:p>
        </w:tc>
      </w:tr>
      <w:tr w:rsidR="00FC464E" w:rsidTr="00172641">
        <w:tc>
          <w:tcPr>
            <w:tcW w:w="0" w:type="auto"/>
          </w:tcPr>
          <w:p w:rsidR="00FC464E" w:rsidRDefault="00FC464E" w:rsidP="00172641">
            <w:r>
              <w:t>Percent with A1C Test during 3 years</w:t>
            </w:r>
          </w:p>
        </w:tc>
        <w:tc>
          <w:tcPr>
            <w:tcW w:w="0" w:type="auto"/>
          </w:tcPr>
          <w:p w:rsidR="00FC464E" w:rsidRDefault="00FC464E" w:rsidP="00172641">
            <w:r>
              <w:t>-0.5%</w:t>
            </w:r>
          </w:p>
          <w:p w:rsidR="00FC464E" w:rsidRDefault="00FC464E" w:rsidP="00172641">
            <w:r>
              <w:t>(1.8)</w:t>
            </w:r>
          </w:p>
        </w:tc>
        <w:tc>
          <w:tcPr>
            <w:tcW w:w="0" w:type="auto"/>
          </w:tcPr>
          <w:p w:rsidR="00FC464E" w:rsidRDefault="00FC464E" w:rsidP="00172641">
            <w:r>
              <w:t>-0.76%</w:t>
            </w:r>
          </w:p>
          <w:p w:rsidR="00FC464E" w:rsidRDefault="00FC464E" w:rsidP="00172641">
            <w:r>
              <w:t>(0.92)</w:t>
            </w:r>
          </w:p>
        </w:tc>
        <w:tc>
          <w:tcPr>
            <w:tcW w:w="0" w:type="auto"/>
          </w:tcPr>
          <w:p w:rsidR="00FC464E" w:rsidRDefault="00FC464E" w:rsidP="00172641">
            <w:r>
              <w:t>-1.23%**</w:t>
            </w:r>
          </w:p>
          <w:p w:rsidR="00FC464E" w:rsidRDefault="00FC464E" w:rsidP="00172641">
            <w:r>
              <w:t>(0.38)</w:t>
            </w:r>
          </w:p>
        </w:tc>
        <w:tc>
          <w:tcPr>
            <w:tcW w:w="0" w:type="auto"/>
          </w:tcPr>
          <w:p w:rsidR="00FC464E" w:rsidRDefault="00FC464E" w:rsidP="00172641">
            <w:r>
              <w:t>-7.8%*</w:t>
            </w:r>
          </w:p>
          <w:p w:rsidR="00FC464E" w:rsidRDefault="00FC464E" w:rsidP="00172641">
            <w:r>
              <w:t>(3.3)</w:t>
            </w:r>
          </w:p>
        </w:tc>
        <w:tc>
          <w:tcPr>
            <w:tcW w:w="0" w:type="auto"/>
          </w:tcPr>
          <w:p w:rsidR="00FC464E" w:rsidRDefault="00FC464E" w:rsidP="00172641">
            <w:r>
              <w:t>-1.2%</w:t>
            </w:r>
          </w:p>
          <w:p w:rsidR="00FC464E" w:rsidRDefault="00FC464E" w:rsidP="00172641">
            <w:r>
              <w:t>(1.4)</w:t>
            </w:r>
          </w:p>
        </w:tc>
        <w:tc>
          <w:tcPr>
            <w:tcW w:w="0" w:type="auto"/>
          </w:tcPr>
          <w:p w:rsidR="00FC464E" w:rsidRDefault="00FC464E" w:rsidP="00172641">
            <w:r>
              <w:t>-1.21%</w:t>
            </w:r>
          </w:p>
          <w:p w:rsidR="00FC464E" w:rsidRDefault="00FC464E" w:rsidP="00172641">
            <w:r>
              <w:t>(0.62)</w:t>
            </w:r>
          </w:p>
        </w:tc>
      </w:tr>
      <w:tr w:rsidR="00FC464E" w:rsidTr="00172641">
        <w:tc>
          <w:tcPr>
            <w:tcW w:w="0" w:type="auto"/>
          </w:tcPr>
          <w:p w:rsidR="00FC464E" w:rsidRDefault="00FC464E" w:rsidP="00172641">
            <w:r>
              <w:t>Percent receiving Lipid Profile</w:t>
            </w:r>
          </w:p>
        </w:tc>
        <w:tc>
          <w:tcPr>
            <w:tcW w:w="0" w:type="auto"/>
          </w:tcPr>
          <w:p w:rsidR="00FC464E" w:rsidRDefault="00FC464E" w:rsidP="00172641">
            <w:r>
              <w:t>-0.5%</w:t>
            </w:r>
          </w:p>
          <w:p w:rsidR="00FC464E" w:rsidRDefault="00FC464E" w:rsidP="00172641">
            <w:r>
              <w:t>(2.1)</w:t>
            </w:r>
          </w:p>
        </w:tc>
        <w:tc>
          <w:tcPr>
            <w:tcW w:w="0" w:type="auto"/>
          </w:tcPr>
          <w:p w:rsidR="00FC464E" w:rsidRDefault="00FC464E" w:rsidP="00172641">
            <w:r>
              <w:t>2.4%*</w:t>
            </w:r>
          </w:p>
          <w:p w:rsidR="00FC464E" w:rsidRDefault="00FC464E" w:rsidP="00172641">
            <w:r>
              <w:t>(1.0)</w:t>
            </w:r>
          </w:p>
        </w:tc>
        <w:tc>
          <w:tcPr>
            <w:tcW w:w="0" w:type="auto"/>
          </w:tcPr>
          <w:p w:rsidR="00FC464E" w:rsidRDefault="00FC464E" w:rsidP="00172641">
            <w:r>
              <w:t>-0.87%*</w:t>
            </w:r>
          </w:p>
          <w:p w:rsidR="00FC464E" w:rsidRDefault="00FC464E" w:rsidP="00172641">
            <w:r>
              <w:t>(0.37)</w:t>
            </w:r>
          </w:p>
        </w:tc>
        <w:tc>
          <w:tcPr>
            <w:tcW w:w="0" w:type="auto"/>
          </w:tcPr>
          <w:p w:rsidR="00FC464E" w:rsidRDefault="00FC464E" w:rsidP="00172641">
            <w:r>
              <w:t>-0.1%</w:t>
            </w:r>
          </w:p>
          <w:p w:rsidR="00FC464E" w:rsidRDefault="00FC464E" w:rsidP="00172641">
            <w:r>
              <w:t>(3.5)</w:t>
            </w:r>
          </w:p>
        </w:tc>
        <w:tc>
          <w:tcPr>
            <w:tcW w:w="0" w:type="auto"/>
          </w:tcPr>
          <w:p w:rsidR="00FC464E" w:rsidRDefault="00FC464E" w:rsidP="00172641">
            <w:r>
              <w:t>6.5%**</w:t>
            </w:r>
          </w:p>
          <w:p w:rsidR="00FC464E" w:rsidRDefault="00FC464E" w:rsidP="00172641">
            <w:r>
              <w:t>(1.3)</w:t>
            </w:r>
          </w:p>
        </w:tc>
        <w:tc>
          <w:tcPr>
            <w:tcW w:w="0" w:type="auto"/>
          </w:tcPr>
          <w:p w:rsidR="00FC464E" w:rsidRDefault="00FC464E" w:rsidP="00172641">
            <w:r>
              <w:t>-0.59%</w:t>
            </w:r>
          </w:p>
          <w:p w:rsidR="00FC464E" w:rsidRDefault="00FC464E" w:rsidP="00172641">
            <w:r>
              <w:t>(0.60)</w:t>
            </w:r>
          </w:p>
        </w:tc>
      </w:tr>
      <w:tr w:rsidR="00FC464E" w:rsidTr="00172641">
        <w:tc>
          <w:tcPr>
            <w:tcW w:w="0" w:type="auto"/>
          </w:tcPr>
          <w:p w:rsidR="00FC464E" w:rsidRDefault="00FC464E" w:rsidP="00172641">
            <w:r>
              <w:t xml:space="preserve">Percent receiving Eye Exam </w:t>
            </w:r>
          </w:p>
        </w:tc>
        <w:tc>
          <w:tcPr>
            <w:tcW w:w="0" w:type="auto"/>
          </w:tcPr>
          <w:p w:rsidR="00FC464E" w:rsidRDefault="00FC464E" w:rsidP="00172641">
            <w:r>
              <w:t>-0.5%</w:t>
            </w:r>
          </w:p>
          <w:p w:rsidR="00FC464E" w:rsidRDefault="00FC464E" w:rsidP="00172641">
            <w:r>
              <w:t>(2.5)</w:t>
            </w:r>
          </w:p>
        </w:tc>
        <w:tc>
          <w:tcPr>
            <w:tcW w:w="0" w:type="auto"/>
          </w:tcPr>
          <w:p w:rsidR="00FC464E" w:rsidRDefault="00FC464E" w:rsidP="00172641">
            <w:r>
              <w:t>0.6%</w:t>
            </w:r>
          </w:p>
          <w:p w:rsidR="00FC464E" w:rsidRDefault="00FC464E" w:rsidP="00172641">
            <w:r>
              <w:t>(1.4)</w:t>
            </w:r>
          </w:p>
        </w:tc>
        <w:tc>
          <w:tcPr>
            <w:tcW w:w="0" w:type="auto"/>
          </w:tcPr>
          <w:p w:rsidR="00FC464E" w:rsidRDefault="00FC464E" w:rsidP="00172641">
            <w:r>
              <w:t>1.13%</w:t>
            </w:r>
          </w:p>
          <w:p w:rsidR="00FC464E" w:rsidRDefault="00FC464E" w:rsidP="00172641">
            <w:r>
              <w:t>(0.72)</w:t>
            </w:r>
          </w:p>
        </w:tc>
        <w:tc>
          <w:tcPr>
            <w:tcW w:w="0" w:type="auto"/>
          </w:tcPr>
          <w:p w:rsidR="00FC464E" w:rsidRDefault="00FC464E" w:rsidP="00172641">
            <w:r>
              <w:t>-1.6%</w:t>
            </w:r>
          </w:p>
          <w:p w:rsidR="00FC464E" w:rsidRDefault="00FC464E" w:rsidP="00172641">
            <w:r>
              <w:t>(4.0)</w:t>
            </w:r>
          </w:p>
        </w:tc>
        <w:tc>
          <w:tcPr>
            <w:tcW w:w="0" w:type="auto"/>
          </w:tcPr>
          <w:p w:rsidR="00FC464E" w:rsidRDefault="00FC464E" w:rsidP="00172641">
            <w:r>
              <w:t>-2.8%</w:t>
            </w:r>
          </w:p>
          <w:p w:rsidR="00FC464E" w:rsidRDefault="00FC464E" w:rsidP="00172641">
            <w:r>
              <w:t>(2.1)</w:t>
            </w:r>
          </w:p>
        </w:tc>
        <w:tc>
          <w:tcPr>
            <w:tcW w:w="0" w:type="auto"/>
          </w:tcPr>
          <w:p w:rsidR="00FC464E" w:rsidRDefault="00FC464E" w:rsidP="00172641">
            <w:r>
              <w:t>-.9%</w:t>
            </w:r>
          </w:p>
          <w:p w:rsidR="00FC464E" w:rsidRDefault="00FC464E" w:rsidP="00172641">
            <w:r>
              <w:t>(1.1)</w:t>
            </w:r>
          </w:p>
        </w:tc>
      </w:tr>
      <w:tr w:rsidR="00FC464E" w:rsidTr="00172641">
        <w:tc>
          <w:tcPr>
            <w:tcW w:w="0" w:type="auto"/>
          </w:tcPr>
          <w:p w:rsidR="00FC464E" w:rsidRDefault="00FC464E" w:rsidP="00172641">
            <w:r>
              <w:t xml:space="preserve">Percent with nephropathy screening or evidence of nephropathy </w:t>
            </w:r>
          </w:p>
        </w:tc>
        <w:tc>
          <w:tcPr>
            <w:tcW w:w="0" w:type="auto"/>
          </w:tcPr>
          <w:p w:rsidR="00FC464E" w:rsidRDefault="00FC464E" w:rsidP="00172641">
            <w:r>
              <w:t>-1.0%</w:t>
            </w:r>
          </w:p>
          <w:p w:rsidR="00FC464E" w:rsidRDefault="00FC464E" w:rsidP="00172641">
            <w:r>
              <w:t>(2.6)</w:t>
            </w:r>
          </w:p>
        </w:tc>
        <w:tc>
          <w:tcPr>
            <w:tcW w:w="0" w:type="auto"/>
          </w:tcPr>
          <w:p w:rsidR="00FC464E" w:rsidRDefault="00FC464E" w:rsidP="00172641">
            <w:r>
              <w:t>-1.2%</w:t>
            </w:r>
          </w:p>
          <w:p w:rsidR="00FC464E" w:rsidRDefault="00FC464E" w:rsidP="00172641">
            <w:r>
              <w:t>(1.5)</w:t>
            </w:r>
          </w:p>
        </w:tc>
        <w:tc>
          <w:tcPr>
            <w:tcW w:w="0" w:type="auto"/>
          </w:tcPr>
          <w:p w:rsidR="00FC464E" w:rsidRDefault="00FC464E" w:rsidP="00172641">
            <w:r>
              <w:t>-1.85%*</w:t>
            </w:r>
          </w:p>
          <w:p w:rsidR="00FC464E" w:rsidRDefault="00FC464E" w:rsidP="00172641">
            <w:r>
              <w:t>(0.80)</w:t>
            </w:r>
          </w:p>
        </w:tc>
        <w:tc>
          <w:tcPr>
            <w:tcW w:w="0" w:type="auto"/>
          </w:tcPr>
          <w:p w:rsidR="00FC464E" w:rsidRDefault="00FC464E" w:rsidP="00172641">
            <w:r>
              <w:t>-10.3%**</w:t>
            </w:r>
          </w:p>
          <w:p w:rsidR="00FC464E" w:rsidRDefault="00FC464E" w:rsidP="00172641">
            <w:r>
              <w:t>(4.0)</w:t>
            </w:r>
          </w:p>
        </w:tc>
        <w:tc>
          <w:tcPr>
            <w:tcW w:w="0" w:type="auto"/>
          </w:tcPr>
          <w:p w:rsidR="00FC464E" w:rsidRDefault="00FC464E" w:rsidP="00172641">
            <w:r>
              <w:t>-4.0%</w:t>
            </w:r>
          </w:p>
          <w:p w:rsidR="00FC464E" w:rsidRDefault="00FC464E" w:rsidP="00172641">
            <w:r>
              <w:t>(2.2)</w:t>
            </w:r>
          </w:p>
        </w:tc>
        <w:tc>
          <w:tcPr>
            <w:tcW w:w="0" w:type="auto"/>
          </w:tcPr>
          <w:p w:rsidR="00FC464E" w:rsidRDefault="00FC464E" w:rsidP="00172641">
            <w:r>
              <w:t>-5.1%**</w:t>
            </w:r>
          </w:p>
          <w:p w:rsidR="00FC464E" w:rsidRDefault="00FC464E" w:rsidP="00172641">
            <w:r>
              <w:t>(1.2)</w:t>
            </w:r>
          </w:p>
        </w:tc>
      </w:tr>
      <w:tr w:rsidR="00FC464E" w:rsidTr="00172641">
        <w:tc>
          <w:tcPr>
            <w:tcW w:w="0" w:type="auto"/>
            <w:gridSpan w:val="7"/>
          </w:tcPr>
          <w:p w:rsidR="00FC464E" w:rsidRDefault="00FC464E" w:rsidP="00172641">
            <w:r w:rsidRPr="00042F64">
              <w:rPr>
                <w:b/>
              </w:rPr>
              <w:t>Persons with Hyperlipidemia</w:t>
            </w:r>
          </w:p>
        </w:tc>
      </w:tr>
      <w:tr w:rsidR="00FC464E" w:rsidTr="00172641">
        <w:tc>
          <w:tcPr>
            <w:tcW w:w="0" w:type="auto"/>
          </w:tcPr>
          <w:p w:rsidR="00FC464E" w:rsidRDefault="00FC464E" w:rsidP="00172641">
            <w:r>
              <w:t xml:space="preserve">Adherence to hyperlipidemia medications </w:t>
            </w:r>
          </w:p>
        </w:tc>
        <w:tc>
          <w:tcPr>
            <w:tcW w:w="0" w:type="auto"/>
          </w:tcPr>
          <w:p w:rsidR="00FC464E" w:rsidRDefault="00FC464E" w:rsidP="00172641">
            <w:r>
              <w:t>-0.0311**</w:t>
            </w:r>
          </w:p>
          <w:p w:rsidR="00FC464E" w:rsidRDefault="00FC464E" w:rsidP="00172641">
            <w:r>
              <w:t>(0.0098)</w:t>
            </w:r>
          </w:p>
        </w:tc>
        <w:tc>
          <w:tcPr>
            <w:tcW w:w="0" w:type="auto"/>
          </w:tcPr>
          <w:p w:rsidR="00FC464E" w:rsidRDefault="00FC464E" w:rsidP="00172641">
            <w:r>
              <w:t>-0.0123</w:t>
            </w:r>
          </w:p>
          <w:p w:rsidR="00FC464E" w:rsidRDefault="00FC464E" w:rsidP="00172641">
            <w:r>
              <w:t>(0.0064)</w:t>
            </w:r>
          </w:p>
        </w:tc>
        <w:tc>
          <w:tcPr>
            <w:tcW w:w="0" w:type="auto"/>
          </w:tcPr>
          <w:p w:rsidR="00FC464E" w:rsidRDefault="00FC464E" w:rsidP="00172641">
            <w:r>
              <w:t>-0.0261**</w:t>
            </w:r>
          </w:p>
          <w:p w:rsidR="00FC464E" w:rsidRDefault="00FC464E" w:rsidP="00172641">
            <w:r>
              <w:t>(0.0047)</w:t>
            </w:r>
          </w:p>
        </w:tc>
        <w:tc>
          <w:tcPr>
            <w:tcW w:w="0" w:type="auto"/>
          </w:tcPr>
          <w:p w:rsidR="00FC464E" w:rsidRDefault="00FC464E" w:rsidP="00172641">
            <w:r>
              <w:t>0.050**</w:t>
            </w:r>
          </w:p>
          <w:p w:rsidR="00FC464E" w:rsidRDefault="00FC464E" w:rsidP="00172641">
            <w:r>
              <w:t>(0.016)</w:t>
            </w:r>
          </w:p>
        </w:tc>
        <w:tc>
          <w:tcPr>
            <w:tcW w:w="0" w:type="auto"/>
          </w:tcPr>
          <w:p w:rsidR="00FC464E" w:rsidRDefault="00FC464E" w:rsidP="00172641">
            <w:r>
              <w:t>0.054*</w:t>
            </w:r>
            <w:r w:rsidRPr="00D6018B">
              <w:t>*</w:t>
            </w:r>
          </w:p>
          <w:p w:rsidR="00FC464E" w:rsidRDefault="00FC464E" w:rsidP="00172641">
            <w:r>
              <w:t>(0.011)</w:t>
            </w:r>
          </w:p>
        </w:tc>
        <w:tc>
          <w:tcPr>
            <w:tcW w:w="0" w:type="auto"/>
          </w:tcPr>
          <w:p w:rsidR="00FC464E" w:rsidRDefault="00FC464E" w:rsidP="00172641">
            <w:r>
              <w:t>0.0645**</w:t>
            </w:r>
          </w:p>
          <w:p w:rsidR="00FC464E" w:rsidRDefault="00FC464E" w:rsidP="00172641">
            <w:r>
              <w:t>(0.0084)</w:t>
            </w:r>
          </w:p>
        </w:tc>
      </w:tr>
      <w:tr w:rsidR="00FC464E" w:rsidTr="00172641">
        <w:tc>
          <w:tcPr>
            <w:tcW w:w="0" w:type="auto"/>
          </w:tcPr>
          <w:p w:rsidR="00FC464E" w:rsidRDefault="00FC464E" w:rsidP="00172641">
            <w:r>
              <w:t>Percent receiving Lipid Profile</w:t>
            </w:r>
          </w:p>
        </w:tc>
        <w:tc>
          <w:tcPr>
            <w:tcW w:w="0" w:type="auto"/>
          </w:tcPr>
          <w:p w:rsidR="00FC464E" w:rsidRDefault="00FC464E" w:rsidP="00172641">
            <w:r>
              <w:t>-3.7%**</w:t>
            </w:r>
          </w:p>
          <w:p w:rsidR="00FC464E" w:rsidRDefault="00FC464E" w:rsidP="00172641">
            <w:r>
              <w:t>(1.2)</w:t>
            </w:r>
          </w:p>
        </w:tc>
        <w:tc>
          <w:tcPr>
            <w:tcW w:w="0" w:type="auto"/>
          </w:tcPr>
          <w:p w:rsidR="00FC464E" w:rsidRDefault="00FC464E" w:rsidP="00172641">
            <w:r>
              <w:t>-0.36%</w:t>
            </w:r>
          </w:p>
          <w:p w:rsidR="00FC464E" w:rsidRDefault="00FC464E" w:rsidP="00172641">
            <w:r>
              <w:t>(0.48)</w:t>
            </w:r>
          </w:p>
        </w:tc>
        <w:tc>
          <w:tcPr>
            <w:tcW w:w="0" w:type="auto"/>
          </w:tcPr>
          <w:p w:rsidR="00FC464E" w:rsidRDefault="00FC464E" w:rsidP="00172641">
            <w:r>
              <w:t>-0.09%</w:t>
            </w:r>
          </w:p>
          <w:p w:rsidR="00FC464E" w:rsidRDefault="00FC464E" w:rsidP="00172641">
            <w:r>
              <w:t>(0.29)</w:t>
            </w:r>
          </w:p>
        </w:tc>
        <w:tc>
          <w:tcPr>
            <w:tcW w:w="0" w:type="auto"/>
          </w:tcPr>
          <w:p w:rsidR="00FC464E" w:rsidRDefault="00FC464E" w:rsidP="00172641">
            <w:r>
              <w:t>-11.2%**</w:t>
            </w:r>
          </w:p>
          <w:p w:rsidR="00FC464E" w:rsidRDefault="00FC464E" w:rsidP="00172641">
            <w:r>
              <w:t>(2.1)</w:t>
            </w:r>
          </w:p>
        </w:tc>
        <w:tc>
          <w:tcPr>
            <w:tcW w:w="0" w:type="auto"/>
          </w:tcPr>
          <w:p w:rsidR="00FC464E" w:rsidRDefault="00FC464E" w:rsidP="00172641">
            <w:r>
              <w:t>0.27%**</w:t>
            </w:r>
          </w:p>
          <w:p w:rsidR="00FC464E" w:rsidRDefault="00FC464E" w:rsidP="00172641">
            <w:r>
              <w:t>(0.74)</w:t>
            </w:r>
          </w:p>
        </w:tc>
        <w:tc>
          <w:tcPr>
            <w:tcW w:w="0" w:type="auto"/>
          </w:tcPr>
          <w:p w:rsidR="00FC464E" w:rsidRDefault="00FC464E" w:rsidP="00172641">
            <w:r>
              <w:t>-0.13%</w:t>
            </w:r>
          </w:p>
          <w:p w:rsidR="00FC464E" w:rsidRDefault="00FC464E" w:rsidP="00172641">
            <w:r>
              <w:t>(0.46)</w:t>
            </w:r>
          </w:p>
        </w:tc>
      </w:tr>
      <w:tr w:rsidR="00FC464E" w:rsidTr="00172641">
        <w:tc>
          <w:tcPr>
            <w:tcW w:w="0" w:type="auto"/>
          </w:tcPr>
          <w:p w:rsidR="00FC464E" w:rsidRDefault="00FC464E" w:rsidP="00172641">
            <w:r>
              <w:t>Percent with Liver Function Test if using Statins</w:t>
            </w:r>
          </w:p>
        </w:tc>
        <w:tc>
          <w:tcPr>
            <w:tcW w:w="0" w:type="auto"/>
          </w:tcPr>
          <w:p w:rsidR="00FC464E" w:rsidRDefault="00FC464E" w:rsidP="00172641">
            <w:r>
              <w:t>5.2%*</w:t>
            </w:r>
          </w:p>
          <w:p w:rsidR="00FC464E" w:rsidRDefault="00FC464E" w:rsidP="00172641">
            <w:r>
              <w:t>(0.26)</w:t>
            </w:r>
          </w:p>
        </w:tc>
        <w:tc>
          <w:tcPr>
            <w:tcW w:w="0" w:type="auto"/>
          </w:tcPr>
          <w:p w:rsidR="00FC464E" w:rsidRDefault="00FC464E" w:rsidP="00172641">
            <w:r>
              <w:t>3.7%**</w:t>
            </w:r>
          </w:p>
          <w:p w:rsidR="00FC464E" w:rsidRDefault="00FC464E" w:rsidP="00172641">
            <w:r>
              <w:t>(1.3)</w:t>
            </w:r>
          </w:p>
        </w:tc>
        <w:tc>
          <w:tcPr>
            <w:tcW w:w="0" w:type="auto"/>
          </w:tcPr>
          <w:p w:rsidR="00FC464E" w:rsidRDefault="00FC464E" w:rsidP="00172641">
            <w:r>
              <w:t>5.16%**</w:t>
            </w:r>
          </w:p>
          <w:p w:rsidR="00FC464E" w:rsidRDefault="00FC464E" w:rsidP="00172641">
            <w:r>
              <w:t>(0.84)</w:t>
            </w:r>
          </w:p>
        </w:tc>
        <w:tc>
          <w:tcPr>
            <w:tcW w:w="0" w:type="auto"/>
          </w:tcPr>
          <w:p w:rsidR="00FC464E" w:rsidRDefault="00FC464E" w:rsidP="00172641">
            <w:r>
              <w:t>3.1%</w:t>
            </w:r>
          </w:p>
          <w:p w:rsidR="00FC464E" w:rsidRDefault="00FC464E" w:rsidP="00172641">
            <w:r>
              <w:t>(3.7)</w:t>
            </w:r>
          </w:p>
        </w:tc>
        <w:tc>
          <w:tcPr>
            <w:tcW w:w="0" w:type="auto"/>
          </w:tcPr>
          <w:p w:rsidR="00FC464E" w:rsidRDefault="00FC464E" w:rsidP="00172641">
            <w:r>
              <w:t>6.0%**</w:t>
            </w:r>
          </w:p>
          <w:p w:rsidR="00FC464E" w:rsidRDefault="00FC464E" w:rsidP="00172641">
            <w:r>
              <w:t>(2.1)</w:t>
            </w:r>
          </w:p>
        </w:tc>
        <w:tc>
          <w:tcPr>
            <w:tcW w:w="0" w:type="auto"/>
          </w:tcPr>
          <w:p w:rsidR="00FC464E" w:rsidRDefault="00FC464E" w:rsidP="00172641">
            <w:r>
              <w:t>5.5%**</w:t>
            </w:r>
          </w:p>
          <w:p w:rsidR="00FC464E" w:rsidRDefault="00FC464E" w:rsidP="00172641">
            <w:r>
              <w:t>(1.3)</w:t>
            </w:r>
          </w:p>
        </w:tc>
      </w:tr>
      <w:tr w:rsidR="00FC464E" w:rsidTr="00172641">
        <w:tc>
          <w:tcPr>
            <w:tcW w:w="0" w:type="auto"/>
            <w:gridSpan w:val="7"/>
          </w:tcPr>
          <w:p w:rsidR="00FC464E" w:rsidRDefault="00FC464E" w:rsidP="00172641">
            <w:r>
              <w:rPr>
                <w:b/>
              </w:rPr>
              <w:t>Persons with Hypertension</w:t>
            </w:r>
          </w:p>
        </w:tc>
      </w:tr>
      <w:tr w:rsidR="00FC464E" w:rsidTr="00172641">
        <w:tc>
          <w:tcPr>
            <w:tcW w:w="0" w:type="auto"/>
          </w:tcPr>
          <w:p w:rsidR="00FC464E" w:rsidRPr="008A2A90" w:rsidRDefault="00FC464E" w:rsidP="00172641">
            <w:r w:rsidRPr="008A2A90">
              <w:t xml:space="preserve">Adherence to antihypertensive medications </w:t>
            </w:r>
          </w:p>
        </w:tc>
        <w:tc>
          <w:tcPr>
            <w:tcW w:w="0" w:type="auto"/>
          </w:tcPr>
          <w:p w:rsidR="00FC464E" w:rsidRPr="008A2A90" w:rsidRDefault="00FC464E" w:rsidP="00172641">
            <w:r>
              <w:t>-0.0273</w:t>
            </w:r>
            <w:r w:rsidRPr="008A2A90">
              <w:t>**</w:t>
            </w:r>
          </w:p>
          <w:p w:rsidR="00FC464E" w:rsidRPr="008A2A90" w:rsidRDefault="00FC464E" w:rsidP="00172641">
            <w:r>
              <w:t>(0.0062</w:t>
            </w:r>
            <w:r w:rsidRPr="008A2A90">
              <w:t>)</w:t>
            </w:r>
          </w:p>
        </w:tc>
        <w:tc>
          <w:tcPr>
            <w:tcW w:w="0" w:type="auto"/>
          </w:tcPr>
          <w:p w:rsidR="00FC464E" w:rsidRPr="008A2A90" w:rsidRDefault="00FC464E" w:rsidP="00172641">
            <w:r>
              <w:t>-0.0324</w:t>
            </w:r>
            <w:r w:rsidRPr="008A2A90">
              <w:t>**</w:t>
            </w:r>
          </w:p>
          <w:p w:rsidR="00FC464E" w:rsidRPr="008A2A90" w:rsidRDefault="00FC464E" w:rsidP="00172641">
            <w:r>
              <w:t>(0.0054</w:t>
            </w:r>
            <w:r w:rsidRPr="008A2A90">
              <w:t>)</w:t>
            </w:r>
          </w:p>
        </w:tc>
        <w:tc>
          <w:tcPr>
            <w:tcW w:w="0" w:type="auto"/>
          </w:tcPr>
          <w:p w:rsidR="00FC464E" w:rsidRPr="008A2A90" w:rsidRDefault="00FC464E" w:rsidP="00172641">
            <w:r>
              <w:t>-0.0310</w:t>
            </w:r>
            <w:r w:rsidRPr="008A2A90">
              <w:t>*</w:t>
            </w:r>
            <w:r>
              <w:t>*</w:t>
            </w:r>
          </w:p>
          <w:p w:rsidR="00FC464E" w:rsidRPr="008A2A90" w:rsidRDefault="00FC464E" w:rsidP="00172641">
            <w:r>
              <w:t>(0.0043</w:t>
            </w:r>
            <w:r w:rsidRPr="008A2A90">
              <w:t>)</w:t>
            </w:r>
          </w:p>
        </w:tc>
        <w:tc>
          <w:tcPr>
            <w:tcW w:w="0" w:type="auto"/>
          </w:tcPr>
          <w:p w:rsidR="00FC464E" w:rsidRPr="008A2A90" w:rsidRDefault="00FC464E" w:rsidP="00172641">
            <w:r>
              <w:t>0.006</w:t>
            </w:r>
          </w:p>
          <w:p w:rsidR="00FC464E" w:rsidRPr="008A2A90" w:rsidRDefault="00FC464E" w:rsidP="00172641">
            <w:r>
              <w:t>(0.011</w:t>
            </w:r>
            <w:r w:rsidRPr="008A2A90">
              <w:t>)</w:t>
            </w:r>
          </w:p>
        </w:tc>
        <w:tc>
          <w:tcPr>
            <w:tcW w:w="0" w:type="auto"/>
          </w:tcPr>
          <w:p w:rsidR="00FC464E" w:rsidRPr="008A2A90" w:rsidRDefault="00FC464E" w:rsidP="00172641">
            <w:r>
              <w:t>0.0204*</w:t>
            </w:r>
          </w:p>
          <w:p w:rsidR="00FC464E" w:rsidRPr="008A2A90" w:rsidRDefault="00FC464E" w:rsidP="00172641">
            <w:r>
              <w:t>(0.0096</w:t>
            </w:r>
            <w:r w:rsidRPr="008A2A90">
              <w:t>)</w:t>
            </w:r>
          </w:p>
        </w:tc>
        <w:tc>
          <w:tcPr>
            <w:tcW w:w="0" w:type="auto"/>
          </w:tcPr>
          <w:p w:rsidR="00FC464E" w:rsidRPr="008A2A90" w:rsidRDefault="00FC464E" w:rsidP="00172641">
            <w:r>
              <w:t>0.0024</w:t>
            </w:r>
          </w:p>
          <w:p w:rsidR="00FC464E" w:rsidRDefault="00FC464E" w:rsidP="00172641">
            <w:r>
              <w:t>(0.0072</w:t>
            </w:r>
            <w:r w:rsidRPr="008A2A90">
              <w:t>)</w:t>
            </w:r>
          </w:p>
        </w:tc>
      </w:tr>
      <w:tr w:rsidR="00FC464E" w:rsidTr="00172641">
        <w:tc>
          <w:tcPr>
            <w:tcW w:w="0" w:type="auto"/>
            <w:gridSpan w:val="7"/>
          </w:tcPr>
          <w:p w:rsidR="00FC464E" w:rsidRDefault="00FC464E" w:rsidP="00172641">
            <w:r w:rsidRPr="00A972FD">
              <w:rPr>
                <w:b/>
              </w:rPr>
              <w:t>Persons with Diabetes and Hypertension</w:t>
            </w:r>
          </w:p>
        </w:tc>
      </w:tr>
      <w:tr w:rsidR="00FC464E" w:rsidTr="00172641">
        <w:tc>
          <w:tcPr>
            <w:tcW w:w="0" w:type="auto"/>
          </w:tcPr>
          <w:p w:rsidR="00FC464E" w:rsidRDefault="00FC464E" w:rsidP="00172641">
            <w:r>
              <w:lastRenderedPageBreak/>
              <w:t>Percent with ACEI/ARBs</w:t>
            </w:r>
          </w:p>
        </w:tc>
        <w:tc>
          <w:tcPr>
            <w:tcW w:w="0" w:type="auto"/>
          </w:tcPr>
          <w:p w:rsidR="00FC464E" w:rsidRDefault="00FC464E" w:rsidP="00172641">
            <w:r>
              <w:t>--</w:t>
            </w:r>
          </w:p>
        </w:tc>
        <w:tc>
          <w:tcPr>
            <w:tcW w:w="0" w:type="auto"/>
          </w:tcPr>
          <w:p w:rsidR="00FC464E" w:rsidRDefault="00FC464E" w:rsidP="00172641">
            <w:r>
              <w:t>-4.2%**</w:t>
            </w:r>
          </w:p>
          <w:p w:rsidR="00FC464E" w:rsidRDefault="00FC464E" w:rsidP="00172641">
            <w:r>
              <w:t>(1.6)</w:t>
            </w:r>
          </w:p>
        </w:tc>
        <w:tc>
          <w:tcPr>
            <w:tcW w:w="0" w:type="auto"/>
          </w:tcPr>
          <w:p w:rsidR="00FC464E" w:rsidRDefault="00FC464E" w:rsidP="00172641">
            <w:r>
              <w:t>-2.45%**</w:t>
            </w:r>
          </w:p>
          <w:p w:rsidR="00FC464E" w:rsidRDefault="00FC464E" w:rsidP="00172641">
            <w:r>
              <w:t>(0.61)</w:t>
            </w:r>
          </w:p>
        </w:tc>
        <w:tc>
          <w:tcPr>
            <w:tcW w:w="0" w:type="auto"/>
          </w:tcPr>
          <w:p w:rsidR="00FC464E" w:rsidRDefault="00FC464E" w:rsidP="00172641">
            <w:r>
              <w:t>--</w:t>
            </w:r>
          </w:p>
        </w:tc>
        <w:tc>
          <w:tcPr>
            <w:tcW w:w="0" w:type="auto"/>
          </w:tcPr>
          <w:p w:rsidR="00FC464E" w:rsidRDefault="00FC464E" w:rsidP="00172641">
            <w:r>
              <w:t>-5.8%*</w:t>
            </w:r>
          </w:p>
          <w:p w:rsidR="00FC464E" w:rsidRDefault="00FC464E" w:rsidP="00172641">
            <w:r>
              <w:t>(2.5)</w:t>
            </w:r>
          </w:p>
        </w:tc>
        <w:tc>
          <w:tcPr>
            <w:tcW w:w="0" w:type="auto"/>
          </w:tcPr>
          <w:p w:rsidR="00FC464E" w:rsidRDefault="00FC464E" w:rsidP="00172641">
            <w:r>
              <w:t>-7.0%**</w:t>
            </w:r>
          </w:p>
          <w:p w:rsidR="00FC464E" w:rsidRDefault="00FC464E" w:rsidP="00172641">
            <w:r>
              <w:t>(1.1)</w:t>
            </w:r>
          </w:p>
        </w:tc>
      </w:tr>
      <w:tr w:rsidR="00FC464E" w:rsidTr="00172641">
        <w:tc>
          <w:tcPr>
            <w:tcW w:w="0" w:type="auto"/>
            <w:gridSpan w:val="7"/>
          </w:tcPr>
          <w:p w:rsidR="00FC464E" w:rsidRDefault="00FC464E" w:rsidP="00172641">
            <w:r w:rsidRPr="00042F64">
              <w:rPr>
                <w:b/>
              </w:rPr>
              <w:t>Persons with Asthma</w:t>
            </w:r>
          </w:p>
        </w:tc>
      </w:tr>
      <w:tr w:rsidR="00FC464E" w:rsidTr="00172641">
        <w:tc>
          <w:tcPr>
            <w:tcW w:w="0" w:type="auto"/>
          </w:tcPr>
          <w:p w:rsidR="00FC464E" w:rsidRDefault="00FC464E" w:rsidP="00172641">
            <w:r>
              <w:t xml:space="preserve">SABA overuse </w:t>
            </w:r>
          </w:p>
        </w:tc>
        <w:tc>
          <w:tcPr>
            <w:tcW w:w="0" w:type="auto"/>
          </w:tcPr>
          <w:p w:rsidR="00FC464E" w:rsidRDefault="00FC464E" w:rsidP="00172641">
            <w:r>
              <w:t>-1.99*</w:t>
            </w:r>
          </w:p>
          <w:p w:rsidR="00FC464E" w:rsidRDefault="00FC464E" w:rsidP="00172641">
            <w:r>
              <w:t>(0.91)</w:t>
            </w:r>
          </w:p>
        </w:tc>
        <w:tc>
          <w:tcPr>
            <w:tcW w:w="0" w:type="auto"/>
          </w:tcPr>
          <w:p w:rsidR="00FC464E" w:rsidRDefault="00FC464E" w:rsidP="00172641">
            <w:r>
              <w:t>-0.84</w:t>
            </w:r>
          </w:p>
          <w:p w:rsidR="00FC464E" w:rsidRDefault="00FC464E" w:rsidP="00172641">
            <w:r>
              <w:t>(1.02)</w:t>
            </w:r>
          </w:p>
        </w:tc>
        <w:tc>
          <w:tcPr>
            <w:tcW w:w="0" w:type="auto"/>
          </w:tcPr>
          <w:p w:rsidR="00FC464E" w:rsidRDefault="00FC464E" w:rsidP="00172641">
            <w:r>
              <w:t>0.90</w:t>
            </w:r>
          </w:p>
          <w:p w:rsidR="00FC464E" w:rsidRDefault="00FC464E" w:rsidP="00172641">
            <w:r>
              <w:t>(0.87)</w:t>
            </w:r>
          </w:p>
        </w:tc>
        <w:tc>
          <w:tcPr>
            <w:tcW w:w="0" w:type="auto"/>
          </w:tcPr>
          <w:p w:rsidR="00FC464E" w:rsidRDefault="00FC464E" w:rsidP="00172641">
            <w:r>
              <w:t>-2.2</w:t>
            </w:r>
          </w:p>
          <w:p w:rsidR="00FC464E" w:rsidRDefault="00FC464E" w:rsidP="00172641">
            <w:r>
              <w:t>(1.6)</w:t>
            </w:r>
          </w:p>
        </w:tc>
        <w:tc>
          <w:tcPr>
            <w:tcW w:w="0" w:type="auto"/>
          </w:tcPr>
          <w:p w:rsidR="00FC464E" w:rsidRDefault="00FC464E" w:rsidP="00172641">
            <w:r>
              <w:t>-2.4</w:t>
            </w:r>
          </w:p>
          <w:p w:rsidR="00FC464E" w:rsidRDefault="00FC464E" w:rsidP="00172641">
            <w:r>
              <w:t>(1.8)</w:t>
            </w:r>
          </w:p>
        </w:tc>
        <w:tc>
          <w:tcPr>
            <w:tcW w:w="0" w:type="auto"/>
          </w:tcPr>
          <w:p w:rsidR="00FC464E" w:rsidRDefault="00FC464E" w:rsidP="00172641">
            <w:r>
              <w:t>-1.8</w:t>
            </w:r>
          </w:p>
          <w:p w:rsidR="00FC464E" w:rsidRDefault="00FC464E" w:rsidP="00172641">
            <w:r>
              <w:t>(1.4)</w:t>
            </w:r>
          </w:p>
        </w:tc>
      </w:tr>
    </w:tbl>
    <w:p w:rsidR="00FC464E" w:rsidRDefault="00FC464E" w:rsidP="00FC464E">
      <w:r>
        <w:t>*=p&lt;0.05; **=p&lt;0.01. Delta-method standard errors are in parentheses. All models control for age in quadratic form, number of months enrolled in Medicaid, gender, race, and ethnicity.</w:t>
      </w:r>
    </w:p>
    <w:p w:rsidR="008B359C" w:rsidRDefault="008B359C"/>
    <w:sectPr w:rsidR="008B359C" w:rsidSect="00FC46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4E"/>
    <w:rsid w:val="00276485"/>
    <w:rsid w:val="008B359C"/>
    <w:rsid w:val="00EC671A"/>
    <w:rsid w:val="00F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Domino</dc:creator>
  <cp:lastModifiedBy>Marisa Domino</cp:lastModifiedBy>
  <cp:revision>3</cp:revision>
  <dcterms:created xsi:type="dcterms:W3CDTF">2013-09-09T16:45:00Z</dcterms:created>
  <dcterms:modified xsi:type="dcterms:W3CDTF">2013-09-09T16:51:00Z</dcterms:modified>
</cp:coreProperties>
</file>