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E" w:rsidRPr="00FB1D37" w:rsidRDefault="00192EBE" w:rsidP="00192EBE">
      <w:pPr>
        <w:rPr>
          <w:rFonts w:ascii="Times New Roman" w:hAnsi="Times New Roman"/>
          <w:color w:val="000000" w:themeColor="text1"/>
          <w:szCs w:val="24"/>
        </w:rPr>
      </w:pPr>
      <w:r w:rsidRPr="00FB1D37">
        <w:rPr>
          <w:rFonts w:ascii="Times New Roman" w:eastAsia="標楷體" w:hAnsi="Times New Roman"/>
          <w:color w:val="000000" w:themeColor="text1"/>
          <w:szCs w:val="24"/>
          <w:lang w:val="en-GB"/>
        </w:rPr>
        <w:t>Table S1.</w:t>
      </w:r>
      <w:r w:rsidRPr="00FB1D3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 w:rsidRPr="00FB1D37">
        <w:rPr>
          <w:rFonts w:ascii="Times New Roman" w:hAnsi="Times New Roman"/>
          <w:color w:val="000000" w:themeColor="text1"/>
          <w:szCs w:val="24"/>
        </w:rPr>
        <w:t>Comparison of clinical characteristics of incident cases of end-stage renal diseases (ESRD) between Taiwan and those in the USA.</w:t>
      </w:r>
      <w:proofErr w:type="gramEnd"/>
      <w:r w:rsidRPr="00FB1D37">
        <w:rPr>
          <w:rFonts w:ascii="Times New Roman" w:hAnsi="Times New Roman"/>
          <w:color w:val="000000" w:themeColor="text1"/>
          <w:szCs w:val="24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843"/>
        <w:gridCol w:w="1701"/>
        <w:gridCol w:w="1842"/>
      </w:tblGrid>
      <w:tr w:rsidR="00192EBE" w:rsidRPr="00FB1D37" w:rsidTr="00CF1260">
        <w:tc>
          <w:tcPr>
            <w:tcW w:w="3227" w:type="dxa"/>
            <w:vMerge w:val="restart"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Categories</w:t>
            </w:r>
          </w:p>
        </w:tc>
        <w:tc>
          <w:tcPr>
            <w:tcW w:w="3544" w:type="dxa"/>
            <w:gridSpan w:val="2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 xml:space="preserve">Taiwan 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USA</w:t>
            </w:r>
          </w:p>
        </w:tc>
      </w:tr>
      <w:tr w:rsidR="00192EBE" w:rsidRPr="00FB1D37" w:rsidTr="00CF1260">
        <w:trPr>
          <w:trHeight w:val="951"/>
        </w:trPr>
        <w:tc>
          <w:tcPr>
            <w:tcW w:w="3227" w:type="dxa"/>
            <w:vMerge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2001-2004</w:t>
            </w:r>
          </w:p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 xml:space="preserve"> incident ESRD</w:t>
            </w:r>
          </w:p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on HD</w:t>
            </w:r>
            <w:r w:rsidRPr="00FB1D3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*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 xml:space="preserve">2007 </w:t>
            </w:r>
          </w:p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incident ESRD</w:t>
            </w:r>
            <w:r w:rsidRPr="00FB1D37">
              <w:rPr>
                <w:rFonts w:ascii="Times New Roman" w:hAnsi="Times New Roman"/>
                <w:color w:val="000000" w:themeColor="text1"/>
                <w:kern w:val="0"/>
                <w:szCs w:val="24"/>
                <w:vertAlign w:val="superscript"/>
              </w:rPr>
              <w:t>†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 xml:space="preserve">2007 </w:t>
            </w:r>
          </w:p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incident ESRD</w:t>
            </w:r>
          </w:p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(USRDS)</w:t>
            </w:r>
            <w:r w:rsidRPr="00FB1D37">
              <w:rPr>
                <w:rFonts w:ascii="Times New Roman" w:hAnsi="Times New Roman"/>
                <w:color w:val="191919"/>
                <w:kern w:val="0"/>
                <w:szCs w:val="24"/>
                <w:vertAlign w:val="superscript"/>
              </w:rPr>
              <w:t>‡</w:t>
            </w:r>
          </w:p>
        </w:tc>
      </w:tr>
      <w:tr w:rsidR="00192EBE" w:rsidRPr="00FB1D37" w:rsidTr="00CF1260">
        <w:tc>
          <w:tcPr>
            <w:tcW w:w="3227" w:type="dxa"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Number of cases (%)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23551(100)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8922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108891(100)</w:t>
            </w: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Male (%)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11 235(47.7)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4415(49.5)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60975(56.0)</w:t>
            </w:r>
          </w:p>
        </w:tc>
      </w:tr>
      <w:tr w:rsidR="00192EBE" w:rsidRPr="00FB1D37" w:rsidTr="00CF1260">
        <w:tc>
          <w:tcPr>
            <w:tcW w:w="3227" w:type="dxa"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Mean age (years)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61.5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62.90(14.4)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62.7</w:t>
            </w:r>
          </w:p>
        </w:tc>
      </w:tr>
      <w:tr w:rsidR="00192EBE" w:rsidRPr="00FB1D37" w:rsidTr="00CF1260">
        <w:tc>
          <w:tcPr>
            <w:tcW w:w="3227" w:type="dxa"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Age group, no (%)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9" w:firstLine="142"/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0-19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Not included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Not included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1245(1.1)</w:t>
            </w: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9" w:firstLine="142"/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 xml:space="preserve">20–44 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2787(11.8)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903(10.2)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13504(12.4)</w:t>
            </w: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9" w:firstLine="142"/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45–64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9912(42.1)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3625(40.9)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41239(37.9)</w:t>
            </w: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9" w:firstLine="142"/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≥65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10845(46.0)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4345(49.0)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52903(48.6)</w:t>
            </w: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HD/PD/KT, (%)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100/-/-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85/14/0.4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91.8/5.8/2.4</w:t>
            </w: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No. (%) with diabetic nephropathy as major cause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10096(42.9)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47778(43.9)</w:t>
            </w: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Mean of clinical data at beginning of RRT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C00000"/>
                <w:szCs w:val="24"/>
              </w:rPr>
            </w:pP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0" w:firstLine="120"/>
              <w:rPr>
                <w:rFonts w:ascii="Times New Roman" w:hAnsi="Times New Roman"/>
                <w:szCs w:val="24"/>
              </w:rPr>
            </w:pPr>
            <w:proofErr w:type="spellStart"/>
            <w:r w:rsidRPr="00FB1D37">
              <w:rPr>
                <w:rFonts w:ascii="Times New Roman" w:hAnsi="Times New Roman"/>
                <w:szCs w:val="24"/>
              </w:rPr>
              <w:t>Creatinine</w:t>
            </w:r>
            <w:proofErr w:type="spellEnd"/>
            <w:r w:rsidRPr="00FB1D37">
              <w:rPr>
                <w:rFonts w:ascii="Times New Roman" w:hAnsi="Times New Roman"/>
                <w:szCs w:val="24"/>
              </w:rPr>
              <w:t>, mg/</w:t>
            </w:r>
            <w:proofErr w:type="spellStart"/>
            <w:r w:rsidRPr="00FB1D37">
              <w:rPr>
                <w:rFonts w:ascii="Times New Roman" w:hAnsi="Times New Roman"/>
                <w:szCs w:val="24"/>
              </w:rPr>
              <w:t>dL</w:t>
            </w:r>
            <w:proofErr w:type="spellEnd"/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11.2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C00000"/>
                <w:szCs w:val="24"/>
              </w:rPr>
            </w:pPr>
            <w:r w:rsidRPr="00FB1D37">
              <w:rPr>
                <w:rFonts w:ascii="Times New Roman" w:hAnsi="Times New Roman"/>
                <w:color w:val="C00000"/>
                <w:szCs w:val="24"/>
              </w:rPr>
              <w:t>-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6.4</w:t>
            </w: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0" w:firstLine="120"/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Albumin, g/</w:t>
            </w:r>
            <w:proofErr w:type="spellStart"/>
            <w:r w:rsidRPr="00FB1D37">
              <w:rPr>
                <w:rFonts w:ascii="Times New Roman" w:hAnsi="Times New Roman"/>
                <w:szCs w:val="24"/>
              </w:rPr>
              <w:t>dL</w:t>
            </w:r>
            <w:proofErr w:type="spellEnd"/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3.2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C00000"/>
                <w:szCs w:val="24"/>
              </w:rPr>
            </w:pPr>
            <w:r w:rsidRPr="00FB1D37">
              <w:rPr>
                <w:rFonts w:ascii="Times New Roman" w:hAnsi="Times New Roman"/>
                <w:color w:val="C00000"/>
                <w:szCs w:val="24"/>
              </w:rPr>
              <w:t>-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0" w:firstLine="120"/>
              <w:rPr>
                <w:rFonts w:ascii="Times New Roman" w:hAnsi="Times New Roman"/>
                <w:szCs w:val="24"/>
              </w:rPr>
            </w:pPr>
            <w:proofErr w:type="spellStart"/>
            <w:r w:rsidRPr="00FB1D37">
              <w:rPr>
                <w:rFonts w:ascii="Times New Roman" w:eastAsia="AdvTT7c3c51d9" w:hAnsi="Times New Roman"/>
                <w:kern w:val="0"/>
                <w:szCs w:val="24"/>
              </w:rPr>
              <w:t>Haematocrit</w:t>
            </w:r>
            <w:proofErr w:type="spellEnd"/>
            <w:r w:rsidRPr="00FB1D37">
              <w:rPr>
                <w:rFonts w:ascii="Times New Roman" w:eastAsia="AdvTT7c3c51d9" w:hAnsi="Times New Roman"/>
                <w:kern w:val="0"/>
                <w:szCs w:val="24"/>
              </w:rPr>
              <w:t>, %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24.0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C00000"/>
                <w:szCs w:val="24"/>
              </w:rPr>
            </w:pPr>
            <w:r w:rsidRPr="00FB1D37">
              <w:rPr>
                <w:rFonts w:ascii="Times New Roman" w:hAnsi="Times New Roman"/>
                <w:color w:val="C00000"/>
                <w:szCs w:val="24"/>
              </w:rPr>
              <w:t>-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30.3</w:t>
            </w: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0" w:firstLine="120"/>
              <w:rPr>
                <w:rFonts w:ascii="Times New Roman" w:eastAsia="AdvTT7c3c51d9" w:hAnsi="Times New Roman"/>
                <w:kern w:val="0"/>
                <w:szCs w:val="24"/>
              </w:rPr>
            </w:pPr>
            <w:proofErr w:type="spellStart"/>
            <w:r w:rsidRPr="00FB1D37">
              <w:rPr>
                <w:rFonts w:ascii="Times New Roman" w:eastAsia="AdvTT7c3c51d9" w:hAnsi="Times New Roman"/>
                <w:kern w:val="0"/>
                <w:szCs w:val="24"/>
              </w:rPr>
              <w:t>eGFR</w:t>
            </w:r>
            <w:proofErr w:type="spellEnd"/>
            <w:r w:rsidRPr="00FB1D37">
              <w:rPr>
                <w:rFonts w:ascii="Times New Roman" w:eastAsia="AdvTT7c3c51d9" w:hAnsi="Times New Roman"/>
                <w:kern w:val="0"/>
                <w:szCs w:val="24"/>
              </w:rPr>
              <w:t xml:space="preserve">, </w:t>
            </w:r>
            <w:proofErr w:type="spellStart"/>
            <w:r w:rsidRPr="00FB1D37">
              <w:rPr>
                <w:rFonts w:ascii="Times New Roman" w:eastAsia="AdvTT7c3c51d9" w:hAnsi="Times New Roman"/>
                <w:kern w:val="0"/>
                <w:szCs w:val="24"/>
              </w:rPr>
              <w:t>mL</w:t>
            </w:r>
            <w:proofErr w:type="spellEnd"/>
            <w:r w:rsidRPr="00FB1D37">
              <w:rPr>
                <w:rFonts w:ascii="Times New Roman" w:eastAsia="AdvTT7c3c51d9" w:hAnsi="Times New Roman"/>
                <w:kern w:val="0"/>
                <w:szCs w:val="24"/>
              </w:rPr>
              <w:t>/min/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73"/>
                <w:attr w:name="UnitName" w:val="m2"/>
              </w:smartTagPr>
              <w:r w:rsidRPr="00FB1D37">
                <w:rPr>
                  <w:rFonts w:ascii="Times New Roman" w:eastAsia="AdvTT7c3c51d9" w:hAnsi="Times New Roman"/>
                  <w:kern w:val="0"/>
                  <w:szCs w:val="24"/>
                </w:rPr>
                <w:t>1.73 m</w:t>
              </w:r>
              <w:r w:rsidRPr="00FB1D37">
                <w:rPr>
                  <w:rFonts w:ascii="Times New Roman" w:eastAsia="AdvTT7c3c51d9" w:hAnsi="Times New Roman"/>
                  <w:kern w:val="0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5.0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C00000"/>
                <w:szCs w:val="24"/>
              </w:rPr>
            </w:pPr>
            <w:r w:rsidRPr="00FB1D37">
              <w:rPr>
                <w:rFonts w:ascii="Times New Roman" w:hAnsi="Times New Roman"/>
                <w:color w:val="C00000"/>
                <w:szCs w:val="24"/>
              </w:rPr>
              <w:t>-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10.9</w:t>
            </w: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B1D37">
              <w:rPr>
                <w:rFonts w:ascii="Times New Roman" w:hAnsi="Times New Roman"/>
                <w:szCs w:val="24"/>
              </w:rPr>
              <w:t>Comorbidity</w:t>
            </w:r>
            <w:proofErr w:type="spellEnd"/>
            <w:r w:rsidRPr="00FB1D37">
              <w:rPr>
                <w:rFonts w:ascii="Times New Roman" w:hAnsi="Times New Roman"/>
                <w:szCs w:val="24"/>
              </w:rPr>
              <w:t xml:space="preserve"> at beginning of RRT (%)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C00000"/>
                <w:szCs w:val="24"/>
              </w:rPr>
            </w:pPr>
            <w:r w:rsidRPr="00FB1D37">
              <w:rPr>
                <w:rFonts w:ascii="Times New Roman" w:hAnsi="Times New Roman"/>
                <w:color w:val="C00000"/>
                <w:szCs w:val="24"/>
              </w:rPr>
              <w:t>-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 xml:space="preserve">No. cases with clinical data 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13625(57.9)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C00000"/>
                <w:szCs w:val="24"/>
              </w:rPr>
            </w:pPr>
            <w:r w:rsidRPr="00FB1D37">
              <w:rPr>
                <w:rFonts w:ascii="Times New Roman" w:hAnsi="Times New Roman"/>
                <w:color w:val="C00000"/>
                <w:szCs w:val="24"/>
              </w:rPr>
              <w:t>-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Co-morbidities, no. (%)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C00000"/>
                <w:szCs w:val="24"/>
              </w:rPr>
            </w:pP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0" w:firstLine="120"/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Diabetes mellitus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6821(49.4)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4952(55.5)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0" w:firstLine="120"/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Hypertension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9064(66.5)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7654(85.8)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0" w:firstLine="120"/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Heart failure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2496(18.3)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1898(21.3)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0" w:firstLine="120"/>
              <w:rPr>
                <w:rFonts w:ascii="Times New Roman" w:hAnsi="Times New Roman"/>
                <w:szCs w:val="24"/>
              </w:rPr>
            </w:pPr>
            <w:proofErr w:type="spellStart"/>
            <w:r w:rsidRPr="00FB1D37">
              <w:rPr>
                <w:rFonts w:ascii="Times New Roman" w:hAnsi="Times New Roman"/>
                <w:szCs w:val="24"/>
              </w:rPr>
              <w:t>Ischaemic</w:t>
            </w:r>
            <w:proofErr w:type="spellEnd"/>
            <w:r w:rsidRPr="00FB1D37">
              <w:rPr>
                <w:rFonts w:ascii="Times New Roman" w:hAnsi="Times New Roman"/>
                <w:szCs w:val="24"/>
              </w:rPr>
              <w:t xml:space="preserve"> heart diseases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1549(11.4)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2207(24.7)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0" w:firstLine="120"/>
              <w:rPr>
                <w:rFonts w:ascii="Times New Roman" w:hAnsi="Times New Roman"/>
                <w:szCs w:val="24"/>
              </w:rPr>
            </w:pPr>
            <w:proofErr w:type="spellStart"/>
            <w:r w:rsidRPr="00FB1D37">
              <w:rPr>
                <w:rFonts w:ascii="Times New Roman" w:hAnsi="Times New Roman"/>
                <w:szCs w:val="24"/>
              </w:rPr>
              <w:t>Cerebrovascular</w:t>
            </w:r>
            <w:proofErr w:type="spellEnd"/>
            <w:r w:rsidRPr="00FB1D37">
              <w:rPr>
                <w:rFonts w:ascii="Times New Roman" w:hAnsi="Times New Roman"/>
                <w:szCs w:val="24"/>
              </w:rPr>
              <w:t xml:space="preserve"> diseases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870(6.4)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1445(16.2)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0" w:firstLine="120"/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Malignancies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535(3.9)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445(5.0)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ind w:firstLineChars="50" w:firstLine="120"/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Liver cirrhosis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795(5.8)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173(1.9)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92EBE" w:rsidRPr="00FB1D37" w:rsidTr="00CF1260">
        <w:tc>
          <w:tcPr>
            <w:tcW w:w="3227" w:type="dxa"/>
            <w:vAlign w:val="center"/>
          </w:tcPr>
          <w:p w:rsidR="00192EBE" w:rsidRPr="00FB1D37" w:rsidRDefault="00192EBE" w:rsidP="00CF1260">
            <w:pPr>
              <w:rPr>
                <w:rFonts w:ascii="Times New Roman" w:hAnsi="Times New Roman"/>
                <w:szCs w:val="24"/>
              </w:rPr>
            </w:pPr>
            <w:r w:rsidRPr="00FB1D37">
              <w:rPr>
                <w:rFonts w:ascii="Times New Roman" w:hAnsi="Times New Roman"/>
                <w:szCs w:val="24"/>
              </w:rPr>
              <w:t>1-year crude mortality, %</w:t>
            </w:r>
          </w:p>
        </w:tc>
        <w:tc>
          <w:tcPr>
            <w:tcW w:w="1843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>12.5</w:t>
            </w:r>
          </w:p>
        </w:tc>
        <w:tc>
          <w:tcPr>
            <w:tcW w:w="1701" w:type="dxa"/>
          </w:tcPr>
          <w:p w:rsidR="00192EBE" w:rsidRPr="00FB1D37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D37">
              <w:rPr>
                <w:rFonts w:ascii="Times New Roman" w:hAnsi="Times New Roman"/>
                <w:color w:val="000000" w:themeColor="text1"/>
                <w:szCs w:val="24"/>
              </w:rPr>
              <w:t>12.4</w:t>
            </w:r>
          </w:p>
        </w:tc>
        <w:tc>
          <w:tcPr>
            <w:tcW w:w="1842" w:type="dxa"/>
          </w:tcPr>
          <w:p w:rsidR="00192EBE" w:rsidRPr="00FB1D37" w:rsidRDefault="00192EBE" w:rsidP="00CF1260">
            <w:pPr>
              <w:rPr>
                <w:rFonts w:ascii="Times New Roman" w:hAnsi="Times New Roman"/>
                <w:color w:val="000000"/>
                <w:szCs w:val="24"/>
              </w:rPr>
            </w:pPr>
            <w:r w:rsidRPr="00FB1D37">
              <w:rPr>
                <w:rFonts w:ascii="Times New Roman" w:hAnsi="Times New Roman"/>
                <w:color w:val="000000"/>
                <w:szCs w:val="24"/>
              </w:rPr>
              <w:t xml:space="preserve">25% in the 2004 cohort (26% in HD,15% in PD) </w:t>
            </w:r>
          </w:p>
        </w:tc>
      </w:tr>
    </w:tbl>
    <w:p w:rsidR="00192EBE" w:rsidRPr="00FB1D37" w:rsidRDefault="00192EBE" w:rsidP="00192EBE">
      <w:pPr>
        <w:rPr>
          <w:rFonts w:ascii="Times New Roman" w:hAnsi="Times New Roman"/>
          <w:color w:val="000000"/>
          <w:szCs w:val="24"/>
        </w:rPr>
      </w:pPr>
      <w:r w:rsidRPr="00FB1D37">
        <w:rPr>
          <w:rFonts w:ascii="Times New Roman" w:hAnsi="Times New Roman"/>
          <w:color w:val="000000"/>
          <w:szCs w:val="24"/>
        </w:rPr>
        <w:t xml:space="preserve">Abbreviations: HD, </w:t>
      </w:r>
      <w:proofErr w:type="spellStart"/>
      <w:r w:rsidRPr="00FB1D37">
        <w:rPr>
          <w:rFonts w:ascii="Times New Roman" w:hAnsi="Times New Roman"/>
          <w:color w:val="000000"/>
          <w:szCs w:val="24"/>
        </w:rPr>
        <w:t>hemodialysis</w:t>
      </w:r>
      <w:proofErr w:type="spellEnd"/>
      <w:r w:rsidRPr="00FB1D37">
        <w:rPr>
          <w:rFonts w:ascii="Times New Roman" w:hAnsi="Times New Roman"/>
          <w:color w:val="000000"/>
          <w:szCs w:val="24"/>
        </w:rPr>
        <w:t xml:space="preserve">; PD, peritoneal dialysis; KT, kidney transplantation; </w:t>
      </w:r>
      <w:proofErr w:type="spellStart"/>
      <w:r w:rsidRPr="00FB1D37">
        <w:rPr>
          <w:rFonts w:ascii="Times New Roman" w:hAnsi="Times New Roman"/>
          <w:color w:val="000000"/>
          <w:szCs w:val="24"/>
        </w:rPr>
        <w:lastRenderedPageBreak/>
        <w:t>eGFR</w:t>
      </w:r>
      <w:proofErr w:type="spellEnd"/>
      <w:r w:rsidRPr="00FB1D37">
        <w:rPr>
          <w:rFonts w:ascii="Times New Roman" w:hAnsi="Times New Roman"/>
          <w:color w:val="000000"/>
          <w:szCs w:val="24"/>
        </w:rPr>
        <w:t xml:space="preserve">, estimated </w:t>
      </w:r>
      <w:proofErr w:type="spellStart"/>
      <w:r w:rsidRPr="00FB1D37">
        <w:rPr>
          <w:rFonts w:ascii="Times New Roman" w:hAnsi="Times New Roman"/>
          <w:color w:val="000000"/>
          <w:szCs w:val="24"/>
        </w:rPr>
        <w:t>glomerular</w:t>
      </w:r>
      <w:proofErr w:type="spellEnd"/>
      <w:r w:rsidRPr="00FB1D37">
        <w:rPr>
          <w:rFonts w:ascii="Times New Roman" w:hAnsi="Times New Roman"/>
          <w:color w:val="000000"/>
          <w:szCs w:val="24"/>
        </w:rPr>
        <w:t xml:space="preserve"> filtration rate (calculate by modified Modification of Diet in Renal Disease [MDRD] abbreviated equation [ref. 35]); RRT, renal replacement therapy (including HD, PD and KT); USRDS,</w:t>
      </w:r>
      <w:r w:rsidRPr="00FB1D37">
        <w:rPr>
          <w:rFonts w:ascii="Times New Roman" w:hAnsi="Times New Roman"/>
          <w:iCs/>
          <w:color w:val="000000"/>
          <w:szCs w:val="24"/>
        </w:rPr>
        <w:t xml:space="preserve"> United States Renal Data System.</w:t>
      </w:r>
      <w:r w:rsidRPr="00FB1D37">
        <w:rPr>
          <w:rFonts w:ascii="Times New Roman" w:hAnsi="Times New Roman"/>
          <w:color w:val="000000"/>
          <w:szCs w:val="24"/>
        </w:rPr>
        <w:t xml:space="preserve">  </w:t>
      </w:r>
    </w:p>
    <w:p w:rsidR="00192EBE" w:rsidRPr="00FB1D37" w:rsidRDefault="00192EBE" w:rsidP="00192EBE">
      <w:pPr>
        <w:rPr>
          <w:rFonts w:ascii="Times New Roman" w:hAnsi="Times New Roman"/>
          <w:color w:val="000000"/>
          <w:szCs w:val="24"/>
        </w:rPr>
      </w:pPr>
      <w:r w:rsidRPr="00FB1D37">
        <w:rPr>
          <w:rFonts w:ascii="Times New Roman" w:hAnsi="Times New Roman"/>
          <w:color w:val="191919"/>
          <w:kern w:val="0"/>
          <w:szCs w:val="24"/>
        </w:rPr>
        <w:t>*</w:t>
      </w:r>
      <w:r w:rsidRPr="00FB1D37">
        <w:rPr>
          <w:rFonts w:ascii="Times New Roman" w:hAnsi="Times New Roman"/>
          <w:color w:val="000000"/>
          <w:szCs w:val="24"/>
        </w:rPr>
        <w:t xml:space="preserve">Data were from the Taiwan society of Nephrology (ref 36), in which the clinical data and </w:t>
      </w:r>
      <w:proofErr w:type="spellStart"/>
      <w:r w:rsidRPr="00FB1D37">
        <w:rPr>
          <w:rFonts w:ascii="Times New Roman" w:hAnsi="Times New Roman"/>
          <w:color w:val="000000"/>
          <w:szCs w:val="24"/>
        </w:rPr>
        <w:t>comorbidities</w:t>
      </w:r>
      <w:proofErr w:type="spellEnd"/>
      <w:r w:rsidRPr="00FB1D37">
        <w:rPr>
          <w:rFonts w:ascii="Times New Roman" w:hAnsi="Times New Roman"/>
          <w:color w:val="000000"/>
          <w:szCs w:val="24"/>
        </w:rPr>
        <w:t xml:space="preserve"> were reported by physicians providing direct care.  </w:t>
      </w:r>
    </w:p>
    <w:p w:rsidR="00192EBE" w:rsidRPr="00FB1D37" w:rsidRDefault="00192EBE" w:rsidP="00192EBE">
      <w:pPr>
        <w:rPr>
          <w:rFonts w:ascii="Times New Roman" w:hAnsi="Times New Roman"/>
          <w:color w:val="000000" w:themeColor="text1"/>
          <w:szCs w:val="24"/>
        </w:rPr>
      </w:pPr>
      <w:r w:rsidRPr="00FB1D37">
        <w:rPr>
          <w:rFonts w:ascii="Times New Roman" w:hAnsi="Times New Roman"/>
          <w:color w:val="191919"/>
          <w:kern w:val="0"/>
          <w:szCs w:val="24"/>
          <w:vertAlign w:val="superscript"/>
        </w:rPr>
        <w:t>†</w:t>
      </w:r>
      <w:r w:rsidRPr="00FB1D37">
        <w:rPr>
          <w:rFonts w:ascii="Times New Roman" w:hAnsi="Times New Roman"/>
          <w:color w:val="000000"/>
          <w:szCs w:val="24"/>
        </w:rPr>
        <w:t>Data were calculated from</w:t>
      </w:r>
      <w:r w:rsidRPr="00FB1D37">
        <w:rPr>
          <w:rFonts w:ascii="Times New Roman" w:hAnsi="Times New Roman"/>
          <w:szCs w:val="24"/>
        </w:rPr>
        <w:t xml:space="preserve"> the </w:t>
      </w:r>
      <w:r w:rsidRPr="00FB1D37">
        <w:rPr>
          <w:rFonts w:ascii="Times New Roman" w:hAnsi="Times New Roman"/>
          <w:color w:val="000000"/>
          <w:szCs w:val="24"/>
        </w:rPr>
        <w:t xml:space="preserve">National Health Insurance Research Database (NHIRD) of Taiwan used in this study. The RRT modality (HD, PD or KT) received by individual patient was determined at the end of 3 months after first ESRD registration. </w:t>
      </w:r>
      <w:proofErr w:type="spellStart"/>
      <w:r w:rsidRPr="00FB1D37">
        <w:rPr>
          <w:rFonts w:ascii="Times New Roman" w:hAnsi="Times New Roman"/>
          <w:color w:val="000000"/>
          <w:szCs w:val="24"/>
        </w:rPr>
        <w:t>Comorbidities</w:t>
      </w:r>
      <w:proofErr w:type="spellEnd"/>
      <w:r w:rsidRPr="00FB1D37">
        <w:rPr>
          <w:rFonts w:ascii="Times New Roman" w:hAnsi="Times New Roman"/>
          <w:color w:val="000000"/>
          <w:szCs w:val="24"/>
        </w:rPr>
        <w:t xml:space="preserve"> were identified by claim data through ICD-9 (International Classification of Diseases, 9</w:t>
      </w:r>
      <w:r w:rsidRPr="00FB1D37">
        <w:rPr>
          <w:rFonts w:ascii="Times New Roman" w:hAnsi="Times New Roman"/>
          <w:color w:val="000000"/>
          <w:szCs w:val="24"/>
          <w:vertAlign w:val="superscript"/>
        </w:rPr>
        <w:t>th</w:t>
      </w:r>
      <w:r w:rsidRPr="00FB1D37">
        <w:rPr>
          <w:rFonts w:ascii="Times New Roman" w:hAnsi="Times New Roman"/>
          <w:color w:val="000000"/>
          <w:szCs w:val="24"/>
        </w:rPr>
        <w:t xml:space="preserve"> edition) codes: </w:t>
      </w:r>
      <w:r w:rsidRPr="00FB1D37">
        <w:rPr>
          <w:rFonts w:ascii="Times New Roman" w:hAnsi="Times New Roman"/>
          <w:color w:val="000000" w:themeColor="text1"/>
          <w:szCs w:val="24"/>
        </w:rPr>
        <w:t xml:space="preserve">diabetes mellitus (250, 357.2, </w:t>
      </w:r>
      <w:proofErr w:type="gramStart"/>
      <w:r w:rsidRPr="00FB1D37">
        <w:rPr>
          <w:rFonts w:ascii="Times New Roman" w:hAnsi="Times New Roman"/>
          <w:color w:val="000000" w:themeColor="text1"/>
          <w:szCs w:val="24"/>
        </w:rPr>
        <w:t>362.0X</w:t>
      </w:r>
      <w:proofErr w:type="gramEnd"/>
      <w:r w:rsidRPr="00FB1D37">
        <w:rPr>
          <w:rFonts w:ascii="Times New Roman" w:hAnsi="Times New Roman"/>
          <w:color w:val="000000" w:themeColor="text1"/>
          <w:szCs w:val="24"/>
        </w:rPr>
        <w:t xml:space="preserve">, 366.41), hypertension (362.11, 401.X-405.X, 437.2), heart failure (398.91, 425,428, 402.X1, 404.X1, 404.X3), </w:t>
      </w:r>
      <w:proofErr w:type="spellStart"/>
      <w:r w:rsidRPr="00FB1D37">
        <w:rPr>
          <w:rFonts w:ascii="Times New Roman" w:hAnsi="Times New Roman"/>
          <w:color w:val="000000" w:themeColor="text1"/>
          <w:szCs w:val="24"/>
        </w:rPr>
        <w:t>ischaemic</w:t>
      </w:r>
      <w:proofErr w:type="spellEnd"/>
      <w:r w:rsidRPr="00FB1D37">
        <w:rPr>
          <w:rFonts w:ascii="Times New Roman" w:hAnsi="Times New Roman"/>
          <w:color w:val="000000" w:themeColor="text1"/>
          <w:szCs w:val="24"/>
        </w:rPr>
        <w:t xml:space="preserve"> heart diseases (</w:t>
      </w:r>
      <w:r w:rsidRPr="00FB1D37">
        <w:rPr>
          <w:rFonts w:ascii="Times New Roman" w:hAnsi="Times New Roman"/>
          <w:bCs/>
          <w:color w:val="000000" w:themeColor="text1"/>
          <w:szCs w:val="24"/>
        </w:rPr>
        <w:t>410-414</w:t>
      </w:r>
      <w:r w:rsidRPr="00FB1D37">
        <w:rPr>
          <w:rFonts w:ascii="Times New Roman" w:hAnsi="Times New Roman"/>
          <w:color w:val="000000" w:themeColor="text1"/>
          <w:szCs w:val="24"/>
        </w:rPr>
        <w:t xml:space="preserve">), </w:t>
      </w:r>
      <w:proofErr w:type="spellStart"/>
      <w:r w:rsidRPr="00FB1D37">
        <w:rPr>
          <w:rFonts w:ascii="Times New Roman" w:hAnsi="Times New Roman"/>
          <w:color w:val="000000" w:themeColor="text1"/>
          <w:szCs w:val="24"/>
        </w:rPr>
        <w:t>cerebrovascular</w:t>
      </w:r>
      <w:proofErr w:type="spellEnd"/>
      <w:r w:rsidRPr="00FB1D37">
        <w:rPr>
          <w:rFonts w:ascii="Times New Roman" w:hAnsi="Times New Roman"/>
          <w:color w:val="000000" w:themeColor="text1"/>
          <w:szCs w:val="24"/>
        </w:rPr>
        <w:t xml:space="preserve"> diseases (430-438), malignancies (140-208), liver cirrhosis (</w:t>
      </w:r>
      <w:r w:rsidRPr="00FB1D37">
        <w:rPr>
          <w:rFonts w:ascii="Times New Roman" w:hAnsi="Times New Roman"/>
          <w:bCs/>
          <w:color w:val="000000" w:themeColor="text1"/>
          <w:szCs w:val="24"/>
        </w:rPr>
        <w:t>571.2, 571.5, 571.6</w:t>
      </w:r>
      <w:r w:rsidRPr="00FB1D37">
        <w:rPr>
          <w:rFonts w:ascii="Times New Roman" w:hAnsi="Times New Roman"/>
          <w:color w:val="000000" w:themeColor="text1"/>
          <w:szCs w:val="24"/>
        </w:rPr>
        <w:t xml:space="preserve">).   </w:t>
      </w:r>
    </w:p>
    <w:p w:rsidR="00192EBE" w:rsidRPr="00935EB9" w:rsidRDefault="00192EBE" w:rsidP="00192EBE">
      <w:pPr>
        <w:rPr>
          <w:rFonts w:ascii="Times New Roman" w:hAnsi="Times New Roman"/>
          <w:color w:val="000000"/>
          <w:szCs w:val="24"/>
        </w:rPr>
      </w:pPr>
      <w:r w:rsidRPr="00FB1D37">
        <w:rPr>
          <w:rFonts w:ascii="Times New Roman" w:hAnsi="Times New Roman"/>
          <w:color w:val="191919"/>
          <w:kern w:val="0"/>
          <w:szCs w:val="24"/>
          <w:vertAlign w:val="superscript"/>
        </w:rPr>
        <w:t>‡</w:t>
      </w:r>
      <w:r w:rsidRPr="00FB1D37">
        <w:rPr>
          <w:rFonts w:ascii="Times New Roman" w:hAnsi="Times New Roman"/>
          <w:color w:val="000000" w:themeColor="text1"/>
          <w:szCs w:val="24"/>
        </w:rPr>
        <w:t>USRDS data, from ref 2</w:t>
      </w:r>
    </w:p>
    <w:p w:rsidR="00192EBE" w:rsidRPr="00935EB9" w:rsidRDefault="00192EBE" w:rsidP="00192EBE">
      <w:pPr>
        <w:rPr>
          <w:rFonts w:ascii="Times New Roman" w:hAnsi="Times New Roman"/>
          <w:color w:val="000000"/>
          <w:szCs w:val="24"/>
        </w:rPr>
      </w:pPr>
    </w:p>
    <w:p w:rsidR="00192EBE" w:rsidRPr="003E7986" w:rsidRDefault="00192EBE" w:rsidP="00192EBE">
      <w:pPr>
        <w:rPr>
          <w:rFonts w:ascii="Times New Roman" w:hAnsi="Times New Roman"/>
          <w:color w:val="000000"/>
          <w:szCs w:val="24"/>
        </w:rPr>
      </w:pPr>
    </w:p>
    <w:p w:rsidR="00192EBE" w:rsidRDefault="00192EBE" w:rsidP="00192EBE">
      <w:pPr>
        <w:rPr>
          <w:rFonts w:ascii="Times New Roman" w:hAnsi="Times New Roman"/>
          <w:color w:val="000000"/>
          <w:szCs w:val="24"/>
        </w:rPr>
      </w:pPr>
    </w:p>
    <w:p w:rsidR="00192EBE" w:rsidRDefault="00192EBE" w:rsidP="00192EBE">
      <w:pPr>
        <w:rPr>
          <w:rFonts w:ascii="Times New Roman" w:hAnsi="Times New Roman"/>
          <w:color w:val="000000"/>
          <w:szCs w:val="24"/>
        </w:rPr>
      </w:pPr>
    </w:p>
    <w:p w:rsidR="00192EBE" w:rsidRDefault="00192EBE" w:rsidP="00192EBE">
      <w:pPr>
        <w:rPr>
          <w:rFonts w:ascii="Times New Roman" w:hAnsi="Times New Roman"/>
          <w:color w:val="000000"/>
          <w:szCs w:val="24"/>
        </w:rPr>
      </w:pPr>
    </w:p>
    <w:p w:rsidR="00192EBE" w:rsidRDefault="00192EBE" w:rsidP="00192EBE">
      <w:pPr>
        <w:rPr>
          <w:rFonts w:ascii="Times New Roman" w:hAnsi="Times New Roman"/>
          <w:color w:val="000000"/>
          <w:szCs w:val="24"/>
        </w:rPr>
      </w:pPr>
    </w:p>
    <w:p w:rsidR="00192EBE" w:rsidRDefault="00192EBE" w:rsidP="00192EBE">
      <w:pPr>
        <w:rPr>
          <w:rFonts w:ascii="Times New Roman" w:hAnsi="Times New Roman"/>
          <w:color w:val="000000"/>
          <w:szCs w:val="24"/>
        </w:rPr>
      </w:pPr>
    </w:p>
    <w:p w:rsidR="00192EBE" w:rsidRDefault="00192EBE" w:rsidP="00192EBE">
      <w:pPr>
        <w:rPr>
          <w:rFonts w:ascii="Times New Roman" w:hAnsi="Times New Roman"/>
          <w:color w:val="000000"/>
          <w:szCs w:val="24"/>
        </w:rPr>
      </w:pPr>
    </w:p>
    <w:p w:rsidR="00192EBE" w:rsidRDefault="00192EBE" w:rsidP="00192EBE">
      <w:pPr>
        <w:rPr>
          <w:rFonts w:ascii="Times New Roman" w:hAnsi="Times New Roman"/>
          <w:color w:val="000000"/>
          <w:szCs w:val="24"/>
        </w:rPr>
      </w:pPr>
    </w:p>
    <w:p w:rsidR="00192EBE" w:rsidRDefault="00192EBE" w:rsidP="00192EBE">
      <w:pPr>
        <w:rPr>
          <w:rFonts w:ascii="Times New Roman" w:hAnsi="Times New Roman"/>
          <w:color w:val="000000"/>
          <w:szCs w:val="24"/>
        </w:rPr>
      </w:pPr>
    </w:p>
    <w:p w:rsidR="00192EBE" w:rsidRDefault="00192EBE" w:rsidP="00192EBE">
      <w:pPr>
        <w:rPr>
          <w:rFonts w:ascii="Times New Roman" w:hAnsi="Times New Roman"/>
          <w:color w:val="000000"/>
          <w:szCs w:val="24"/>
        </w:rPr>
      </w:pPr>
    </w:p>
    <w:p w:rsidR="00192EBE" w:rsidRDefault="00192EBE" w:rsidP="00192EBE">
      <w:pPr>
        <w:rPr>
          <w:rFonts w:ascii="Times New Roman" w:hAnsi="Times New Roman"/>
          <w:color w:val="000000"/>
          <w:szCs w:val="24"/>
        </w:rPr>
      </w:pPr>
    </w:p>
    <w:p w:rsidR="00192EBE" w:rsidRDefault="00192EBE" w:rsidP="00192EBE">
      <w:pPr>
        <w:rPr>
          <w:rFonts w:ascii="Times New Roman" w:eastAsia="標楷體" w:hAnsi="Times New Roman"/>
          <w:lang w:val="en-GB"/>
        </w:rPr>
      </w:pPr>
    </w:p>
    <w:p w:rsidR="00192EBE" w:rsidRDefault="00192EBE" w:rsidP="00192EBE">
      <w:pPr>
        <w:rPr>
          <w:rFonts w:ascii="Times New Roman" w:eastAsia="標楷體" w:hAnsi="Times New Roman"/>
          <w:lang w:val="en-GB"/>
        </w:rPr>
      </w:pPr>
    </w:p>
    <w:p w:rsidR="00192EBE" w:rsidRDefault="00192EBE" w:rsidP="00192EBE">
      <w:pPr>
        <w:rPr>
          <w:rFonts w:ascii="Times New Roman" w:eastAsia="標楷體" w:hAnsi="Times New Roman"/>
          <w:lang w:val="en-GB"/>
        </w:rPr>
      </w:pPr>
    </w:p>
    <w:p w:rsidR="00192EBE" w:rsidRDefault="00192EBE" w:rsidP="00192EBE">
      <w:pPr>
        <w:rPr>
          <w:rFonts w:ascii="Times New Roman" w:eastAsia="標楷體" w:hAnsi="Times New Roman"/>
          <w:lang w:val="en-GB"/>
        </w:rPr>
      </w:pPr>
    </w:p>
    <w:p w:rsidR="00192EBE" w:rsidRDefault="00192EBE" w:rsidP="00192EBE">
      <w:pPr>
        <w:rPr>
          <w:rFonts w:ascii="Times New Roman" w:eastAsia="標楷體" w:hAnsi="Times New Roman"/>
          <w:lang w:val="en-GB"/>
        </w:rPr>
      </w:pPr>
    </w:p>
    <w:p w:rsidR="00192EBE" w:rsidRDefault="00192EBE" w:rsidP="00192EBE">
      <w:pPr>
        <w:rPr>
          <w:rFonts w:ascii="Times New Roman" w:eastAsia="標楷體" w:hAnsi="Times New Roman"/>
          <w:lang w:val="en-GB"/>
        </w:rPr>
      </w:pPr>
    </w:p>
    <w:p w:rsidR="00192EBE" w:rsidRDefault="00192EBE" w:rsidP="00192EBE">
      <w:pPr>
        <w:rPr>
          <w:rFonts w:ascii="Times New Roman" w:eastAsia="標楷體" w:hAnsi="Times New Roman"/>
          <w:lang w:val="en-GB"/>
        </w:rPr>
      </w:pPr>
    </w:p>
    <w:p w:rsidR="00192EBE" w:rsidRDefault="00192EBE" w:rsidP="00192EBE">
      <w:pPr>
        <w:rPr>
          <w:rFonts w:ascii="Times New Roman" w:eastAsia="標楷體" w:hAnsi="Times New Roman"/>
          <w:lang w:val="en-GB"/>
        </w:rPr>
      </w:pPr>
    </w:p>
    <w:p w:rsidR="00192EBE" w:rsidRDefault="00192EBE" w:rsidP="00192EBE">
      <w:pPr>
        <w:rPr>
          <w:rFonts w:ascii="Times New Roman" w:eastAsia="標楷體" w:hAnsi="Times New Roman"/>
          <w:lang w:val="en-GB"/>
        </w:rPr>
      </w:pPr>
    </w:p>
    <w:p w:rsidR="00192EBE" w:rsidRDefault="00192EBE" w:rsidP="00192EBE">
      <w:pPr>
        <w:rPr>
          <w:rFonts w:ascii="Times New Roman" w:eastAsia="標楷體" w:hAnsi="Times New Roman"/>
          <w:lang w:val="en-GB"/>
        </w:rPr>
      </w:pPr>
    </w:p>
    <w:p w:rsidR="00192EBE" w:rsidRDefault="00192EBE" w:rsidP="00192EBE">
      <w:pPr>
        <w:rPr>
          <w:rFonts w:ascii="Times New Roman" w:eastAsia="標楷體" w:hAnsi="Times New Roman"/>
          <w:lang w:val="en-GB"/>
        </w:rPr>
      </w:pPr>
    </w:p>
    <w:p w:rsidR="00192EBE" w:rsidRPr="003242D9" w:rsidRDefault="00192EBE" w:rsidP="00192EBE">
      <w:pPr>
        <w:rPr>
          <w:rFonts w:ascii="Times New Roman" w:hAnsi="Times New Roman"/>
          <w:szCs w:val="24"/>
        </w:rPr>
      </w:pPr>
      <w:r w:rsidRPr="003242D9">
        <w:rPr>
          <w:rFonts w:ascii="Times New Roman" w:eastAsia="標楷體" w:hAnsi="Times New Roman"/>
          <w:lang w:val="en-GB"/>
        </w:rPr>
        <w:lastRenderedPageBreak/>
        <w:t>Table S</w:t>
      </w:r>
      <w:r>
        <w:rPr>
          <w:rFonts w:ascii="Times New Roman" w:eastAsia="標楷體" w:hAnsi="Times New Roman" w:hint="eastAsia"/>
          <w:lang w:val="en-GB"/>
        </w:rPr>
        <w:t>2</w:t>
      </w:r>
      <w:r w:rsidRPr="003242D9">
        <w:rPr>
          <w:rFonts w:ascii="Times New Roman" w:eastAsia="標楷體" w:hAnsi="Times New Roman"/>
          <w:lang w:val="en-GB"/>
        </w:rPr>
        <w:t>.</w:t>
      </w:r>
      <w:r w:rsidRPr="003242D9">
        <w:rPr>
          <w:rFonts w:ascii="Times New Roman" w:hAnsi="Times New Roman" w:hint="eastAsia"/>
          <w:szCs w:val="24"/>
        </w:rPr>
        <w:t xml:space="preserve"> </w:t>
      </w:r>
      <w:proofErr w:type="gramStart"/>
      <w:r w:rsidRPr="003242D9">
        <w:rPr>
          <w:rFonts w:ascii="Times New Roman" w:hAnsi="Times New Roman" w:hint="eastAsia"/>
          <w:szCs w:val="24"/>
        </w:rPr>
        <w:t xml:space="preserve">Comparison of clinical characteristics for prevalent </w:t>
      </w:r>
      <w:proofErr w:type="spellStart"/>
      <w:r w:rsidRPr="003242D9">
        <w:rPr>
          <w:rFonts w:ascii="Times New Roman" w:hAnsi="Times New Roman" w:hint="eastAsia"/>
          <w:szCs w:val="24"/>
        </w:rPr>
        <w:t>hemodialysis</w:t>
      </w:r>
      <w:proofErr w:type="spellEnd"/>
      <w:r w:rsidRPr="003242D9">
        <w:rPr>
          <w:rFonts w:ascii="Times New Roman" w:hAnsi="Times New Roman" w:hint="eastAsia"/>
          <w:szCs w:val="24"/>
        </w:rPr>
        <w:t xml:space="preserve"> (HD) patients between Taiwan and those </w:t>
      </w:r>
      <w:r>
        <w:rPr>
          <w:rFonts w:ascii="Times New Roman" w:hAnsi="Times New Roman"/>
          <w:szCs w:val="24"/>
        </w:rPr>
        <w:t>in</w:t>
      </w:r>
      <w:r w:rsidRPr="003242D9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>N</w:t>
      </w:r>
      <w:r w:rsidRPr="003242D9">
        <w:rPr>
          <w:rFonts w:ascii="Times New Roman" w:hAnsi="Times New Roman" w:hint="eastAsia"/>
          <w:szCs w:val="24"/>
        </w:rPr>
        <w:t>orth America.</w:t>
      </w:r>
      <w:proofErr w:type="gramEnd"/>
      <w:r w:rsidRPr="003242D9">
        <w:rPr>
          <w:rFonts w:ascii="Times New Roman" w:hAnsi="Times New Roman" w:hint="eastAsia"/>
          <w:szCs w:val="24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410"/>
        <w:gridCol w:w="2977"/>
      </w:tblGrid>
      <w:tr w:rsidR="00192EBE" w:rsidRPr="00A36F8E" w:rsidTr="00CF1260">
        <w:tc>
          <w:tcPr>
            <w:tcW w:w="3085" w:type="dxa"/>
            <w:vMerge w:val="restart"/>
          </w:tcPr>
          <w:p w:rsidR="00192EBE" w:rsidRDefault="00192EBE" w:rsidP="00CF126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Categories</w:t>
            </w:r>
          </w:p>
          <w:p w:rsidR="00192EBE" w:rsidRPr="00A36F8E" w:rsidRDefault="00192EBE" w:rsidP="00CF126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Data sources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 xml:space="preserve">Taiwan </w:t>
            </w:r>
          </w:p>
        </w:tc>
        <w:tc>
          <w:tcPr>
            <w:tcW w:w="2977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N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orth America </w:t>
            </w:r>
          </w:p>
        </w:tc>
      </w:tr>
      <w:tr w:rsidR="00192EBE" w:rsidRPr="00A36F8E" w:rsidTr="00CF1260">
        <w:trPr>
          <w:trHeight w:val="318"/>
        </w:trPr>
        <w:tc>
          <w:tcPr>
            <w:tcW w:w="3085" w:type="dxa"/>
            <w:vMerge/>
          </w:tcPr>
          <w:p w:rsidR="00192EBE" w:rsidRPr="00A36F8E" w:rsidRDefault="00192EBE" w:rsidP="00CF126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NHIRD</w:t>
            </w:r>
            <w:r w:rsidRPr="003242D9">
              <w:rPr>
                <w:rFonts w:ascii="Times New Roman" w:hAnsi="Times New Roman"/>
                <w:color w:val="191919"/>
                <w:kern w:val="0"/>
                <w:szCs w:val="24"/>
              </w:rPr>
              <w:t>*</w:t>
            </w:r>
          </w:p>
        </w:tc>
        <w:tc>
          <w:tcPr>
            <w:tcW w:w="2977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fr-FR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  <w:lang w:val="fr-FR"/>
              </w:rPr>
              <w:t>DOPPS III</w:t>
            </w:r>
            <w:r w:rsidRPr="003242D9">
              <w:rPr>
                <w:rFonts w:ascii="Times New Roman" w:hAnsi="Times New Roman"/>
                <w:color w:val="191919"/>
                <w:kern w:val="0"/>
                <w:szCs w:val="24"/>
                <w:vertAlign w:val="superscript"/>
              </w:rPr>
              <w:t>†</w:t>
            </w:r>
          </w:p>
        </w:tc>
      </w:tr>
      <w:tr w:rsidR="00192EBE" w:rsidRPr="00A36F8E" w:rsidTr="00CF1260">
        <w:tc>
          <w:tcPr>
            <w:tcW w:w="3085" w:type="dxa"/>
          </w:tcPr>
          <w:p w:rsidR="00192EBE" w:rsidRPr="003242D9" w:rsidRDefault="00192EBE" w:rsidP="00CF126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2D9">
              <w:rPr>
                <w:rFonts w:ascii="Times New Roman" w:hAnsi="Times New Roman" w:hint="eastAsia"/>
                <w:color w:val="000000" w:themeColor="text1"/>
                <w:szCs w:val="24"/>
              </w:rPr>
              <w:t>Calendar years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2006-2007</w:t>
            </w:r>
          </w:p>
        </w:tc>
        <w:tc>
          <w:tcPr>
            <w:tcW w:w="2977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  <w:lang w:val="fr-FR"/>
              </w:rPr>
              <w:t>2005-2008</w:t>
            </w:r>
          </w:p>
        </w:tc>
      </w:tr>
      <w:tr w:rsidR="00192EBE" w:rsidRPr="00A36F8E" w:rsidTr="00CF1260">
        <w:tc>
          <w:tcPr>
            <w:tcW w:w="3085" w:type="dxa"/>
          </w:tcPr>
          <w:p w:rsidR="00192EBE" w:rsidRPr="003242D9" w:rsidRDefault="00192EBE" w:rsidP="00CF126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2D9">
              <w:rPr>
                <w:rFonts w:ascii="Times New Roman" w:hAnsi="Times New Roman"/>
                <w:color w:val="000000" w:themeColor="text1"/>
                <w:szCs w:val="24"/>
              </w:rPr>
              <w:t>No. of cases (%)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62731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(100)</w:t>
            </w:r>
          </w:p>
        </w:tc>
        <w:tc>
          <w:tcPr>
            <w:tcW w:w="2977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2212</w:t>
            </w: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(100)</w:t>
            </w: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3242D9" w:rsidRDefault="00192EBE" w:rsidP="00CF126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2D9">
              <w:rPr>
                <w:rFonts w:ascii="Times New Roman" w:hAnsi="Times New Roman"/>
                <w:color w:val="000000" w:themeColor="text1"/>
                <w:szCs w:val="24"/>
              </w:rPr>
              <w:t>Male (%)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30099(48.0)</w:t>
            </w:r>
          </w:p>
        </w:tc>
        <w:tc>
          <w:tcPr>
            <w:tcW w:w="2977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55.2</w:t>
            </w:r>
          </w:p>
        </w:tc>
      </w:tr>
      <w:tr w:rsidR="00192EBE" w:rsidRPr="00A36F8E" w:rsidTr="00CF1260">
        <w:tc>
          <w:tcPr>
            <w:tcW w:w="3085" w:type="dxa"/>
          </w:tcPr>
          <w:p w:rsidR="00192EBE" w:rsidRPr="003242D9" w:rsidRDefault="00192EBE" w:rsidP="00CF126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2D9">
              <w:rPr>
                <w:rFonts w:ascii="Times New Roman" w:hAnsi="Times New Roman"/>
                <w:color w:val="000000" w:themeColor="text1"/>
                <w:szCs w:val="24"/>
              </w:rPr>
              <w:t>Age (years), mean ± SD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58.7±14.6</w:t>
            </w:r>
          </w:p>
        </w:tc>
        <w:tc>
          <w:tcPr>
            <w:tcW w:w="2977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62.0±15.4</w:t>
            </w:r>
          </w:p>
        </w:tc>
      </w:tr>
      <w:tr w:rsidR="00192EBE" w:rsidRPr="00A36F8E" w:rsidTr="00CF1260">
        <w:tc>
          <w:tcPr>
            <w:tcW w:w="3085" w:type="dxa"/>
          </w:tcPr>
          <w:p w:rsidR="00192EBE" w:rsidRPr="003242D9" w:rsidRDefault="00192EBE" w:rsidP="00CF126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2D9">
              <w:rPr>
                <w:rFonts w:ascii="Times New Roman" w:hAnsi="Times New Roman"/>
                <w:color w:val="000000" w:themeColor="text1"/>
                <w:szCs w:val="24"/>
              </w:rPr>
              <w:t xml:space="preserve">Years on dialysis; </w:t>
            </w:r>
            <w:proofErr w:type="spellStart"/>
            <w:r w:rsidRPr="003242D9">
              <w:rPr>
                <w:rFonts w:ascii="Times New Roman" w:hAnsi="Times New Roman"/>
                <w:color w:val="000000" w:themeColor="text1"/>
                <w:szCs w:val="24"/>
              </w:rPr>
              <w:t>mean±SD</w:t>
            </w:r>
            <w:proofErr w:type="spellEnd"/>
            <w:r w:rsidRPr="003242D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2.8±2.8</w:t>
            </w:r>
          </w:p>
        </w:tc>
        <w:tc>
          <w:tcPr>
            <w:tcW w:w="2977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4.1</w:t>
            </w: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±4.1</w:t>
            </w: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3242D9" w:rsidRDefault="00192EBE" w:rsidP="00CF126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2D9">
              <w:rPr>
                <w:rFonts w:ascii="Times New Roman" w:hAnsi="Times New Roman"/>
                <w:color w:val="000000" w:themeColor="text1"/>
                <w:szCs w:val="24"/>
              </w:rPr>
              <w:t>Years on dialysis; median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1.9</w:t>
            </w:r>
          </w:p>
        </w:tc>
        <w:tc>
          <w:tcPr>
            <w:tcW w:w="2977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2.8</w:t>
            </w: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3242D9" w:rsidRDefault="00192EBE" w:rsidP="00CF126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3242D9">
              <w:rPr>
                <w:rFonts w:ascii="Times New Roman" w:hAnsi="Times New Roman"/>
                <w:color w:val="000000" w:themeColor="text1"/>
                <w:szCs w:val="24"/>
              </w:rPr>
              <w:t>Co-morbidities, %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A36F8E" w:rsidRDefault="00192EBE" w:rsidP="00CF1260">
            <w:pPr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Diabetes mellitus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49.7</w:t>
            </w:r>
          </w:p>
        </w:tc>
        <w:tc>
          <w:tcPr>
            <w:tcW w:w="2977" w:type="dxa"/>
          </w:tcPr>
          <w:p w:rsidR="00192EBE" w:rsidRPr="00F037A3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37A3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53.3</w:t>
            </w: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A36F8E" w:rsidRDefault="00192EBE" w:rsidP="00CF1260">
            <w:pPr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Hypertension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67.9</w:t>
            </w:r>
          </w:p>
        </w:tc>
        <w:tc>
          <w:tcPr>
            <w:tcW w:w="2977" w:type="dxa"/>
          </w:tcPr>
          <w:p w:rsidR="00192EBE" w:rsidRPr="00F037A3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37A3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88.2</w:t>
            </w: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A36F8E" w:rsidRDefault="00192EBE" w:rsidP="00CF1260">
            <w:pPr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Cerebrovascular</w:t>
            </w:r>
            <w:proofErr w:type="spellEnd"/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 xml:space="preserve"> diseases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15.0</w:t>
            </w:r>
          </w:p>
        </w:tc>
        <w:tc>
          <w:tcPr>
            <w:tcW w:w="2977" w:type="dxa"/>
          </w:tcPr>
          <w:p w:rsidR="00192EBE" w:rsidRPr="00F037A3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37A3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18.5</w:t>
            </w: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A36F8E" w:rsidRDefault="00192EBE" w:rsidP="00CF1260">
            <w:pPr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Ischaemic</w:t>
            </w:r>
            <w:proofErr w:type="spellEnd"/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 xml:space="preserve"> heart diseases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25.6</w:t>
            </w:r>
          </w:p>
        </w:tc>
        <w:tc>
          <w:tcPr>
            <w:tcW w:w="2977" w:type="dxa"/>
          </w:tcPr>
          <w:p w:rsidR="00192EBE" w:rsidRPr="00F037A3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37A3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67.4</w:t>
            </w: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A36F8E" w:rsidRDefault="00192EBE" w:rsidP="00CF1260">
            <w:pPr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Peripheral vascular dis.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6.2</w:t>
            </w:r>
          </w:p>
        </w:tc>
        <w:tc>
          <w:tcPr>
            <w:tcW w:w="2977" w:type="dxa"/>
          </w:tcPr>
          <w:p w:rsidR="00192EBE" w:rsidRPr="00F037A3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37A3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33.4</w:t>
            </w: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A36F8E" w:rsidRDefault="00192EBE" w:rsidP="00CF1260">
            <w:pPr>
              <w:ind w:leftChars="50" w:left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Other cardiovascular disease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8.6</w:t>
            </w:r>
          </w:p>
        </w:tc>
        <w:tc>
          <w:tcPr>
            <w:tcW w:w="2977" w:type="dxa"/>
          </w:tcPr>
          <w:p w:rsidR="00192EBE" w:rsidRPr="00F037A3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F037A3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36.4</w:t>
            </w: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0A183D" w:rsidRDefault="00192EBE" w:rsidP="00CF1260">
            <w:pPr>
              <w:ind w:leftChars="50" w:left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A183D">
              <w:rPr>
                <w:rFonts w:ascii="Times New Roman" w:hAnsi="Times New Roman"/>
                <w:color w:val="000000" w:themeColor="text1"/>
                <w:szCs w:val="24"/>
              </w:rPr>
              <w:t>Malignancies, excluding skin cancer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6.1</w:t>
            </w:r>
          </w:p>
        </w:tc>
        <w:tc>
          <w:tcPr>
            <w:tcW w:w="2977" w:type="dxa"/>
          </w:tcPr>
          <w:p w:rsidR="00192EBE" w:rsidRPr="00F037A3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37A3">
              <w:rPr>
                <w:rFonts w:ascii="Times New Roman" w:hAnsi="Times New Roman"/>
                <w:color w:val="000000" w:themeColor="text1"/>
                <w:szCs w:val="24"/>
              </w:rPr>
              <w:t>12.2</w:t>
            </w: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A36F8E" w:rsidRDefault="00192EBE" w:rsidP="00CF1260">
            <w:pPr>
              <w:ind w:leftChars="50" w:left="360" w:hangingChars="100" w:hanging="24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Lung diseases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11.4</w:t>
            </w:r>
          </w:p>
        </w:tc>
        <w:tc>
          <w:tcPr>
            <w:tcW w:w="2977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19.0</w:t>
            </w: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A36F8E" w:rsidRDefault="00192EBE" w:rsidP="00CF1260">
            <w:pPr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Gastrointestinal bleeding</w:t>
            </w:r>
            <w:r w:rsidRPr="00A36F8E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3.2</w:t>
            </w:r>
          </w:p>
        </w:tc>
        <w:tc>
          <w:tcPr>
            <w:tcW w:w="2977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6.1</w:t>
            </w:r>
          </w:p>
        </w:tc>
      </w:tr>
      <w:tr w:rsidR="00192EBE" w:rsidRPr="00A36F8E" w:rsidTr="00CF1260">
        <w:tc>
          <w:tcPr>
            <w:tcW w:w="3085" w:type="dxa"/>
            <w:vAlign w:val="center"/>
          </w:tcPr>
          <w:p w:rsidR="00192EBE" w:rsidRPr="00A36F8E" w:rsidRDefault="00192EBE" w:rsidP="00CF1260">
            <w:pPr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Liver cirrhosis</w:t>
            </w:r>
          </w:p>
        </w:tc>
        <w:tc>
          <w:tcPr>
            <w:tcW w:w="2410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1.5</w:t>
            </w:r>
          </w:p>
        </w:tc>
        <w:tc>
          <w:tcPr>
            <w:tcW w:w="2977" w:type="dxa"/>
          </w:tcPr>
          <w:p w:rsidR="00192EBE" w:rsidRPr="00A36F8E" w:rsidRDefault="00192EBE" w:rsidP="00CF126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36F8E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</w:tr>
    </w:tbl>
    <w:p w:rsidR="00192EBE" w:rsidRPr="00A01D7B" w:rsidRDefault="00192EBE" w:rsidP="00192EBE">
      <w:pPr>
        <w:rPr>
          <w:rFonts w:ascii="Times New Roman" w:hAnsi="Times New Roman"/>
          <w:color w:val="191919"/>
          <w:kern w:val="0"/>
          <w:szCs w:val="24"/>
        </w:rPr>
      </w:pPr>
      <w:r w:rsidRPr="00A01D7B">
        <w:rPr>
          <w:rFonts w:ascii="Times New Roman" w:hAnsi="Times New Roman"/>
          <w:color w:val="191919"/>
          <w:kern w:val="0"/>
          <w:szCs w:val="24"/>
        </w:rPr>
        <w:t xml:space="preserve">* Data were calculated from the National Health Insurance Research Database (NHIRD) of Taiwan used in this study. </w:t>
      </w:r>
      <w:proofErr w:type="spellStart"/>
      <w:r w:rsidRPr="00A01D7B">
        <w:rPr>
          <w:rFonts w:ascii="Times New Roman" w:hAnsi="Times New Roman"/>
          <w:color w:val="191919"/>
          <w:kern w:val="0"/>
          <w:szCs w:val="24"/>
        </w:rPr>
        <w:t>Comorbidities</w:t>
      </w:r>
      <w:proofErr w:type="spellEnd"/>
      <w:r w:rsidRPr="00A01D7B">
        <w:rPr>
          <w:rFonts w:ascii="Times New Roman" w:hAnsi="Times New Roman"/>
          <w:color w:val="191919"/>
          <w:kern w:val="0"/>
          <w:szCs w:val="24"/>
        </w:rPr>
        <w:t xml:space="preserve"> were identified by ICD-9 (International Classification of Diseases, 9th edition) codes: (250, 357.2, 362.0X, 366.41), hypertension (362.11, 401.X-405.X, 437.2), </w:t>
      </w:r>
      <w:proofErr w:type="spellStart"/>
      <w:r w:rsidRPr="00A01D7B">
        <w:rPr>
          <w:rFonts w:ascii="Times New Roman" w:hAnsi="Times New Roman"/>
          <w:color w:val="191919"/>
          <w:kern w:val="0"/>
          <w:szCs w:val="24"/>
        </w:rPr>
        <w:t>cerebrovascular</w:t>
      </w:r>
      <w:proofErr w:type="spellEnd"/>
      <w:r w:rsidRPr="00A01D7B">
        <w:rPr>
          <w:rFonts w:ascii="Times New Roman" w:hAnsi="Times New Roman"/>
          <w:color w:val="191919"/>
          <w:kern w:val="0"/>
          <w:szCs w:val="24"/>
        </w:rPr>
        <w:t xml:space="preserve"> diseases (430-438), </w:t>
      </w:r>
      <w:proofErr w:type="spellStart"/>
      <w:r w:rsidRPr="00A01D7B">
        <w:rPr>
          <w:rFonts w:ascii="Times New Roman" w:hAnsi="Times New Roman"/>
          <w:color w:val="191919"/>
          <w:kern w:val="0"/>
          <w:szCs w:val="24"/>
        </w:rPr>
        <w:t>ischaemic</w:t>
      </w:r>
      <w:proofErr w:type="spellEnd"/>
      <w:r w:rsidRPr="00A01D7B">
        <w:rPr>
          <w:rFonts w:ascii="Times New Roman" w:hAnsi="Times New Roman"/>
          <w:color w:val="191919"/>
          <w:kern w:val="0"/>
          <w:szCs w:val="24"/>
        </w:rPr>
        <w:t xml:space="preserve"> heart diseases (410-414), peripheral vascular disease(440-444, 447, 557), other cardiovascular disease (393-398; 425 -427; 416), malignancies (140-208), excluding skin cancer (172, 173), lung diseases (490-496), gastrointestinal bleeding (578), liver cirrhosis (571.2, 571.5, 571.6)</w:t>
      </w:r>
    </w:p>
    <w:p w:rsidR="00F442E5" w:rsidRDefault="00192EBE" w:rsidP="00192EBE">
      <w:r w:rsidRPr="00A01D7B">
        <w:rPr>
          <w:rFonts w:ascii="Times New Roman" w:hAnsi="Times New Roman" w:hint="eastAsia"/>
          <w:color w:val="191919"/>
          <w:kern w:val="0"/>
          <w:szCs w:val="24"/>
        </w:rPr>
        <w:t>†</w:t>
      </w:r>
      <w:r w:rsidRPr="00A01D7B">
        <w:rPr>
          <w:rFonts w:ascii="Times New Roman" w:hAnsi="Times New Roman"/>
          <w:color w:val="191919"/>
          <w:kern w:val="0"/>
          <w:szCs w:val="24"/>
        </w:rPr>
        <w:t>The DOPPS (Dialysis Outcomes and Practice Pattern Study) III is the third wave of collection for HD study, in which 301 facilities were randomly chosen from the U.</w:t>
      </w:r>
      <w:proofErr w:type="gramStart"/>
      <w:r w:rsidRPr="00A01D7B">
        <w:rPr>
          <w:rFonts w:ascii="Times New Roman" w:hAnsi="Times New Roman"/>
          <w:color w:val="191919"/>
          <w:kern w:val="0"/>
          <w:szCs w:val="24"/>
        </w:rPr>
        <w:t>S., Canada, Japan, Australia, New Zealand, and 7 EU countries during 2005-2008</w:t>
      </w:r>
      <w:r w:rsidRPr="009276E0">
        <w:rPr>
          <w:rFonts w:ascii="Times New Roman" w:hAnsi="Times New Roman"/>
          <w:color w:val="191919"/>
          <w:kern w:val="0"/>
          <w:szCs w:val="24"/>
        </w:rPr>
        <w:t>.</w:t>
      </w:r>
      <w:proofErr w:type="gramEnd"/>
      <w:r w:rsidRPr="00A01D7B">
        <w:rPr>
          <w:rFonts w:ascii="Times New Roman" w:hAnsi="Times New Roman"/>
          <w:color w:val="191919"/>
          <w:kern w:val="0"/>
          <w:szCs w:val="24"/>
        </w:rPr>
        <w:t xml:space="preserve"> Within each participating facility, 20–40 patients were </w:t>
      </w:r>
      <w:r w:rsidRPr="007F29DB">
        <w:rPr>
          <w:rFonts w:ascii="Times New Roman" w:hAnsi="Times New Roman"/>
          <w:color w:val="191919"/>
          <w:kern w:val="0"/>
          <w:szCs w:val="24"/>
        </w:rPr>
        <w:t>randomly selected proportional to size,</w:t>
      </w:r>
      <w:r w:rsidRPr="00A01D7B">
        <w:rPr>
          <w:rFonts w:ascii="Times New Roman" w:hAnsi="Times New Roman"/>
          <w:color w:val="191919"/>
          <w:kern w:val="0"/>
          <w:szCs w:val="24"/>
        </w:rPr>
        <w:t xml:space="preserve"> and the co-morbidity data were abstracted th</w:t>
      </w:r>
      <w:r>
        <w:rPr>
          <w:rFonts w:ascii="Times New Roman" w:hAnsi="Times New Roman"/>
          <w:color w:val="191919"/>
          <w:kern w:val="0"/>
          <w:szCs w:val="24"/>
        </w:rPr>
        <w:t>rough review of medical records</w:t>
      </w:r>
      <w:r>
        <w:rPr>
          <w:rFonts w:ascii="Times New Roman" w:hAnsi="Times New Roman" w:hint="eastAsia"/>
          <w:color w:val="191919"/>
          <w:kern w:val="0"/>
          <w:szCs w:val="24"/>
        </w:rPr>
        <w:t xml:space="preserve">. </w:t>
      </w:r>
      <w:r w:rsidRPr="0080270D">
        <w:rPr>
          <w:rFonts w:ascii="Times New Roman" w:hAnsi="Times New Roman" w:hint="eastAsia"/>
          <w:color w:val="191919"/>
          <w:kern w:val="0"/>
          <w:szCs w:val="24"/>
        </w:rPr>
        <w:t xml:space="preserve">The data of Northern America (the US and </w:t>
      </w:r>
      <w:r w:rsidRPr="0080270D">
        <w:rPr>
          <w:rFonts w:ascii="Times New Roman" w:hAnsi="Times New Roman"/>
          <w:color w:val="191919"/>
          <w:kern w:val="0"/>
          <w:szCs w:val="24"/>
        </w:rPr>
        <w:t>Canada</w:t>
      </w:r>
      <w:r w:rsidRPr="0080270D">
        <w:rPr>
          <w:rFonts w:ascii="Times New Roman" w:hAnsi="Times New Roman" w:hint="eastAsia"/>
          <w:color w:val="191919"/>
          <w:kern w:val="0"/>
          <w:szCs w:val="24"/>
        </w:rPr>
        <w:t xml:space="preserve">) were used in this Table </w:t>
      </w:r>
      <w:r w:rsidRPr="0080270D">
        <w:rPr>
          <w:rFonts w:ascii="Times New Roman" w:hAnsi="Times New Roman"/>
          <w:color w:val="191919"/>
          <w:kern w:val="0"/>
          <w:szCs w:val="24"/>
        </w:rPr>
        <w:t xml:space="preserve">(ref. </w:t>
      </w:r>
      <w:r w:rsidRPr="0080270D">
        <w:rPr>
          <w:rFonts w:ascii="Times New Roman" w:hAnsi="Times New Roman" w:hint="eastAsia"/>
          <w:color w:val="191919"/>
          <w:kern w:val="0"/>
          <w:szCs w:val="24"/>
        </w:rPr>
        <w:t>37</w:t>
      </w:r>
      <w:r w:rsidRPr="0080270D">
        <w:rPr>
          <w:rFonts w:ascii="Times New Roman" w:hAnsi="Times New Roman"/>
          <w:color w:val="191919"/>
          <w:kern w:val="0"/>
          <w:szCs w:val="24"/>
        </w:rPr>
        <w:t>).</w:t>
      </w:r>
    </w:p>
    <w:sectPr w:rsidR="00F442E5" w:rsidSect="007C5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C6" w:rsidRDefault="00CA29C6" w:rsidP="000D10D7">
      <w:r>
        <w:separator/>
      </w:r>
    </w:p>
  </w:endnote>
  <w:endnote w:type="continuationSeparator" w:id="0">
    <w:p w:rsidR="00CA29C6" w:rsidRDefault="00CA29C6" w:rsidP="000D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TT7c3c51d9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C6" w:rsidRDefault="00CA29C6" w:rsidP="000D10D7">
      <w:r>
        <w:separator/>
      </w:r>
    </w:p>
  </w:footnote>
  <w:footnote w:type="continuationSeparator" w:id="0">
    <w:p w:rsidR="00CA29C6" w:rsidRDefault="00CA29C6" w:rsidP="000D1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EBE"/>
    <w:rsid w:val="000D10D7"/>
    <w:rsid w:val="00192EBE"/>
    <w:rsid w:val="002C0C30"/>
    <w:rsid w:val="007C556F"/>
    <w:rsid w:val="00AC3DDC"/>
    <w:rsid w:val="00B1447B"/>
    <w:rsid w:val="00CA29C6"/>
    <w:rsid w:val="00F4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B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10D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10D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2013-08-19T07:25:00Z</dcterms:created>
  <dcterms:modified xsi:type="dcterms:W3CDTF">2013-08-19T07:25:00Z</dcterms:modified>
</cp:coreProperties>
</file>