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pPr w:leftFromText="187" w:rightFromText="187" w:horzAnchor="margin" w:tblpYSpec="top"/>
        <w:tblW w:w="90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888"/>
        <w:gridCol w:w="6186"/>
        <w:gridCol w:w="977"/>
      </w:tblGrid>
      <w:tr w:rsidR="00FF31F7" w:rsidRPr="00794EAF" w:rsidTr="00794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1" w:type="dxa"/>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FF31F7" w:rsidRPr="00794EAF" w:rsidRDefault="00612196" w:rsidP="00612196">
            <w:pPr>
              <w:spacing w:after="0"/>
              <w:jc w:val="center"/>
              <w:rPr>
                <w:rFonts w:asciiTheme="majorHAnsi" w:eastAsiaTheme="majorEastAsia" w:hAnsiTheme="majorHAnsi" w:cs="Arial"/>
                <w:bCs w:val="0"/>
                <w:color w:val="4F81BD" w:themeColor="accent1"/>
                <w:sz w:val="24"/>
                <w:szCs w:val="24"/>
              </w:rPr>
            </w:pPr>
            <w:r>
              <w:rPr>
                <w:rFonts w:asciiTheme="majorHAnsi" w:hAnsiTheme="majorHAnsi" w:cs="Arial"/>
                <w:sz w:val="24"/>
                <w:szCs w:val="24"/>
              </w:rPr>
              <w:t xml:space="preserve">Supplement Digital: </w:t>
            </w:r>
            <w:bookmarkStart w:id="0" w:name="_GoBack"/>
            <w:bookmarkEnd w:id="0"/>
            <w:r w:rsidR="00E6725E" w:rsidRPr="00794EAF">
              <w:rPr>
                <w:rFonts w:asciiTheme="majorHAnsi" w:hAnsiTheme="majorHAnsi" w:cs="Arial"/>
                <w:sz w:val="24"/>
                <w:szCs w:val="24"/>
              </w:rPr>
              <w:t xml:space="preserve">Table 1.  </w:t>
            </w:r>
            <w:r w:rsidR="00FF31F7" w:rsidRPr="00794EAF">
              <w:rPr>
                <w:rFonts w:asciiTheme="majorHAnsi" w:hAnsiTheme="majorHAnsi" w:cs="Arial"/>
                <w:sz w:val="24"/>
                <w:szCs w:val="24"/>
              </w:rPr>
              <w:t>Primary Care Quality-Related Constructs Explored in the Development of the Primary Care Quality-Homeless Instrument</w:t>
            </w:r>
          </w:p>
        </w:tc>
      </w:tr>
      <w:tr w:rsidR="00FF31F7" w:rsidRPr="00794EAF" w:rsidTr="0079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1" w:type="dxa"/>
            <w:gridSpan w:val="3"/>
            <w:tcBorders>
              <w:left w:val="none" w:sz="0" w:space="0" w:color="auto"/>
              <w:right w:val="none" w:sz="0" w:space="0" w:color="auto"/>
            </w:tcBorders>
            <w:shd w:val="clear" w:color="auto" w:fill="BFBFBF" w:themeFill="background1" w:themeFillShade="BF"/>
            <w:vAlign w:val="center"/>
          </w:tcPr>
          <w:p w:rsidR="00FF31F7" w:rsidRPr="00794EAF" w:rsidRDefault="00794EAF" w:rsidP="00794EAF">
            <w:pPr>
              <w:spacing w:after="0"/>
              <w:jc w:val="center"/>
              <w:rPr>
                <w:rFonts w:asciiTheme="majorHAnsi" w:hAnsiTheme="majorHAnsi" w:cs="Times New Roman"/>
                <w:sz w:val="24"/>
                <w:szCs w:val="24"/>
                <w:vertAlign w:val="superscript"/>
              </w:rPr>
            </w:pPr>
            <w:r w:rsidRPr="00794EAF">
              <w:rPr>
                <w:rFonts w:asciiTheme="majorHAnsi" w:hAnsiTheme="majorHAnsi" w:cs="Times New Roman"/>
                <w:sz w:val="24"/>
                <w:szCs w:val="24"/>
              </w:rPr>
              <w:t>Eight Constructs Identified from</w:t>
            </w:r>
            <w:r w:rsidR="00043BC6" w:rsidRPr="00794EAF">
              <w:rPr>
                <w:rFonts w:asciiTheme="majorHAnsi" w:hAnsiTheme="majorHAnsi" w:cs="Times New Roman"/>
                <w:sz w:val="24"/>
                <w:szCs w:val="24"/>
              </w:rPr>
              <w:t xml:space="preserve"> </w:t>
            </w:r>
            <w:r w:rsidRPr="00794EAF">
              <w:rPr>
                <w:rFonts w:asciiTheme="majorHAnsi" w:hAnsiTheme="majorHAnsi" w:cs="Times New Roman"/>
                <w:sz w:val="24"/>
                <w:szCs w:val="24"/>
              </w:rPr>
              <w:t xml:space="preserve">Two </w:t>
            </w:r>
            <w:r w:rsidR="00043BC6" w:rsidRPr="00794EAF">
              <w:rPr>
                <w:rFonts w:asciiTheme="majorHAnsi" w:hAnsiTheme="majorHAnsi" w:cs="Times New Roman"/>
                <w:sz w:val="24"/>
                <w:szCs w:val="24"/>
              </w:rPr>
              <w:t>Institute of Medicine R</w:t>
            </w:r>
            <w:r w:rsidR="00FF31F7" w:rsidRPr="00794EAF">
              <w:rPr>
                <w:rFonts w:asciiTheme="majorHAnsi" w:hAnsiTheme="majorHAnsi" w:cs="Times New Roman"/>
                <w:sz w:val="24"/>
                <w:szCs w:val="24"/>
              </w:rPr>
              <w:t>eports (1, 2)</w:t>
            </w:r>
            <w:r>
              <w:rPr>
                <w:rFonts w:asciiTheme="majorHAnsi" w:hAnsiTheme="majorHAnsi" w:cs="Times New Roman"/>
                <w:sz w:val="24"/>
                <w:szCs w:val="24"/>
                <w:vertAlign w:val="superscript"/>
              </w:rPr>
              <w:t>*</w:t>
            </w:r>
          </w:p>
        </w:tc>
      </w:tr>
      <w:tr w:rsidR="00FF31F7" w:rsidRPr="00794EAF" w:rsidTr="00794EAF">
        <w:tc>
          <w:tcPr>
            <w:cnfStyle w:val="001000000000" w:firstRow="0" w:lastRow="0" w:firstColumn="1" w:lastColumn="0" w:oddVBand="0" w:evenVBand="0" w:oddHBand="0" w:evenHBand="0" w:firstRowFirstColumn="0" w:firstRowLastColumn="0" w:lastRowFirstColumn="0" w:lastRowLastColumn="0"/>
            <w:tcW w:w="1888" w:type="dxa"/>
            <w:shd w:val="clear" w:color="auto" w:fill="FFFFFF" w:themeFill="background1"/>
            <w:vAlign w:val="center"/>
          </w:tcPr>
          <w:p w:rsidR="00FF31F7" w:rsidRPr="00794EAF" w:rsidRDefault="00FF31F7" w:rsidP="00381E61">
            <w:pPr>
              <w:spacing w:after="0"/>
              <w:jc w:val="center"/>
              <w:rPr>
                <w:rFonts w:asciiTheme="majorHAnsi" w:hAnsiTheme="majorHAnsi" w:cs="Times New Roman"/>
                <w:b w:val="0"/>
                <w:bCs w:val="0"/>
                <w:sz w:val="24"/>
                <w:szCs w:val="24"/>
              </w:rPr>
            </w:pPr>
          </w:p>
        </w:tc>
        <w:tc>
          <w:tcPr>
            <w:tcW w:w="6186" w:type="dxa"/>
            <w:shd w:val="clear" w:color="auto" w:fill="FFFFFF" w:themeFill="background1"/>
            <w:vAlign w:val="center"/>
          </w:tcPr>
          <w:p w:rsidR="00FF31F7" w:rsidRPr="00794EAF" w:rsidRDefault="00FF31F7" w:rsidP="00381E6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sz w:val="24"/>
                <w:szCs w:val="24"/>
              </w:rPr>
            </w:pPr>
          </w:p>
        </w:tc>
        <w:tc>
          <w:tcPr>
            <w:tcW w:w="977" w:type="dxa"/>
            <w:shd w:val="clear" w:color="auto" w:fill="FFFFFF" w:themeFill="background1"/>
            <w:vAlign w:val="center"/>
          </w:tcPr>
          <w:p w:rsidR="00FF31F7" w:rsidRPr="00794EAF" w:rsidRDefault="00FF31F7" w:rsidP="00381E61">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4F81BD" w:themeColor="accent1"/>
                <w:sz w:val="24"/>
                <w:szCs w:val="24"/>
              </w:rPr>
            </w:pPr>
            <w:r w:rsidRPr="00794EAF">
              <w:rPr>
                <w:rFonts w:asciiTheme="majorHAnsi" w:hAnsiTheme="majorHAnsi" w:cs="Times New Roman"/>
                <w:b/>
                <w:sz w:val="24"/>
                <w:szCs w:val="24"/>
              </w:rPr>
              <w:t>Source</w:t>
            </w:r>
          </w:p>
        </w:tc>
      </w:tr>
      <w:tr w:rsidR="00FF31F7" w:rsidRPr="00794EAF" w:rsidTr="0079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8" w:type="dxa"/>
            <w:tcBorders>
              <w:left w:val="none" w:sz="0" w:space="0" w:color="auto"/>
              <w:right w:val="none" w:sz="0" w:space="0" w:color="auto"/>
            </w:tcBorders>
            <w:shd w:val="clear" w:color="auto" w:fill="FFFFFF" w:themeFill="background1"/>
          </w:tcPr>
          <w:p w:rsidR="00FF31F7" w:rsidRPr="00794EAF" w:rsidRDefault="00FF31F7" w:rsidP="00FF31F7">
            <w:pPr>
              <w:spacing w:after="0" w:line="240" w:lineRule="auto"/>
              <w:rPr>
                <w:rFonts w:asciiTheme="majorHAnsi" w:eastAsiaTheme="majorEastAsia" w:hAnsiTheme="majorHAnsi" w:cs="Times New Roman"/>
                <w:b w:val="0"/>
                <w:bCs w:val="0"/>
                <w:color w:val="4F81BD" w:themeColor="accent1"/>
                <w:sz w:val="24"/>
                <w:szCs w:val="24"/>
              </w:rPr>
            </w:pPr>
            <w:r w:rsidRPr="00794EAF">
              <w:rPr>
                <w:rFonts w:asciiTheme="majorHAnsi" w:hAnsiTheme="majorHAnsi" w:cs="Times New Roman"/>
                <w:sz w:val="24"/>
                <w:szCs w:val="24"/>
              </w:rPr>
              <w:t>Accountability</w:t>
            </w:r>
          </w:p>
        </w:tc>
        <w:tc>
          <w:tcPr>
            <w:tcW w:w="6186" w:type="dxa"/>
            <w:tcBorders>
              <w:left w:val="none" w:sz="0" w:space="0" w:color="auto"/>
              <w:right w:val="none" w:sz="0" w:space="0" w:color="auto"/>
            </w:tcBorders>
            <w:shd w:val="clear" w:color="auto" w:fill="FFFFFF" w:themeFill="background1"/>
          </w:tcPr>
          <w:p w:rsidR="00FF31F7" w:rsidRPr="00794EAF" w:rsidRDefault="00FF31F7" w:rsidP="00FF31F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4"/>
                <w:szCs w:val="24"/>
              </w:rPr>
            </w:pPr>
            <w:r w:rsidRPr="00794EAF">
              <w:rPr>
                <w:rFonts w:asciiTheme="majorHAnsi" w:eastAsia="Times New Roman" w:hAnsiTheme="majorHAnsi" w:cs="Times New Roman"/>
                <w:sz w:val="24"/>
                <w:szCs w:val="24"/>
              </w:rPr>
              <w:t>The health care should anticipate patient needs, rather than simply reacting to events.</w:t>
            </w:r>
          </w:p>
        </w:tc>
        <w:tc>
          <w:tcPr>
            <w:tcW w:w="977" w:type="dxa"/>
            <w:tcBorders>
              <w:left w:val="none" w:sz="0" w:space="0" w:color="auto"/>
              <w:right w:val="none" w:sz="0" w:space="0" w:color="auto"/>
            </w:tcBorders>
            <w:shd w:val="clear" w:color="auto" w:fill="FFFFFF" w:themeFill="background1"/>
          </w:tcPr>
          <w:p w:rsidR="00FF31F7" w:rsidRPr="00794EAF" w:rsidRDefault="00FF31F7" w:rsidP="00FF31F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4F81BD" w:themeColor="accent1"/>
                <w:sz w:val="24"/>
                <w:szCs w:val="24"/>
              </w:rPr>
            </w:pPr>
            <w:r w:rsidRPr="00794EAF">
              <w:rPr>
                <w:rFonts w:asciiTheme="majorHAnsi" w:hAnsiTheme="majorHAnsi" w:cs="Times New Roman"/>
                <w:sz w:val="24"/>
                <w:szCs w:val="24"/>
              </w:rPr>
              <w:t>1</w:t>
            </w:r>
          </w:p>
        </w:tc>
      </w:tr>
      <w:tr w:rsidR="00FF31F7" w:rsidRPr="00794EAF" w:rsidTr="00794EAF">
        <w:tc>
          <w:tcPr>
            <w:cnfStyle w:val="001000000000" w:firstRow="0" w:lastRow="0" w:firstColumn="1" w:lastColumn="0" w:oddVBand="0" w:evenVBand="0" w:oddHBand="0" w:evenHBand="0" w:firstRowFirstColumn="0" w:firstRowLastColumn="0" w:lastRowFirstColumn="0" w:lastRowLastColumn="0"/>
            <w:tcW w:w="1888" w:type="dxa"/>
            <w:shd w:val="clear" w:color="auto" w:fill="FFFFFF" w:themeFill="background1"/>
          </w:tcPr>
          <w:p w:rsidR="00FF31F7" w:rsidRPr="00794EAF" w:rsidRDefault="00FF31F7" w:rsidP="00FF31F7">
            <w:pPr>
              <w:spacing w:after="0" w:line="240" w:lineRule="auto"/>
              <w:rPr>
                <w:rFonts w:asciiTheme="majorHAnsi" w:eastAsiaTheme="majorEastAsia" w:hAnsiTheme="majorHAnsi" w:cs="Times New Roman"/>
                <w:b w:val="0"/>
                <w:bCs w:val="0"/>
                <w:color w:val="4F81BD" w:themeColor="accent1"/>
                <w:sz w:val="24"/>
                <w:szCs w:val="24"/>
              </w:rPr>
            </w:pPr>
            <w:r w:rsidRPr="00794EAF">
              <w:rPr>
                <w:rFonts w:asciiTheme="majorHAnsi" w:hAnsiTheme="majorHAnsi" w:cs="Times New Roman"/>
                <w:sz w:val="24"/>
                <w:szCs w:val="24"/>
              </w:rPr>
              <w:t>Access</w:t>
            </w:r>
          </w:p>
        </w:tc>
        <w:tc>
          <w:tcPr>
            <w:tcW w:w="6186" w:type="dxa"/>
            <w:shd w:val="clear" w:color="auto" w:fill="FFFFFF" w:themeFill="background1"/>
          </w:tcPr>
          <w:p w:rsidR="00FF31F7" w:rsidRPr="00794EAF" w:rsidRDefault="00FF31F7" w:rsidP="00FF31F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4F81BD" w:themeColor="accent1"/>
                <w:sz w:val="24"/>
                <w:szCs w:val="24"/>
              </w:rPr>
            </w:pPr>
            <w:r w:rsidRPr="00794EAF">
              <w:rPr>
                <w:rFonts w:asciiTheme="majorHAnsi" w:hAnsiTheme="majorHAnsi" w:cs="Times New Roman"/>
                <w:sz w:val="24"/>
                <w:szCs w:val="24"/>
              </w:rPr>
              <w:t>Accessible refers to the ease with which a patient can initiate an interaction for any health problem with a clinician (e.g.</w:t>
            </w:r>
            <w:r w:rsidR="00E6725E" w:rsidRPr="00794EAF">
              <w:rPr>
                <w:rFonts w:asciiTheme="majorHAnsi" w:hAnsiTheme="majorHAnsi" w:cs="Times New Roman"/>
                <w:sz w:val="24"/>
                <w:szCs w:val="24"/>
              </w:rPr>
              <w:t>,</w:t>
            </w:r>
            <w:r w:rsidRPr="00794EAF">
              <w:rPr>
                <w:rFonts w:asciiTheme="majorHAnsi" w:hAnsiTheme="majorHAnsi" w:cs="Times New Roman"/>
                <w:sz w:val="24"/>
                <w:szCs w:val="24"/>
              </w:rPr>
              <w:t xml:space="preserve"> by phone or at a treatment location) and includes efforts to eliminate barriers such as those posted by geography, administrative hurdles, financing, culture, and language.</w:t>
            </w:r>
          </w:p>
        </w:tc>
        <w:tc>
          <w:tcPr>
            <w:tcW w:w="977" w:type="dxa"/>
            <w:shd w:val="clear" w:color="auto" w:fill="FFFFFF" w:themeFill="background1"/>
          </w:tcPr>
          <w:p w:rsidR="00FF31F7" w:rsidRPr="00794EAF" w:rsidRDefault="00FF31F7" w:rsidP="00FF31F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4F81BD" w:themeColor="accent1"/>
                <w:sz w:val="24"/>
                <w:szCs w:val="24"/>
              </w:rPr>
            </w:pPr>
            <w:r w:rsidRPr="00794EAF">
              <w:rPr>
                <w:rFonts w:asciiTheme="majorHAnsi" w:hAnsiTheme="majorHAnsi" w:cs="Times New Roman"/>
                <w:sz w:val="24"/>
                <w:szCs w:val="24"/>
              </w:rPr>
              <w:t>1, 2</w:t>
            </w:r>
          </w:p>
        </w:tc>
      </w:tr>
      <w:tr w:rsidR="00FF31F7" w:rsidRPr="00794EAF" w:rsidTr="0079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8" w:type="dxa"/>
            <w:tcBorders>
              <w:left w:val="none" w:sz="0" w:space="0" w:color="auto"/>
              <w:right w:val="none" w:sz="0" w:space="0" w:color="auto"/>
            </w:tcBorders>
            <w:shd w:val="clear" w:color="auto" w:fill="FFFFFF" w:themeFill="background1"/>
          </w:tcPr>
          <w:p w:rsidR="00FF31F7" w:rsidRPr="00794EAF" w:rsidRDefault="00FF31F7" w:rsidP="00FF31F7">
            <w:pPr>
              <w:spacing w:after="0" w:line="240" w:lineRule="auto"/>
              <w:rPr>
                <w:rFonts w:asciiTheme="majorHAnsi" w:eastAsiaTheme="majorEastAsia" w:hAnsiTheme="majorHAnsi" w:cs="Times New Roman"/>
                <w:b w:val="0"/>
                <w:bCs w:val="0"/>
                <w:color w:val="4F81BD" w:themeColor="accent1"/>
                <w:sz w:val="24"/>
                <w:szCs w:val="24"/>
              </w:rPr>
            </w:pPr>
            <w:r w:rsidRPr="00794EAF">
              <w:rPr>
                <w:rFonts w:asciiTheme="majorHAnsi" w:hAnsiTheme="majorHAnsi" w:cs="Times New Roman"/>
                <w:sz w:val="24"/>
                <w:szCs w:val="24"/>
              </w:rPr>
              <w:t>Cooperation</w:t>
            </w:r>
          </w:p>
        </w:tc>
        <w:tc>
          <w:tcPr>
            <w:tcW w:w="6186" w:type="dxa"/>
            <w:tcBorders>
              <w:left w:val="none" w:sz="0" w:space="0" w:color="auto"/>
              <w:right w:val="none" w:sz="0" w:space="0" w:color="auto"/>
            </w:tcBorders>
            <w:shd w:val="clear" w:color="auto" w:fill="FFFFFF" w:themeFill="background1"/>
          </w:tcPr>
          <w:p w:rsidR="00FF31F7" w:rsidRPr="00794EAF" w:rsidRDefault="00FF31F7" w:rsidP="00E672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4"/>
                <w:szCs w:val="24"/>
              </w:rPr>
            </w:pPr>
            <w:r w:rsidRPr="00794EAF">
              <w:rPr>
                <w:rFonts w:asciiTheme="majorHAnsi" w:eastAsia="Times New Roman" w:hAnsiTheme="majorHAnsi" w:cs="Times New Roman"/>
                <w:sz w:val="24"/>
                <w:szCs w:val="24"/>
              </w:rPr>
              <w:t xml:space="preserve">Clinicians and institutions should actively collaborate and communicate to ensure an appropriate exchange of information and coordination of care. </w:t>
            </w:r>
          </w:p>
        </w:tc>
        <w:tc>
          <w:tcPr>
            <w:tcW w:w="977" w:type="dxa"/>
            <w:tcBorders>
              <w:left w:val="none" w:sz="0" w:space="0" w:color="auto"/>
              <w:right w:val="none" w:sz="0" w:space="0" w:color="auto"/>
            </w:tcBorders>
            <w:shd w:val="clear" w:color="auto" w:fill="FFFFFF" w:themeFill="background1"/>
          </w:tcPr>
          <w:p w:rsidR="00FF31F7" w:rsidRPr="00794EAF" w:rsidRDefault="00FF31F7" w:rsidP="00FF31F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4F81BD" w:themeColor="accent1"/>
                <w:sz w:val="24"/>
                <w:szCs w:val="24"/>
              </w:rPr>
            </w:pPr>
            <w:r w:rsidRPr="00794EAF">
              <w:rPr>
                <w:rFonts w:asciiTheme="majorHAnsi" w:hAnsiTheme="majorHAnsi" w:cs="Times New Roman"/>
                <w:sz w:val="24"/>
                <w:szCs w:val="24"/>
              </w:rPr>
              <w:t>2</w:t>
            </w:r>
          </w:p>
        </w:tc>
      </w:tr>
      <w:tr w:rsidR="00FF31F7" w:rsidRPr="00794EAF" w:rsidTr="00794EAF">
        <w:tc>
          <w:tcPr>
            <w:cnfStyle w:val="001000000000" w:firstRow="0" w:lastRow="0" w:firstColumn="1" w:lastColumn="0" w:oddVBand="0" w:evenVBand="0" w:oddHBand="0" w:evenHBand="0" w:firstRowFirstColumn="0" w:firstRowLastColumn="0" w:lastRowFirstColumn="0" w:lastRowLastColumn="0"/>
            <w:tcW w:w="1888" w:type="dxa"/>
            <w:shd w:val="clear" w:color="auto" w:fill="FFFFFF" w:themeFill="background1"/>
          </w:tcPr>
          <w:p w:rsidR="00FF31F7" w:rsidRPr="00794EAF" w:rsidRDefault="00FF31F7" w:rsidP="00FF31F7">
            <w:pPr>
              <w:spacing w:after="0" w:line="240" w:lineRule="auto"/>
              <w:rPr>
                <w:rFonts w:asciiTheme="majorHAnsi" w:eastAsiaTheme="majorEastAsia" w:hAnsiTheme="majorHAnsi" w:cs="Times New Roman"/>
                <w:b w:val="0"/>
                <w:bCs w:val="0"/>
                <w:color w:val="4F81BD" w:themeColor="accent1"/>
                <w:sz w:val="24"/>
                <w:szCs w:val="24"/>
              </w:rPr>
            </w:pPr>
            <w:r w:rsidRPr="00794EAF">
              <w:rPr>
                <w:rFonts w:asciiTheme="majorHAnsi" w:hAnsiTheme="majorHAnsi" w:cs="Times New Roman"/>
                <w:sz w:val="24"/>
                <w:szCs w:val="24"/>
              </w:rPr>
              <w:t>Coordination</w:t>
            </w:r>
          </w:p>
        </w:tc>
        <w:tc>
          <w:tcPr>
            <w:tcW w:w="6186" w:type="dxa"/>
            <w:shd w:val="clear" w:color="auto" w:fill="FFFFFF" w:themeFill="background1"/>
          </w:tcPr>
          <w:p w:rsidR="00FF31F7" w:rsidRPr="00794EAF" w:rsidRDefault="00FF31F7" w:rsidP="00FF31F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4F81BD" w:themeColor="accent1"/>
                <w:sz w:val="24"/>
                <w:szCs w:val="24"/>
              </w:rPr>
            </w:pPr>
            <w:r w:rsidRPr="00794EAF">
              <w:rPr>
                <w:rFonts w:asciiTheme="majorHAnsi" w:hAnsiTheme="majorHAnsi" w:cs="Times New Roman"/>
                <w:color w:val="000000"/>
                <w:sz w:val="24"/>
                <w:szCs w:val="24"/>
              </w:rPr>
              <w:t>Coordination ensures the provision of a combination of health services and information that meets a patient's needs. It also refers to the connection between, or the rational ordering of those services, including the resources in the community.</w:t>
            </w:r>
          </w:p>
        </w:tc>
        <w:tc>
          <w:tcPr>
            <w:tcW w:w="977" w:type="dxa"/>
            <w:shd w:val="clear" w:color="auto" w:fill="FFFFFF" w:themeFill="background1"/>
          </w:tcPr>
          <w:p w:rsidR="00FF31F7" w:rsidRPr="00794EAF" w:rsidRDefault="00FF31F7" w:rsidP="00FF31F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imes New Roman"/>
                <w:b/>
                <w:bCs/>
                <w:color w:val="4F81BD" w:themeColor="accent1"/>
                <w:sz w:val="24"/>
                <w:szCs w:val="24"/>
              </w:rPr>
            </w:pPr>
            <w:r w:rsidRPr="00794EAF">
              <w:rPr>
                <w:rFonts w:asciiTheme="majorHAnsi" w:hAnsiTheme="majorHAnsi" w:cs="Times New Roman"/>
                <w:sz w:val="24"/>
                <w:szCs w:val="24"/>
              </w:rPr>
              <w:t>2</w:t>
            </w:r>
          </w:p>
        </w:tc>
      </w:tr>
      <w:tr w:rsidR="00FF31F7" w:rsidRPr="00794EAF" w:rsidTr="0079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8" w:type="dxa"/>
            <w:tcBorders>
              <w:left w:val="none" w:sz="0" w:space="0" w:color="auto"/>
              <w:right w:val="none" w:sz="0" w:space="0" w:color="auto"/>
            </w:tcBorders>
            <w:shd w:val="clear" w:color="auto" w:fill="FFFFFF" w:themeFill="background1"/>
          </w:tcPr>
          <w:p w:rsidR="00FF31F7" w:rsidRPr="00794EAF" w:rsidRDefault="00FF31F7" w:rsidP="00FF31F7">
            <w:pPr>
              <w:spacing w:after="0" w:line="240" w:lineRule="auto"/>
              <w:rPr>
                <w:rFonts w:asciiTheme="majorHAnsi" w:eastAsiaTheme="majorEastAsia" w:hAnsiTheme="majorHAnsi" w:cs="Times New Roman"/>
                <w:b w:val="0"/>
                <w:bCs w:val="0"/>
                <w:color w:val="4F81BD" w:themeColor="accent1"/>
                <w:sz w:val="24"/>
                <w:szCs w:val="24"/>
              </w:rPr>
            </w:pPr>
            <w:r w:rsidRPr="00794EAF">
              <w:rPr>
                <w:rFonts w:asciiTheme="majorHAnsi" w:hAnsiTheme="majorHAnsi" w:cs="Times New Roman"/>
                <w:sz w:val="24"/>
                <w:szCs w:val="24"/>
              </w:rPr>
              <w:t>Shared Knowledge</w:t>
            </w:r>
          </w:p>
        </w:tc>
        <w:tc>
          <w:tcPr>
            <w:tcW w:w="6186" w:type="dxa"/>
            <w:tcBorders>
              <w:left w:val="none" w:sz="0" w:space="0" w:color="auto"/>
              <w:right w:val="none" w:sz="0" w:space="0" w:color="auto"/>
            </w:tcBorders>
            <w:shd w:val="clear" w:color="auto" w:fill="FFFFFF" w:themeFill="background1"/>
          </w:tcPr>
          <w:p w:rsidR="00FF31F7" w:rsidRPr="00794EAF" w:rsidRDefault="00FF31F7" w:rsidP="00E6725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4F81BD" w:themeColor="accent1"/>
                <w:sz w:val="24"/>
                <w:szCs w:val="24"/>
              </w:rPr>
            </w:pPr>
            <w:r w:rsidRPr="00794EAF">
              <w:rPr>
                <w:rFonts w:asciiTheme="majorHAnsi" w:hAnsiTheme="majorHAnsi" w:cs="Times New Roman"/>
                <w:color w:val="000000"/>
                <w:sz w:val="24"/>
                <w:szCs w:val="24"/>
              </w:rPr>
              <w:t>Patients should be given the necessary information and the opportunity to exercise the degree of control they choose over health care decisions that affect them.  The health system should be able to accommodate differences in patient preferences and encouraged shared decision-making.</w:t>
            </w:r>
          </w:p>
        </w:tc>
        <w:tc>
          <w:tcPr>
            <w:tcW w:w="977" w:type="dxa"/>
            <w:tcBorders>
              <w:left w:val="none" w:sz="0" w:space="0" w:color="auto"/>
              <w:right w:val="none" w:sz="0" w:space="0" w:color="auto"/>
            </w:tcBorders>
            <w:shd w:val="clear" w:color="auto" w:fill="FFFFFF" w:themeFill="background1"/>
          </w:tcPr>
          <w:p w:rsidR="00FF31F7" w:rsidRPr="00794EAF" w:rsidRDefault="00FF31F7" w:rsidP="00FF31F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imes New Roman"/>
                <w:b/>
                <w:bCs/>
                <w:color w:val="4F81BD" w:themeColor="accent1"/>
                <w:sz w:val="24"/>
                <w:szCs w:val="24"/>
              </w:rPr>
            </w:pPr>
            <w:r w:rsidRPr="00794EAF">
              <w:rPr>
                <w:rFonts w:asciiTheme="majorHAnsi" w:hAnsiTheme="majorHAnsi" w:cs="Times New Roman"/>
                <w:sz w:val="24"/>
                <w:szCs w:val="24"/>
              </w:rPr>
              <w:t>1</w:t>
            </w:r>
          </w:p>
        </w:tc>
      </w:tr>
      <w:tr w:rsidR="00FF31F7" w:rsidRPr="00794EAF" w:rsidTr="00794EAF">
        <w:tc>
          <w:tcPr>
            <w:cnfStyle w:val="001000000000" w:firstRow="0" w:lastRow="0" w:firstColumn="1" w:lastColumn="0" w:oddVBand="0" w:evenVBand="0" w:oddHBand="0" w:evenHBand="0" w:firstRowFirstColumn="0" w:firstRowLastColumn="0" w:lastRowFirstColumn="0" w:lastRowLastColumn="0"/>
            <w:tcW w:w="1888" w:type="dxa"/>
            <w:shd w:val="clear" w:color="auto" w:fill="FFFFFF" w:themeFill="background1"/>
          </w:tcPr>
          <w:p w:rsidR="00FF31F7" w:rsidRPr="00794EAF" w:rsidRDefault="00FF31F7" w:rsidP="00FF31F7">
            <w:pPr>
              <w:spacing w:after="0" w:line="240" w:lineRule="auto"/>
              <w:rPr>
                <w:rFonts w:asciiTheme="majorHAnsi" w:eastAsiaTheme="majorEastAsia" w:hAnsiTheme="majorHAnsi" w:cs="Times New Roman"/>
                <w:b w:val="0"/>
                <w:bCs w:val="0"/>
                <w:color w:val="4F81BD" w:themeColor="accent1"/>
                <w:sz w:val="24"/>
                <w:szCs w:val="24"/>
              </w:rPr>
            </w:pPr>
            <w:r w:rsidRPr="00794EAF">
              <w:rPr>
                <w:rFonts w:asciiTheme="majorHAnsi" w:hAnsiTheme="majorHAnsi" w:cs="Times New Roman"/>
                <w:sz w:val="24"/>
                <w:szCs w:val="24"/>
              </w:rPr>
              <w:t>Continuity</w:t>
            </w:r>
          </w:p>
        </w:tc>
        <w:tc>
          <w:tcPr>
            <w:tcW w:w="6186" w:type="dxa"/>
            <w:shd w:val="clear" w:color="auto" w:fill="FFFFFF" w:themeFill="background1"/>
          </w:tcPr>
          <w:p w:rsidR="00FF31F7" w:rsidRPr="00794EAF" w:rsidRDefault="00FF31F7" w:rsidP="00FF31F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4"/>
                <w:szCs w:val="24"/>
              </w:rPr>
            </w:pPr>
            <w:r w:rsidRPr="00794EAF">
              <w:rPr>
                <w:rFonts w:asciiTheme="majorHAnsi" w:hAnsiTheme="majorHAnsi" w:cs="Times New Roman"/>
                <w:bCs/>
                <w:sz w:val="24"/>
                <w:szCs w:val="24"/>
              </w:rPr>
              <w:t>Patients should receive care whenever they need it and in many forms, including providing access to care over the internet, by telephone, and by other means in addition to face-to-face visits. Care over time by a single individual/team of professionals and communication of health information.</w:t>
            </w:r>
          </w:p>
        </w:tc>
        <w:tc>
          <w:tcPr>
            <w:tcW w:w="977" w:type="dxa"/>
            <w:shd w:val="clear" w:color="auto" w:fill="FFFFFF" w:themeFill="background1"/>
          </w:tcPr>
          <w:p w:rsidR="00FF31F7" w:rsidRPr="00794EAF" w:rsidRDefault="00FF31F7" w:rsidP="00FF31F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4"/>
                <w:szCs w:val="24"/>
              </w:rPr>
            </w:pPr>
            <w:r w:rsidRPr="00794EAF">
              <w:rPr>
                <w:rFonts w:asciiTheme="majorHAnsi" w:hAnsiTheme="majorHAnsi" w:cs="Times New Roman"/>
                <w:bCs/>
                <w:sz w:val="24"/>
                <w:szCs w:val="24"/>
              </w:rPr>
              <w:t>1, 2</w:t>
            </w:r>
          </w:p>
        </w:tc>
      </w:tr>
      <w:tr w:rsidR="00FF31F7" w:rsidRPr="00794EAF" w:rsidTr="0079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8" w:type="dxa"/>
            <w:tcBorders>
              <w:left w:val="none" w:sz="0" w:space="0" w:color="auto"/>
              <w:right w:val="none" w:sz="0" w:space="0" w:color="auto"/>
            </w:tcBorders>
            <w:shd w:val="clear" w:color="auto" w:fill="FFFFFF" w:themeFill="background1"/>
          </w:tcPr>
          <w:p w:rsidR="00FF31F7" w:rsidRPr="00794EAF" w:rsidRDefault="00FF31F7" w:rsidP="00FF31F7">
            <w:pPr>
              <w:spacing w:after="0" w:line="240" w:lineRule="auto"/>
              <w:rPr>
                <w:rFonts w:asciiTheme="majorHAnsi" w:eastAsiaTheme="majorEastAsia" w:hAnsiTheme="majorHAnsi" w:cs="Times New Roman"/>
                <w:b w:val="0"/>
                <w:bCs w:val="0"/>
                <w:color w:val="4F81BD" w:themeColor="accent1"/>
                <w:sz w:val="24"/>
                <w:szCs w:val="24"/>
              </w:rPr>
            </w:pPr>
            <w:r w:rsidRPr="00794EAF">
              <w:rPr>
                <w:rFonts w:asciiTheme="majorHAnsi" w:hAnsiTheme="majorHAnsi" w:cs="Times New Roman"/>
                <w:sz w:val="24"/>
                <w:szCs w:val="24"/>
              </w:rPr>
              <w:t>Control</w:t>
            </w:r>
          </w:p>
        </w:tc>
        <w:tc>
          <w:tcPr>
            <w:tcW w:w="6186" w:type="dxa"/>
            <w:tcBorders>
              <w:left w:val="none" w:sz="0" w:space="0" w:color="auto"/>
              <w:right w:val="none" w:sz="0" w:space="0" w:color="auto"/>
            </w:tcBorders>
            <w:shd w:val="clear" w:color="auto" w:fill="FFFFFF" w:themeFill="background1"/>
          </w:tcPr>
          <w:p w:rsidR="00FF31F7" w:rsidRPr="00794EAF" w:rsidRDefault="00FF31F7" w:rsidP="00FF31F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4"/>
                <w:szCs w:val="24"/>
              </w:rPr>
            </w:pPr>
            <w:r w:rsidRPr="00794EAF">
              <w:rPr>
                <w:rFonts w:asciiTheme="majorHAnsi" w:hAnsiTheme="majorHAnsi" w:cs="Times New Roman"/>
                <w:bCs/>
                <w:sz w:val="24"/>
                <w:szCs w:val="24"/>
              </w:rPr>
              <w:t>Patients should be given the necessary information and opportunity to exercise the degree of control they choose over health decisions and the health system should accommodate differences in preferences.</w:t>
            </w:r>
          </w:p>
        </w:tc>
        <w:tc>
          <w:tcPr>
            <w:tcW w:w="977" w:type="dxa"/>
            <w:tcBorders>
              <w:left w:val="none" w:sz="0" w:space="0" w:color="auto"/>
              <w:right w:val="none" w:sz="0" w:space="0" w:color="auto"/>
            </w:tcBorders>
            <w:shd w:val="clear" w:color="auto" w:fill="FFFFFF" w:themeFill="background1"/>
          </w:tcPr>
          <w:p w:rsidR="00FF31F7" w:rsidRPr="00794EAF" w:rsidRDefault="00FF31F7" w:rsidP="00FF31F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4"/>
                <w:szCs w:val="24"/>
              </w:rPr>
            </w:pPr>
            <w:r w:rsidRPr="00794EAF">
              <w:rPr>
                <w:rFonts w:asciiTheme="majorHAnsi" w:hAnsiTheme="majorHAnsi" w:cs="Times New Roman"/>
                <w:bCs/>
                <w:sz w:val="24"/>
                <w:szCs w:val="24"/>
              </w:rPr>
              <w:t>1</w:t>
            </w:r>
          </w:p>
        </w:tc>
      </w:tr>
      <w:tr w:rsidR="00FF31F7" w:rsidRPr="00794EAF" w:rsidTr="00794EAF">
        <w:tc>
          <w:tcPr>
            <w:cnfStyle w:val="001000000000" w:firstRow="0" w:lastRow="0" w:firstColumn="1" w:lastColumn="0" w:oddVBand="0" w:evenVBand="0" w:oddHBand="0" w:evenHBand="0" w:firstRowFirstColumn="0" w:firstRowLastColumn="0" w:lastRowFirstColumn="0" w:lastRowLastColumn="0"/>
            <w:tcW w:w="1888" w:type="dxa"/>
            <w:shd w:val="clear" w:color="auto" w:fill="FFFFFF" w:themeFill="background1"/>
          </w:tcPr>
          <w:p w:rsidR="00FF31F7" w:rsidRPr="00794EAF" w:rsidRDefault="00FF31F7" w:rsidP="00FF31F7">
            <w:pPr>
              <w:spacing w:after="0" w:line="240" w:lineRule="auto"/>
              <w:rPr>
                <w:rFonts w:asciiTheme="majorHAnsi" w:eastAsiaTheme="majorEastAsia" w:hAnsiTheme="majorHAnsi" w:cs="Times New Roman"/>
                <w:b w:val="0"/>
                <w:bCs w:val="0"/>
                <w:color w:val="4F81BD" w:themeColor="accent1"/>
                <w:sz w:val="24"/>
                <w:szCs w:val="24"/>
              </w:rPr>
            </w:pPr>
            <w:r w:rsidRPr="00794EAF">
              <w:rPr>
                <w:rFonts w:asciiTheme="majorHAnsi" w:hAnsiTheme="majorHAnsi" w:cs="Times New Roman"/>
                <w:sz w:val="24"/>
                <w:szCs w:val="24"/>
              </w:rPr>
              <w:t>Evidence-based decision making</w:t>
            </w:r>
          </w:p>
        </w:tc>
        <w:tc>
          <w:tcPr>
            <w:tcW w:w="6186" w:type="dxa"/>
            <w:shd w:val="clear" w:color="auto" w:fill="FFFFFF" w:themeFill="background1"/>
          </w:tcPr>
          <w:p w:rsidR="00FF31F7" w:rsidRPr="00794EAF" w:rsidRDefault="00FF31F7" w:rsidP="00FF31F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rPr>
            </w:pPr>
            <w:r w:rsidRPr="00794EAF">
              <w:rPr>
                <w:rFonts w:asciiTheme="majorHAnsi" w:eastAsia="Times New Roman" w:hAnsiTheme="majorHAnsi" w:cs="Times New Roman"/>
                <w:sz w:val="24"/>
                <w:szCs w:val="24"/>
              </w:rPr>
              <w:t>Patients should receive care based on the best a</w:t>
            </w:r>
            <w:r w:rsidR="00E6725E" w:rsidRPr="00794EAF">
              <w:rPr>
                <w:rFonts w:asciiTheme="majorHAnsi" w:eastAsia="Times New Roman" w:hAnsiTheme="majorHAnsi" w:cs="Times New Roman"/>
                <w:sz w:val="24"/>
                <w:szCs w:val="24"/>
              </w:rPr>
              <w:t xml:space="preserve">vailable scientific knowledge. </w:t>
            </w:r>
            <w:r w:rsidRPr="00794EAF">
              <w:rPr>
                <w:rFonts w:asciiTheme="majorHAnsi" w:eastAsia="Times New Roman" w:hAnsiTheme="majorHAnsi" w:cs="Times New Roman"/>
                <w:sz w:val="24"/>
                <w:szCs w:val="24"/>
              </w:rPr>
              <w:t xml:space="preserve">Care should not vary illogically from clinician to clinician or from place to place. </w:t>
            </w:r>
          </w:p>
        </w:tc>
        <w:tc>
          <w:tcPr>
            <w:tcW w:w="977" w:type="dxa"/>
            <w:shd w:val="clear" w:color="auto" w:fill="FFFFFF" w:themeFill="background1"/>
          </w:tcPr>
          <w:p w:rsidR="00FF31F7" w:rsidRPr="00794EAF" w:rsidRDefault="00FF31F7" w:rsidP="00FF31F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4"/>
                <w:szCs w:val="24"/>
              </w:rPr>
            </w:pPr>
            <w:r w:rsidRPr="00794EAF">
              <w:rPr>
                <w:rFonts w:asciiTheme="majorHAnsi" w:hAnsiTheme="majorHAnsi" w:cs="Times New Roman"/>
                <w:bCs/>
                <w:sz w:val="24"/>
                <w:szCs w:val="24"/>
              </w:rPr>
              <w:t>1</w:t>
            </w:r>
          </w:p>
        </w:tc>
      </w:tr>
      <w:tr w:rsidR="00FF31F7" w:rsidRPr="00794EAF" w:rsidTr="0079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1" w:type="dxa"/>
            <w:gridSpan w:val="3"/>
            <w:tcBorders>
              <w:left w:val="none" w:sz="0" w:space="0" w:color="auto"/>
              <w:right w:val="none" w:sz="0" w:space="0" w:color="auto"/>
            </w:tcBorders>
            <w:shd w:val="clear" w:color="auto" w:fill="BFBFBF" w:themeFill="background1" w:themeFillShade="BF"/>
            <w:vAlign w:val="center"/>
          </w:tcPr>
          <w:p w:rsidR="00794EAF" w:rsidRPr="00794EAF" w:rsidRDefault="00794EAF" w:rsidP="00381E61">
            <w:pPr>
              <w:spacing w:after="0" w:line="240" w:lineRule="auto"/>
              <w:jc w:val="center"/>
              <w:rPr>
                <w:rFonts w:asciiTheme="majorHAnsi" w:hAnsiTheme="majorHAnsi" w:cs="Times New Roman"/>
                <w:sz w:val="24"/>
                <w:szCs w:val="24"/>
              </w:rPr>
            </w:pPr>
          </w:p>
          <w:p w:rsidR="00E6725E" w:rsidRPr="00794EAF" w:rsidRDefault="00794EAF" w:rsidP="00381E61">
            <w:pPr>
              <w:spacing w:after="0" w:line="240" w:lineRule="auto"/>
              <w:jc w:val="center"/>
              <w:rPr>
                <w:rFonts w:asciiTheme="majorHAnsi" w:hAnsiTheme="majorHAnsi" w:cs="Times New Roman"/>
                <w:sz w:val="24"/>
                <w:szCs w:val="24"/>
              </w:rPr>
            </w:pPr>
            <w:r w:rsidRPr="00794EAF">
              <w:rPr>
                <w:rFonts w:asciiTheme="majorHAnsi" w:hAnsiTheme="majorHAnsi" w:cs="Times New Roman"/>
                <w:sz w:val="24"/>
                <w:szCs w:val="24"/>
              </w:rPr>
              <w:t xml:space="preserve">Three </w:t>
            </w:r>
            <w:r w:rsidR="00FF31F7" w:rsidRPr="00794EAF">
              <w:rPr>
                <w:rFonts w:asciiTheme="majorHAnsi" w:hAnsiTheme="majorHAnsi" w:cs="Times New Roman"/>
                <w:sz w:val="24"/>
                <w:szCs w:val="24"/>
              </w:rPr>
              <w:t>Constructs Emergent from Interviews with Homeless Patients and Experts</w:t>
            </w:r>
          </w:p>
          <w:p w:rsidR="00FF31F7" w:rsidRPr="00794EAF" w:rsidRDefault="00FF31F7" w:rsidP="00381E61">
            <w:pPr>
              <w:spacing w:after="0" w:line="240" w:lineRule="auto"/>
              <w:jc w:val="center"/>
              <w:rPr>
                <w:rFonts w:asciiTheme="majorHAnsi" w:hAnsiTheme="majorHAnsi" w:cs="Times New Roman"/>
                <w:sz w:val="24"/>
                <w:szCs w:val="24"/>
              </w:rPr>
            </w:pPr>
            <w:r w:rsidRPr="00794EAF">
              <w:rPr>
                <w:rFonts w:asciiTheme="majorHAnsi" w:hAnsiTheme="majorHAnsi" w:cs="Times New Roman"/>
                <w:sz w:val="24"/>
                <w:szCs w:val="24"/>
              </w:rPr>
              <w:t>in their Care</w:t>
            </w:r>
            <w:r w:rsidR="006F1F63" w:rsidRPr="00794EAF">
              <w:rPr>
                <w:rFonts w:asciiTheme="majorHAnsi" w:hAnsiTheme="majorHAnsi" w:cs="Times New Roman"/>
                <w:sz w:val="24"/>
                <w:szCs w:val="24"/>
              </w:rPr>
              <w:t xml:space="preserve"> (themes)</w:t>
            </w:r>
          </w:p>
          <w:p w:rsidR="00794EAF" w:rsidRPr="00794EAF" w:rsidRDefault="00794EAF" w:rsidP="00381E61">
            <w:pPr>
              <w:spacing w:after="0" w:line="240" w:lineRule="auto"/>
              <w:jc w:val="center"/>
              <w:rPr>
                <w:rFonts w:asciiTheme="majorHAnsi" w:eastAsiaTheme="majorEastAsia" w:hAnsiTheme="majorHAnsi" w:cs="Times New Roman"/>
                <w:bCs w:val="0"/>
                <w:color w:val="4F81BD" w:themeColor="accent1"/>
                <w:sz w:val="24"/>
                <w:szCs w:val="24"/>
              </w:rPr>
            </w:pPr>
          </w:p>
        </w:tc>
      </w:tr>
      <w:tr w:rsidR="00FF31F7" w:rsidRPr="00794EAF" w:rsidTr="00794EAF">
        <w:tc>
          <w:tcPr>
            <w:cnfStyle w:val="001000000000" w:firstRow="0" w:lastRow="0" w:firstColumn="1" w:lastColumn="0" w:oddVBand="0" w:evenVBand="0" w:oddHBand="0" w:evenHBand="0" w:firstRowFirstColumn="0" w:firstRowLastColumn="0" w:lastRowFirstColumn="0" w:lastRowLastColumn="0"/>
            <w:tcW w:w="1888" w:type="dxa"/>
            <w:shd w:val="clear" w:color="auto" w:fill="FFFFFF" w:themeFill="background1"/>
          </w:tcPr>
          <w:p w:rsidR="00FF31F7" w:rsidRPr="00794EAF" w:rsidRDefault="00FF31F7" w:rsidP="00FF31F7">
            <w:pPr>
              <w:spacing w:after="0" w:line="240" w:lineRule="auto"/>
              <w:rPr>
                <w:rFonts w:asciiTheme="majorHAnsi" w:eastAsiaTheme="majorEastAsia" w:hAnsiTheme="majorHAnsi" w:cs="Times New Roman"/>
                <w:b w:val="0"/>
                <w:bCs w:val="0"/>
                <w:color w:val="4F81BD" w:themeColor="accent1"/>
                <w:sz w:val="24"/>
                <w:szCs w:val="24"/>
              </w:rPr>
            </w:pPr>
            <w:r w:rsidRPr="00794EAF">
              <w:rPr>
                <w:rFonts w:asciiTheme="majorHAnsi" w:hAnsiTheme="majorHAnsi" w:cs="Times New Roman"/>
                <w:sz w:val="24"/>
                <w:szCs w:val="24"/>
              </w:rPr>
              <w:t>Trust-Respect</w:t>
            </w:r>
          </w:p>
        </w:tc>
        <w:tc>
          <w:tcPr>
            <w:tcW w:w="6186" w:type="dxa"/>
            <w:shd w:val="clear" w:color="auto" w:fill="FFFFFF" w:themeFill="background1"/>
          </w:tcPr>
          <w:p w:rsidR="00FF31F7" w:rsidRPr="00794EAF" w:rsidRDefault="006F1F63" w:rsidP="006F1F6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4"/>
                <w:szCs w:val="24"/>
              </w:rPr>
            </w:pPr>
            <w:r w:rsidRPr="00794EAF">
              <w:rPr>
                <w:rFonts w:asciiTheme="majorHAnsi" w:hAnsiTheme="majorHAnsi" w:cs="Times New Roman"/>
                <w:bCs/>
                <w:sz w:val="24"/>
                <w:szCs w:val="24"/>
              </w:rPr>
              <w:t xml:space="preserve">Reflects themes identified by interviewees: confidentiality, </w:t>
            </w:r>
            <w:r w:rsidRPr="00794EAF">
              <w:rPr>
                <w:rFonts w:asciiTheme="majorHAnsi" w:hAnsiTheme="majorHAnsi" w:cs="Times New Roman"/>
                <w:bCs/>
                <w:sz w:val="24"/>
                <w:szCs w:val="24"/>
              </w:rPr>
              <w:lastRenderedPageBreak/>
              <w:t>comfort in relationship to primary care physician, trust in the dependability of the provider, belief that provider will act as</w:t>
            </w:r>
            <w:r w:rsidR="00995A16" w:rsidRPr="00794EAF">
              <w:rPr>
                <w:rFonts w:asciiTheme="majorHAnsi" w:hAnsiTheme="majorHAnsi" w:cs="Times New Roman"/>
                <w:bCs/>
                <w:sz w:val="24"/>
                <w:szCs w:val="24"/>
              </w:rPr>
              <w:t xml:space="preserve"> a</w:t>
            </w:r>
            <w:r w:rsidRPr="00794EAF">
              <w:rPr>
                <w:rFonts w:asciiTheme="majorHAnsi" w:hAnsiTheme="majorHAnsi" w:cs="Times New Roman"/>
                <w:bCs/>
                <w:sz w:val="24"/>
                <w:szCs w:val="24"/>
              </w:rPr>
              <w:t xml:space="preserve"> good fiduciary, mutual trust between provider, institution and patient, respect, compassion and dignity.</w:t>
            </w:r>
          </w:p>
        </w:tc>
        <w:tc>
          <w:tcPr>
            <w:tcW w:w="977" w:type="dxa"/>
            <w:shd w:val="clear" w:color="auto" w:fill="FFFFFF" w:themeFill="background1"/>
          </w:tcPr>
          <w:p w:rsidR="00FF31F7" w:rsidRPr="00794EAF" w:rsidRDefault="00FF31F7" w:rsidP="00FF31F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sz w:val="24"/>
                <w:szCs w:val="24"/>
              </w:rPr>
            </w:pPr>
          </w:p>
        </w:tc>
      </w:tr>
      <w:tr w:rsidR="00FF31F7" w:rsidRPr="00794EAF" w:rsidTr="0079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8" w:type="dxa"/>
            <w:tcBorders>
              <w:left w:val="none" w:sz="0" w:space="0" w:color="auto"/>
              <w:right w:val="none" w:sz="0" w:space="0" w:color="auto"/>
            </w:tcBorders>
            <w:shd w:val="clear" w:color="auto" w:fill="FFFFFF" w:themeFill="background1"/>
          </w:tcPr>
          <w:p w:rsidR="00FF31F7" w:rsidRPr="00794EAF" w:rsidRDefault="00FF31F7" w:rsidP="00FF31F7">
            <w:pPr>
              <w:spacing w:after="0" w:line="240" w:lineRule="auto"/>
              <w:rPr>
                <w:rFonts w:asciiTheme="majorHAnsi" w:eastAsiaTheme="majorEastAsia" w:hAnsiTheme="majorHAnsi" w:cs="Times New Roman"/>
                <w:b w:val="0"/>
                <w:bCs w:val="0"/>
                <w:color w:val="4F81BD" w:themeColor="accent1"/>
                <w:sz w:val="24"/>
                <w:szCs w:val="24"/>
              </w:rPr>
            </w:pPr>
            <w:r w:rsidRPr="00794EAF">
              <w:rPr>
                <w:rFonts w:asciiTheme="majorHAnsi" w:hAnsiTheme="majorHAnsi" w:cs="Times New Roman"/>
                <w:sz w:val="24"/>
                <w:szCs w:val="24"/>
              </w:rPr>
              <w:lastRenderedPageBreak/>
              <w:t>Homeless-Specific Needs</w:t>
            </w:r>
          </w:p>
        </w:tc>
        <w:tc>
          <w:tcPr>
            <w:tcW w:w="6186" w:type="dxa"/>
            <w:tcBorders>
              <w:left w:val="none" w:sz="0" w:space="0" w:color="auto"/>
              <w:right w:val="none" w:sz="0" w:space="0" w:color="auto"/>
            </w:tcBorders>
            <w:shd w:val="clear" w:color="auto" w:fill="FFFFFF" w:themeFill="background1"/>
          </w:tcPr>
          <w:p w:rsidR="00FF31F7" w:rsidRPr="00794EAF" w:rsidRDefault="006F1F63" w:rsidP="006F1F6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Cs/>
                <w:sz w:val="24"/>
                <w:szCs w:val="24"/>
              </w:rPr>
            </w:pPr>
            <w:r w:rsidRPr="00794EAF">
              <w:rPr>
                <w:rFonts w:asciiTheme="majorHAnsi" w:hAnsiTheme="majorHAnsi" w:cs="Times New Roman"/>
                <w:bCs/>
                <w:sz w:val="24"/>
                <w:szCs w:val="24"/>
              </w:rPr>
              <w:t>Training/aptitudes of providers in relation to homelessness, special requirements to meet non-medical needs (food, clothing), service package designed to address non-medical needs, special reference to self-esteem/self-worth challenges faced by homeless</w:t>
            </w:r>
            <w:r w:rsidR="00E6725E" w:rsidRPr="00794EAF">
              <w:rPr>
                <w:rFonts w:asciiTheme="majorHAnsi" w:hAnsiTheme="majorHAnsi" w:cs="Times New Roman"/>
                <w:bCs/>
                <w:sz w:val="24"/>
                <w:szCs w:val="24"/>
              </w:rPr>
              <w:t>.</w:t>
            </w:r>
          </w:p>
        </w:tc>
        <w:tc>
          <w:tcPr>
            <w:tcW w:w="977" w:type="dxa"/>
            <w:tcBorders>
              <w:left w:val="none" w:sz="0" w:space="0" w:color="auto"/>
              <w:right w:val="none" w:sz="0" w:space="0" w:color="auto"/>
            </w:tcBorders>
            <w:shd w:val="clear" w:color="auto" w:fill="FFFFFF" w:themeFill="background1"/>
          </w:tcPr>
          <w:p w:rsidR="00FF31F7" w:rsidRPr="00794EAF" w:rsidRDefault="00FF31F7" w:rsidP="00FF31F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bCs/>
                <w:sz w:val="24"/>
                <w:szCs w:val="24"/>
              </w:rPr>
            </w:pPr>
          </w:p>
        </w:tc>
      </w:tr>
      <w:tr w:rsidR="00FF31F7" w:rsidRPr="00794EAF" w:rsidTr="00794EAF">
        <w:tc>
          <w:tcPr>
            <w:cnfStyle w:val="001000000000" w:firstRow="0" w:lastRow="0" w:firstColumn="1" w:lastColumn="0" w:oddVBand="0" w:evenVBand="0" w:oddHBand="0" w:evenHBand="0" w:firstRowFirstColumn="0" w:firstRowLastColumn="0" w:lastRowFirstColumn="0" w:lastRowLastColumn="0"/>
            <w:tcW w:w="1888" w:type="dxa"/>
            <w:shd w:val="clear" w:color="auto" w:fill="FFFFFF" w:themeFill="background1"/>
          </w:tcPr>
          <w:p w:rsidR="00FF31F7" w:rsidRPr="00794EAF" w:rsidRDefault="00FF31F7" w:rsidP="00FF31F7">
            <w:pPr>
              <w:spacing w:after="0" w:line="240" w:lineRule="auto"/>
              <w:rPr>
                <w:rFonts w:asciiTheme="majorHAnsi" w:eastAsiaTheme="majorEastAsia" w:hAnsiTheme="majorHAnsi" w:cs="Times New Roman"/>
                <w:b w:val="0"/>
                <w:bCs w:val="0"/>
                <w:color w:val="4F81BD" w:themeColor="accent1"/>
                <w:sz w:val="24"/>
                <w:szCs w:val="24"/>
              </w:rPr>
            </w:pPr>
            <w:r w:rsidRPr="00794EAF">
              <w:rPr>
                <w:rFonts w:asciiTheme="majorHAnsi" w:hAnsiTheme="majorHAnsi" w:cs="Times New Roman"/>
                <w:sz w:val="24"/>
                <w:szCs w:val="24"/>
              </w:rPr>
              <w:t>Substance Abuse/Mental Illness</w:t>
            </w:r>
          </w:p>
        </w:tc>
        <w:tc>
          <w:tcPr>
            <w:tcW w:w="6186" w:type="dxa"/>
            <w:shd w:val="clear" w:color="auto" w:fill="FFFFFF" w:themeFill="background1"/>
          </w:tcPr>
          <w:p w:rsidR="00FF31F7" w:rsidRPr="00794EAF" w:rsidRDefault="006F1F63" w:rsidP="00FF31F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Cs/>
                <w:sz w:val="24"/>
                <w:szCs w:val="24"/>
              </w:rPr>
            </w:pPr>
            <w:r w:rsidRPr="00794EAF">
              <w:rPr>
                <w:rFonts w:asciiTheme="majorHAnsi" w:hAnsiTheme="majorHAnsi" w:cs="Times New Roman"/>
                <w:bCs/>
                <w:sz w:val="24"/>
                <w:szCs w:val="24"/>
              </w:rPr>
              <w:t>Awareness/knowledge of behavioral (substance abuse/mental illness) issues with patient, negative stigma toward substance abuse/mental illness, substance abuse effects on dynamics of health care, challenges to receipt of care related to substance abuse/mental illness</w:t>
            </w:r>
            <w:r w:rsidR="00E6725E" w:rsidRPr="00794EAF">
              <w:rPr>
                <w:rFonts w:asciiTheme="majorHAnsi" w:hAnsiTheme="majorHAnsi" w:cs="Times New Roman"/>
                <w:bCs/>
                <w:sz w:val="24"/>
                <w:szCs w:val="24"/>
              </w:rPr>
              <w:t>.</w:t>
            </w:r>
          </w:p>
        </w:tc>
        <w:tc>
          <w:tcPr>
            <w:tcW w:w="977" w:type="dxa"/>
            <w:shd w:val="clear" w:color="auto" w:fill="FFFFFF" w:themeFill="background1"/>
          </w:tcPr>
          <w:p w:rsidR="00FF31F7" w:rsidRPr="00794EAF" w:rsidRDefault="00FF31F7" w:rsidP="00FF31F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sz w:val="24"/>
                <w:szCs w:val="24"/>
              </w:rPr>
            </w:pPr>
          </w:p>
        </w:tc>
      </w:tr>
      <w:tr w:rsidR="00FF31F7" w:rsidRPr="00794EAF" w:rsidTr="00794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1" w:type="dxa"/>
            <w:gridSpan w:val="3"/>
            <w:tcBorders>
              <w:left w:val="none" w:sz="0" w:space="0" w:color="auto"/>
              <w:right w:val="none" w:sz="0" w:space="0" w:color="auto"/>
            </w:tcBorders>
            <w:shd w:val="clear" w:color="auto" w:fill="FFFFFF" w:themeFill="background1"/>
          </w:tcPr>
          <w:p w:rsidR="00FF31F7" w:rsidRPr="00794EAF" w:rsidRDefault="00794EAF" w:rsidP="00FF31F7">
            <w:pPr>
              <w:spacing w:after="0" w:line="240" w:lineRule="auto"/>
              <w:rPr>
                <w:rFonts w:asciiTheme="majorHAnsi" w:hAnsiTheme="majorHAnsi" w:cs="Times New Roman"/>
                <w:b w:val="0"/>
                <w:sz w:val="24"/>
                <w:szCs w:val="24"/>
              </w:rPr>
            </w:pPr>
            <w:r>
              <w:rPr>
                <w:rFonts w:asciiTheme="majorHAnsi" w:hAnsiTheme="majorHAnsi" w:cs="Times New Roman"/>
                <w:b w:val="0"/>
                <w:i/>
                <w:sz w:val="24"/>
                <w:szCs w:val="24"/>
              </w:rPr>
              <w:t>*</w:t>
            </w:r>
            <w:r w:rsidR="00FF31F7" w:rsidRPr="00794EAF">
              <w:rPr>
                <w:rFonts w:asciiTheme="majorHAnsi" w:hAnsiTheme="majorHAnsi" w:cs="Times New Roman"/>
                <w:b w:val="0"/>
                <w:i/>
                <w:sz w:val="24"/>
                <w:szCs w:val="24"/>
              </w:rPr>
              <w:t>Constructs of a priori interest</w:t>
            </w:r>
            <w:r w:rsidR="00FF31F7" w:rsidRPr="00794EAF">
              <w:rPr>
                <w:rFonts w:asciiTheme="majorHAnsi" w:hAnsiTheme="majorHAnsi" w:cs="Times New Roman"/>
                <w:b w:val="0"/>
                <w:sz w:val="24"/>
                <w:szCs w:val="24"/>
              </w:rPr>
              <w:t xml:space="preserve"> in development of this patient-reported quality measure drew upon two Institute of Medicine reports</w:t>
            </w:r>
            <w:r>
              <w:rPr>
                <w:rFonts w:asciiTheme="majorHAnsi" w:hAnsiTheme="majorHAnsi" w:cs="Times New Roman"/>
                <w:b w:val="0"/>
                <w:sz w:val="24"/>
                <w:szCs w:val="24"/>
              </w:rPr>
              <w:t xml:space="preserve"> and are paraphrased from the following two reports</w:t>
            </w:r>
            <w:r w:rsidR="00FF31F7" w:rsidRPr="00794EAF">
              <w:rPr>
                <w:rFonts w:asciiTheme="majorHAnsi" w:hAnsiTheme="majorHAnsi" w:cs="Times New Roman"/>
                <w:b w:val="0"/>
                <w:sz w:val="24"/>
                <w:szCs w:val="24"/>
              </w:rPr>
              <w:t xml:space="preserve">: </w:t>
            </w:r>
          </w:p>
          <w:p w:rsidR="00FF31F7" w:rsidRPr="00794EAF" w:rsidRDefault="00FF31F7" w:rsidP="00FF31F7">
            <w:pPr>
              <w:spacing w:after="0" w:line="240" w:lineRule="auto"/>
              <w:rPr>
                <w:rFonts w:asciiTheme="majorHAnsi" w:eastAsiaTheme="majorEastAsia" w:hAnsiTheme="majorHAnsi" w:cs="Times New Roman"/>
                <w:b w:val="0"/>
                <w:bCs w:val="0"/>
                <w:color w:val="4F81BD" w:themeColor="accent1"/>
                <w:sz w:val="24"/>
                <w:szCs w:val="24"/>
              </w:rPr>
            </w:pPr>
            <w:r w:rsidRPr="00794EAF">
              <w:rPr>
                <w:rFonts w:asciiTheme="majorHAnsi" w:hAnsiTheme="majorHAnsi" w:cs="Times New Roman"/>
                <w:b w:val="0"/>
                <w:sz w:val="24"/>
                <w:szCs w:val="24"/>
              </w:rPr>
              <w:t>(1) Crossing the Quality Chasm: A New Health Syst</w:t>
            </w:r>
            <w:r w:rsidR="00794EAF">
              <w:rPr>
                <w:rFonts w:asciiTheme="majorHAnsi" w:hAnsiTheme="majorHAnsi" w:cs="Times New Roman"/>
                <w:b w:val="0"/>
                <w:sz w:val="24"/>
                <w:szCs w:val="24"/>
              </w:rPr>
              <w:t>em for the 21st Century (2001);</w:t>
            </w:r>
            <w:r w:rsidR="00E6725E" w:rsidRPr="00794EAF">
              <w:rPr>
                <w:rFonts w:asciiTheme="majorHAnsi" w:hAnsiTheme="majorHAnsi" w:cs="Times New Roman"/>
                <w:b w:val="0"/>
                <w:sz w:val="24"/>
                <w:szCs w:val="24"/>
              </w:rPr>
              <w:t xml:space="preserve"> </w:t>
            </w:r>
            <w:r w:rsidRPr="00794EAF">
              <w:rPr>
                <w:rFonts w:asciiTheme="majorHAnsi" w:hAnsiTheme="majorHAnsi" w:cs="Times New Roman"/>
                <w:b w:val="0"/>
                <w:sz w:val="24"/>
                <w:szCs w:val="24"/>
              </w:rPr>
              <w:t>(2) Primary Care: America's Health in a New Era (1996).</w:t>
            </w:r>
          </w:p>
        </w:tc>
      </w:tr>
    </w:tbl>
    <w:p w:rsidR="00203B02" w:rsidRPr="00794EAF" w:rsidRDefault="00612196">
      <w:pPr>
        <w:rPr>
          <w:rFonts w:asciiTheme="majorHAnsi" w:hAnsiTheme="majorHAnsi"/>
        </w:rPr>
      </w:pPr>
    </w:p>
    <w:sectPr w:rsidR="00203B02" w:rsidRPr="00794EAF" w:rsidSect="00794E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F7"/>
    <w:rsid w:val="00043BC6"/>
    <w:rsid w:val="002511FD"/>
    <w:rsid w:val="00381E61"/>
    <w:rsid w:val="00406AD6"/>
    <w:rsid w:val="00612196"/>
    <w:rsid w:val="006F1F63"/>
    <w:rsid w:val="00794EAF"/>
    <w:rsid w:val="00995A16"/>
    <w:rsid w:val="009E241E"/>
    <w:rsid w:val="00E6725E"/>
    <w:rsid w:val="00FF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F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7099"/>
    <w:pPr>
      <w:spacing w:after="0" w:line="240" w:lineRule="auto"/>
    </w:pPr>
    <w:rPr>
      <w:rFonts w:ascii="Lucida Grande" w:eastAsiaTheme="minorEastAsia" w:hAnsi="Lucida Grande" w:cs="Times New Roman"/>
      <w:sz w:val="18"/>
      <w:szCs w:val="18"/>
    </w:rPr>
  </w:style>
  <w:style w:type="table" w:styleId="TableGrid">
    <w:name w:val="Table Grid"/>
    <w:basedOn w:val="TableNormal"/>
    <w:uiPriority w:val="59"/>
    <w:rsid w:val="00FF31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F31F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F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7099"/>
    <w:pPr>
      <w:spacing w:after="0" w:line="240" w:lineRule="auto"/>
    </w:pPr>
    <w:rPr>
      <w:rFonts w:ascii="Lucida Grande" w:eastAsiaTheme="minorEastAsia" w:hAnsi="Lucida Grande" w:cs="Times New Roman"/>
      <w:sz w:val="18"/>
      <w:szCs w:val="18"/>
    </w:rPr>
  </w:style>
  <w:style w:type="table" w:styleId="TableGrid">
    <w:name w:val="Table Grid"/>
    <w:basedOn w:val="TableNormal"/>
    <w:uiPriority w:val="59"/>
    <w:rsid w:val="00FF31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F31F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Kertesz</dc:creator>
  <cp:lastModifiedBy>Stefan Kertesz</cp:lastModifiedBy>
  <cp:revision>2</cp:revision>
  <dcterms:created xsi:type="dcterms:W3CDTF">2014-02-07T02:36:00Z</dcterms:created>
  <dcterms:modified xsi:type="dcterms:W3CDTF">2014-02-07T02:36:00Z</dcterms:modified>
</cp:coreProperties>
</file>