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B57E2" w14:textId="77777777" w:rsidR="00646ED9" w:rsidRPr="001E6FB0" w:rsidRDefault="00646ED9" w:rsidP="00646ED9">
      <w:pPr>
        <w:rPr>
          <w:b/>
        </w:rPr>
      </w:pPr>
      <w:r w:rsidRPr="001E6FB0">
        <w:rPr>
          <w:b/>
        </w:rPr>
        <w:t>APPENDIX B: Instrumental Variable Diagnostics</w:t>
      </w:r>
    </w:p>
    <w:p w14:paraId="7172708B" w14:textId="7B268F49" w:rsidR="00092141" w:rsidRPr="001E6FB0" w:rsidRDefault="00646ED9" w:rsidP="00646ED9">
      <w:pPr>
        <w:autoSpaceDE w:val="0"/>
        <w:autoSpaceDN w:val="0"/>
        <w:adjustRightInd w:val="0"/>
        <w:rPr>
          <w:rFonts w:cs="Arial"/>
          <w:color w:val="000000"/>
        </w:rPr>
      </w:pPr>
      <w:r w:rsidRPr="001E6FB0">
        <w:rPr>
          <w:rFonts w:cs="Arial"/>
          <w:color w:val="000000"/>
        </w:rPr>
        <w:t xml:space="preserve">For the instrumental variable estimator to be consistent, the instruments must be correlated with the endogenous treatment variable (relevance) and uncorrelated with the </w:t>
      </w:r>
      <w:r w:rsidR="00FC27BD" w:rsidRPr="001E6FB0">
        <w:rPr>
          <w:rFonts w:cs="Arial"/>
          <w:color w:val="000000"/>
        </w:rPr>
        <w:t>error term</w:t>
      </w:r>
      <w:r w:rsidRPr="001E6FB0">
        <w:rPr>
          <w:rFonts w:cs="Arial"/>
          <w:color w:val="000000"/>
        </w:rPr>
        <w:t xml:space="preserve"> (</w:t>
      </w:r>
      <w:proofErr w:type="spellStart"/>
      <w:r w:rsidRPr="001E6FB0">
        <w:rPr>
          <w:rFonts w:cs="Arial"/>
          <w:color w:val="000000"/>
        </w:rPr>
        <w:t>exogeneity</w:t>
      </w:r>
      <w:proofErr w:type="spellEnd"/>
      <w:r w:rsidRPr="001E6FB0">
        <w:rPr>
          <w:rFonts w:cs="Arial"/>
          <w:color w:val="000000"/>
        </w:rPr>
        <w:t xml:space="preserve">).  We conducted diagnostic tests to examine the relevance and </w:t>
      </w:r>
      <w:proofErr w:type="spellStart"/>
      <w:r w:rsidRPr="001E6FB0">
        <w:rPr>
          <w:rFonts w:cs="Arial"/>
          <w:color w:val="000000"/>
        </w:rPr>
        <w:t>exogeneity</w:t>
      </w:r>
      <w:proofErr w:type="spellEnd"/>
      <w:r w:rsidRPr="001E6FB0">
        <w:rPr>
          <w:rFonts w:cs="Arial"/>
          <w:color w:val="000000"/>
        </w:rPr>
        <w:t xml:space="preserve"> of our instruments and present the results in Table </w:t>
      </w:r>
      <w:r w:rsidR="00F15B58" w:rsidRPr="001E6FB0">
        <w:rPr>
          <w:rFonts w:cs="Arial"/>
          <w:color w:val="000000"/>
        </w:rPr>
        <w:t>B1</w:t>
      </w:r>
      <w:r w:rsidRPr="001E6FB0">
        <w:rPr>
          <w:rFonts w:cs="Arial"/>
          <w:color w:val="000000"/>
        </w:rPr>
        <w:t xml:space="preserve">. </w:t>
      </w:r>
      <w:r w:rsidRPr="001E6FB0">
        <w:rPr>
          <w:color w:val="000000"/>
        </w:rPr>
        <w:t>D</w:t>
      </w:r>
      <w:r w:rsidRPr="001E6FB0">
        <w:rPr>
          <w:rFonts w:cs="Arial"/>
          <w:color w:val="000000"/>
        </w:rPr>
        <w:t>iagnostic tests on our instruments provide support for the validity of the instruments used in the models. The joint significance of the excluded instruments in the first stage yielded F-statistics, ranging between 13</w:t>
      </w:r>
      <w:r w:rsidR="00AC064F" w:rsidRPr="001E6FB0">
        <w:rPr>
          <w:rFonts w:cs="Arial"/>
          <w:color w:val="000000"/>
        </w:rPr>
        <w:t>7</w:t>
      </w:r>
      <w:r w:rsidRPr="001E6FB0">
        <w:rPr>
          <w:rFonts w:cs="Arial"/>
          <w:color w:val="000000"/>
        </w:rPr>
        <w:t xml:space="preserve"> and </w:t>
      </w:r>
      <w:r w:rsidR="00AC064F" w:rsidRPr="001E6FB0">
        <w:rPr>
          <w:rFonts w:cs="Arial"/>
          <w:color w:val="000000"/>
        </w:rPr>
        <w:t>199</w:t>
      </w:r>
      <w:r w:rsidRPr="001E6FB0">
        <w:rPr>
          <w:rFonts w:cs="Arial"/>
          <w:color w:val="000000"/>
        </w:rPr>
        <w:t xml:space="preserve">. These statistics are greater than the critical values suggested by Stock and </w:t>
      </w:r>
      <w:proofErr w:type="spellStart"/>
      <w:r w:rsidRPr="001E6FB0">
        <w:rPr>
          <w:rFonts w:cs="Arial"/>
          <w:color w:val="000000"/>
        </w:rPr>
        <w:t>Yogo</w:t>
      </w:r>
      <w:proofErr w:type="spellEnd"/>
      <w:r w:rsidRPr="001E6FB0">
        <w:rPr>
          <w:rFonts w:cs="Arial"/>
          <w:color w:val="000000"/>
        </w:rPr>
        <w:t xml:space="preserve"> (2005)</w:t>
      </w:r>
      <w:r w:rsidRPr="001E6FB0">
        <w:rPr>
          <w:rStyle w:val="FootnoteReference"/>
          <w:rFonts w:cs="Arial"/>
          <w:color w:val="000000"/>
        </w:rPr>
        <w:footnoteReference w:id="1"/>
      </w:r>
      <w:r w:rsidRPr="001E6FB0">
        <w:rPr>
          <w:rFonts w:cs="Arial"/>
          <w:color w:val="000000"/>
        </w:rPr>
        <w:t>, providing evidence that the instruments are strong</w:t>
      </w:r>
      <w:r w:rsidR="00463EBD" w:rsidRPr="001E6FB0">
        <w:rPr>
          <w:rFonts w:cs="Arial"/>
          <w:color w:val="000000"/>
        </w:rPr>
        <w:t>ly correlated with the treatment variable</w:t>
      </w:r>
      <w:r w:rsidRPr="001E6FB0">
        <w:rPr>
          <w:rFonts w:cs="Arial"/>
          <w:color w:val="000000"/>
        </w:rPr>
        <w:t xml:space="preserve">. In addition, we conducted </w:t>
      </w:r>
      <w:proofErr w:type="spellStart"/>
      <w:r w:rsidRPr="001E6FB0">
        <w:rPr>
          <w:rFonts w:cs="Arial"/>
          <w:color w:val="000000"/>
        </w:rPr>
        <w:t>Sargan</w:t>
      </w:r>
      <w:proofErr w:type="spellEnd"/>
      <w:r w:rsidRPr="001E6FB0">
        <w:rPr>
          <w:rFonts w:cs="Arial"/>
          <w:color w:val="000000"/>
        </w:rPr>
        <w:t xml:space="preserve">-Hansen test of </w:t>
      </w:r>
      <w:proofErr w:type="spellStart"/>
      <w:r w:rsidRPr="001E6FB0">
        <w:rPr>
          <w:rFonts w:cs="Arial"/>
          <w:color w:val="000000"/>
        </w:rPr>
        <w:t>overidentifying</w:t>
      </w:r>
      <w:proofErr w:type="spellEnd"/>
      <w:r w:rsidRPr="001E6FB0">
        <w:rPr>
          <w:rFonts w:cs="Arial"/>
          <w:color w:val="000000"/>
        </w:rPr>
        <w:t xml:space="preserve"> restrictions, with the null hypothesis that the instruments are uncorrelated with the error term in the outcome regressions. </w:t>
      </w:r>
      <w:r w:rsidR="001416F6" w:rsidRPr="001E6FB0">
        <w:rPr>
          <w:rFonts w:cs="Arial"/>
          <w:color w:val="000000"/>
        </w:rPr>
        <w:t xml:space="preserve"> The failure </w:t>
      </w:r>
      <w:r w:rsidR="00AC064F" w:rsidRPr="001E6FB0">
        <w:rPr>
          <w:rFonts w:cs="Arial"/>
          <w:color w:val="000000"/>
        </w:rPr>
        <w:t>to</w:t>
      </w:r>
      <w:r w:rsidR="001416F6" w:rsidRPr="001E6FB0">
        <w:rPr>
          <w:rFonts w:cs="Arial"/>
          <w:color w:val="000000"/>
        </w:rPr>
        <w:t xml:space="preserve"> reject the null hypothesis supports that the instruments are exogenous.  </w:t>
      </w:r>
      <w:r w:rsidRPr="001E6FB0">
        <w:rPr>
          <w:rFonts w:cs="Arial"/>
          <w:color w:val="000000"/>
        </w:rPr>
        <w:t xml:space="preserve">The test failed to reject the null hypothesis in all </w:t>
      </w:r>
      <w:r w:rsidR="001416F6" w:rsidRPr="001E6FB0">
        <w:rPr>
          <w:rFonts w:cs="Arial"/>
          <w:color w:val="000000"/>
        </w:rPr>
        <w:t xml:space="preserve">condition </w:t>
      </w:r>
      <w:r w:rsidRPr="001E6FB0">
        <w:rPr>
          <w:rFonts w:cs="Arial"/>
          <w:color w:val="000000"/>
        </w:rPr>
        <w:t>groups</w:t>
      </w:r>
      <w:r w:rsidR="00D407F5" w:rsidRPr="001E6FB0">
        <w:rPr>
          <w:rFonts w:cs="Arial"/>
          <w:color w:val="000000"/>
        </w:rPr>
        <w:t xml:space="preserve"> at the 5% level and </w:t>
      </w:r>
      <w:r w:rsidR="001416F6" w:rsidRPr="001E6FB0">
        <w:rPr>
          <w:rFonts w:cs="Arial"/>
          <w:color w:val="000000"/>
        </w:rPr>
        <w:t xml:space="preserve">in all </w:t>
      </w:r>
      <w:r w:rsidR="00D407F5" w:rsidRPr="001E6FB0">
        <w:rPr>
          <w:rFonts w:cs="Arial"/>
          <w:color w:val="000000"/>
        </w:rPr>
        <w:t xml:space="preserve">groups </w:t>
      </w:r>
      <w:r w:rsidR="001416F6" w:rsidRPr="001E6FB0">
        <w:rPr>
          <w:rFonts w:cs="Arial"/>
          <w:color w:val="000000"/>
        </w:rPr>
        <w:t>except Musculoskeletal and Connective Tissue (MDC 08)</w:t>
      </w:r>
      <w:r w:rsidR="00D407F5" w:rsidRPr="001E6FB0">
        <w:rPr>
          <w:rFonts w:cs="Arial"/>
          <w:color w:val="000000"/>
        </w:rPr>
        <w:t xml:space="preserve"> </w:t>
      </w:r>
      <w:r w:rsidR="00F94BF1" w:rsidRPr="001E6FB0">
        <w:rPr>
          <w:rFonts w:cs="Arial"/>
          <w:color w:val="000000"/>
        </w:rPr>
        <w:t xml:space="preserve">in the mortality model </w:t>
      </w:r>
      <w:r w:rsidR="00D407F5" w:rsidRPr="001E6FB0">
        <w:rPr>
          <w:rFonts w:cs="Arial"/>
          <w:color w:val="000000"/>
        </w:rPr>
        <w:t>at the 10%</w:t>
      </w:r>
      <w:r w:rsidR="001416F6" w:rsidRPr="001E6FB0">
        <w:rPr>
          <w:rFonts w:cs="Arial"/>
          <w:color w:val="000000"/>
        </w:rPr>
        <w:t xml:space="preserve">.  </w:t>
      </w:r>
    </w:p>
    <w:p w14:paraId="7B99A4CC" w14:textId="313873DD" w:rsidR="00092141" w:rsidRPr="001E6FB0" w:rsidRDefault="00092141" w:rsidP="00646ED9">
      <w:pPr>
        <w:autoSpaceDE w:val="0"/>
        <w:autoSpaceDN w:val="0"/>
        <w:adjustRightInd w:val="0"/>
        <w:rPr>
          <w:rFonts w:cs="Arial"/>
          <w:color w:val="000000"/>
        </w:rPr>
      </w:pPr>
      <w:r w:rsidRPr="001E6FB0">
        <w:rPr>
          <w:rFonts w:cs="Arial"/>
          <w:color w:val="000000"/>
        </w:rPr>
        <w:t xml:space="preserve">Due to the ambiguous result regarding the </w:t>
      </w:r>
      <w:proofErr w:type="spellStart"/>
      <w:r w:rsidRPr="001E6FB0">
        <w:rPr>
          <w:rFonts w:cs="Arial"/>
          <w:color w:val="000000"/>
        </w:rPr>
        <w:t>exogeneity</w:t>
      </w:r>
      <w:proofErr w:type="spellEnd"/>
      <w:r w:rsidRPr="001E6FB0">
        <w:rPr>
          <w:rFonts w:cs="Arial"/>
          <w:color w:val="000000"/>
        </w:rPr>
        <w:t xml:space="preserve"> of instruments obtained in the </w:t>
      </w:r>
      <w:r w:rsidR="00304FCC" w:rsidRPr="001E6FB0">
        <w:rPr>
          <w:rFonts w:cs="Arial"/>
          <w:color w:val="000000"/>
        </w:rPr>
        <w:t xml:space="preserve">mortality model in the </w:t>
      </w:r>
      <w:r w:rsidRPr="001E6FB0">
        <w:rPr>
          <w:rFonts w:cs="Arial"/>
          <w:color w:val="000000"/>
        </w:rPr>
        <w:t xml:space="preserve">Musculoskeletal and Connective Tissue group, we conducted sensitivity </w:t>
      </w:r>
      <w:r w:rsidR="00304FCC" w:rsidRPr="001E6FB0">
        <w:rPr>
          <w:rFonts w:cs="Arial"/>
          <w:color w:val="000000"/>
        </w:rPr>
        <w:t xml:space="preserve">analysis of the mortality model </w:t>
      </w:r>
      <w:r w:rsidR="008E16CF" w:rsidRPr="001E6FB0">
        <w:rPr>
          <w:rFonts w:cs="Arial"/>
          <w:color w:val="000000"/>
        </w:rPr>
        <w:t xml:space="preserve">for this group </w:t>
      </w:r>
      <w:r w:rsidRPr="001E6FB0">
        <w:rPr>
          <w:rFonts w:cs="Arial"/>
          <w:color w:val="000000"/>
        </w:rPr>
        <w:t>using a different set of instru</w:t>
      </w:r>
      <w:r w:rsidR="008E16CF" w:rsidRPr="001E6FB0">
        <w:rPr>
          <w:rFonts w:cs="Arial"/>
          <w:color w:val="000000"/>
        </w:rPr>
        <w:t xml:space="preserve">ments.  In particular, we used the following as instruments: distance between the index ACH and the nearest LTCH and a dummy variable indicating the distance between the index ACH and the nearest LTCH is less than </w:t>
      </w:r>
      <w:r w:rsidR="00AC064F" w:rsidRPr="001E6FB0">
        <w:rPr>
          <w:rFonts w:cs="Arial"/>
          <w:color w:val="000000"/>
        </w:rPr>
        <w:t>0.</w:t>
      </w:r>
      <w:r w:rsidR="008E16CF" w:rsidRPr="001E6FB0">
        <w:rPr>
          <w:rFonts w:cs="Arial"/>
          <w:color w:val="000000"/>
        </w:rPr>
        <w:t xml:space="preserve">25 miles.  </w:t>
      </w:r>
      <w:r w:rsidR="00591BDE" w:rsidRPr="001E6FB0">
        <w:rPr>
          <w:rFonts w:cs="Arial"/>
          <w:color w:val="000000"/>
        </w:rPr>
        <w:t xml:space="preserve">Using these instruments, the first-stage F-statistic of the excluded instruments is 104.91, and the </w:t>
      </w:r>
      <w:proofErr w:type="spellStart"/>
      <w:r w:rsidR="00591BDE" w:rsidRPr="001E6FB0">
        <w:rPr>
          <w:rFonts w:cs="Arial"/>
          <w:color w:val="000000"/>
        </w:rPr>
        <w:t>Sargan</w:t>
      </w:r>
      <w:proofErr w:type="spellEnd"/>
      <w:r w:rsidR="00591BDE" w:rsidRPr="001E6FB0">
        <w:rPr>
          <w:rFonts w:cs="Arial"/>
          <w:color w:val="000000"/>
        </w:rPr>
        <w:t xml:space="preserve">-Hansen test yielded a J-statistic of 0.301 with a p-value of 0.583, providing evidence that the instruments are valid.  The results of the sensitivity analysis for the Musculoskeletal and Connective Tissue </w:t>
      </w:r>
      <w:r w:rsidR="00AC064F" w:rsidRPr="001E6FB0">
        <w:rPr>
          <w:rFonts w:cs="Arial"/>
          <w:color w:val="000000"/>
        </w:rPr>
        <w:t xml:space="preserve">category </w:t>
      </w:r>
      <w:r w:rsidR="00591BDE" w:rsidRPr="001E6FB0">
        <w:rPr>
          <w:rFonts w:cs="Arial"/>
          <w:color w:val="000000"/>
        </w:rPr>
        <w:t xml:space="preserve">using these instruments are presented in Appendix </w:t>
      </w:r>
      <w:r w:rsidR="00304FCC" w:rsidRPr="001E6FB0">
        <w:rPr>
          <w:rFonts w:cs="Arial"/>
          <w:color w:val="000000"/>
        </w:rPr>
        <w:t>C</w:t>
      </w:r>
      <w:r w:rsidR="00591BDE" w:rsidRPr="001E6FB0">
        <w:rPr>
          <w:rFonts w:cs="Arial"/>
          <w:color w:val="000000"/>
        </w:rPr>
        <w:t xml:space="preserve">.  </w:t>
      </w:r>
    </w:p>
    <w:p w14:paraId="71A9939B" w14:textId="77777777" w:rsidR="00DA62DE" w:rsidRPr="001E6FB0" w:rsidRDefault="00DA62DE">
      <w:r w:rsidRPr="001E6FB0">
        <w:br w:type="page"/>
      </w:r>
    </w:p>
    <w:p w14:paraId="65DF2615" w14:textId="3ED0F73C" w:rsidR="00646ED9" w:rsidRPr="001E6FB0" w:rsidRDefault="00646ED9" w:rsidP="00646ED9">
      <w:pPr>
        <w:contextualSpacing/>
        <w:rPr>
          <w:b/>
        </w:rPr>
      </w:pPr>
      <w:r w:rsidRPr="001E6FB0">
        <w:rPr>
          <w:b/>
        </w:rPr>
        <w:lastRenderedPageBreak/>
        <w:t xml:space="preserve">Table </w:t>
      </w:r>
      <w:r w:rsidR="00DA2502" w:rsidRPr="001E6FB0">
        <w:rPr>
          <w:b/>
        </w:rPr>
        <w:t>B</w:t>
      </w:r>
      <w:r w:rsidRPr="001E6FB0">
        <w:rPr>
          <w:b/>
        </w:rPr>
        <w:t xml:space="preserve">1. Instrument </w:t>
      </w:r>
      <w:proofErr w:type="spellStart"/>
      <w:r w:rsidRPr="001E6FB0">
        <w:rPr>
          <w:b/>
        </w:rPr>
        <w:t>Diagnostics</w:t>
      </w:r>
      <w:r w:rsidR="00844B21" w:rsidRPr="001E6FB0">
        <w:rPr>
          <w:b/>
          <w:vertAlign w:val="superscript"/>
        </w:rPr>
        <w:t>a</w:t>
      </w:r>
      <w:proofErr w:type="spellEnd"/>
    </w:p>
    <w:tbl>
      <w:tblPr>
        <w:tblW w:w="9022" w:type="dxa"/>
        <w:jc w:val="center"/>
        <w:tblLayout w:type="fixed"/>
        <w:tblLook w:val="04A0" w:firstRow="1" w:lastRow="0" w:firstColumn="1" w:lastColumn="0" w:noHBand="0" w:noVBand="1"/>
      </w:tblPr>
      <w:tblGrid>
        <w:gridCol w:w="4375"/>
        <w:gridCol w:w="1470"/>
        <w:gridCol w:w="1549"/>
        <w:gridCol w:w="1628"/>
      </w:tblGrid>
      <w:tr w:rsidR="00646ED9" w:rsidRPr="001E6FB0" w14:paraId="486252CB" w14:textId="77777777" w:rsidTr="00AC064F">
        <w:trPr>
          <w:trHeight w:val="945"/>
          <w:jc w:val="center"/>
        </w:trPr>
        <w:tc>
          <w:tcPr>
            <w:tcW w:w="4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D0EA" w14:textId="77777777" w:rsidR="00646ED9" w:rsidRPr="001E6FB0" w:rsidRDefault="00646ED9" w:rsidP="009E337B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1E6FB0">
              <w:rPr>
                <w:rFonts w:ascii="Calibri" w:eastAsia="Times New Roman" w:hAnsi="Calibri" w:cs="Times New Roman"/>
                <w:bCs/>
              </w:rPr>
              <w:t>Condition Group</w:t>
            </w:r>
          </w:p>
          <w:p w14:paraId="658F8051" w14:textId="77777777" w:rsidR="00646ED9" w:rsidRPr="001E6FB0" w:rsidRDefault="00646ED9" w:rsidP="009E337B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1E6FB0">
              <w:rPr>
                <w:rFonts w:ascii="Calibri" w:eastAsia="Times New Roman" w:hAnsi="Calibri" w:cs="Times New Roman"/>
                <w:bCs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7F10" w14:textId="33A53F27" w:rsidR="00646ED9" w:rsidRPr="001E6FB0" w:rsidRDefault="00646ED9" w:rsidP="009E3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bCs/>
                <w:color w:val="000000"/>
              </w:rPr>
              <w:t xml:space="preserve">F-statistic of excluded </w:t>
            </w:r>
            <w:proofErr w:type="spellStart"/>
            <w:r w:rsidR="00844B21" w:rsidRPr="001E6FB0">
              <w:rPr>
                <w:rFonts w:ascii="Calibri" w:eastAsia="Times New Roman" w:hAnsi="Calibri" w:cs="Times New Roman"/>
                <w:bCs/>
                <w:color w:val="000000"/>
              </w:rPr>
              <w:t>instruments</w:t>
            </w:r>
            <w:r w:rsidR="00844B21" w:rsidRPr="001E6FB0">
              <w:rPr>
                <w:rFonts w:ascii="Calibri" w:eastAsia="Times New Roman" w:hAnsi="Calibri" w:cs="Times New Roman"/>
                <w:bCs/>
                <w:color w:val="000000"/>
                <w:vertAlign w:val="superscript"/>
              </w:rPr>
              <w:t>b</w:t>
            </w:r>
            <w:proofErr w:type="spellEnd"/>
          </w:p>
          <w:p w14:paraId="58296845" w14:textId="77777777" w:rsidR="00646ED9" w:rsidRPr="001E6FB0" w:rsidRDefault="00646ED9" w:rsidP="009E3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bCs/>
                <w:color w:val="000000"/>
              </w:rPr>
              <w:t> 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08A4" w14:textId="43743730" w:rsidR="00646ED9" w:rsidRPr="001E6FB0" w:rsidRDefault="00646ED9" w:rsidP="00844B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bCs/>
                <w:color w:val="000000"/>
              </w:rPr>
              <w:t xml:space="preserve">Hansen J </w:t>
            </w:r>
            <w:proofErr w:type="spellStart"/>
            <w:r w:rsidR="00844B21" w:rsidRPr="001E6FB0">
              <w:rPr>
                <w:rFonts w:ascii="Calibri" w:eastAsia="Times New Roman" w:hAnsi="Calibri" w:cs="Times New Roman"/>
                <w:bCs/>
                <w:color w:val="000000"/>
              </w:rPr>
              <w:t>statistic</w:t>
            </w:r>
            <w:r w:rsidR="00844B21" w:rsidRPr="001E6FB0">
              <w:rPr>
                <w:rFonts w:ascii="Calibri" w:eastAsia="Times New Roman" w:hAnsi="Calibri" w:cs="Times New Roman"/>
                <w:bCs/>
                <w:color w:val="000000"/>
                <w:vertAlign w:val="superscript"/>
              </w:rPr>
              <w:t>c</w:t>
            </w:r>
            <w:proofErr w:type="spellEnd"/>
            <w:r w:rsidR="00844B21" w:rsidRPr="001E6FB0">
              <w:rPr>
                <w:rFonts w:ascii="Calibri" w:eastAsia="Times New Roman" w:hAnsi="Calibri" w:cs="Times New Roman"/>
                <w:bCs/>
                <w:color w:val="000000"/>
                <w:vertAlign w:val="superscript"/>
              </w:rPr>
              <w:t xml:space="preserve">  </w:t>
            </w:r>
            <w:r w:rsidRPr="001E6FB0">
              <w:rPr>
                <w:rFonts w:ascii="Calibri" w:eastAsia="Times New Roman" w:hAnsi="Calibri" w:cs="Times New Roman"/>
                <w:bCs/>
                <w:color w:val="000000"/>
                <w:vertAlign w:val="superscript"/>
              </w:rPr>
              <w:br/>
            </w:r>
            <w:r w:rsidRPr="001E6FB0">
              <w:rPr>
                <w:rFonts w:ascii="Calibri" w:eastAsia="Times New Roman" w:hAnsi="Calibri" w:cs="Times New Roman"/>
                <w:bCs/>
                <w:color w:val="000000"/>
              </w:rPr>
              <w:t>(p-value in parentheses)</w:t>
            </w:r>
          </w:p>
        </w:tc>
      </w:tr>
      <w:tr w:rsidR="00646ED9" w:rsidRPr="001E6FB0" w14:paraId="476B621D" w14:textId="77777777" w:rsidTr="00AC064F">
        <w:trPr>
          <w:trHeight w:val="300"/>
          <w:jc w:val="center"/>
        </w:trPr>
        <w:tc>
          <w:tcPr>
            <w:tcW w:w="4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2011" w14:textId="77777777" w:rsidR="00646ED9" w:rsidRPr="001E6FB0" w:rsidRDefault="00646ED9" w:rsidP="009E337B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22B7" w14:textId="77777777" w:rsidR="00646ED9" w:rsidRPr="001E6FB0" w:rsidRDefault="00646ED9" w:rsidP="009E3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87BF" w14:textId="45F18391" w:rsidR="00646ED9" w:rsidRPr="001E6FB0" w:rsidRDefault="009B2B10" w:rsidP="009E3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 xml:space="preserve">365-day </w:t>
            </w:r>
            <w:r w:rsidR="00646ED9" w:rsidRPr="001E6FB0">
              <w:rPr>
                <w:rFonts w:ascii="Calibri" w:eastAsia="Times New Roman" w:hAnsi="Calibri" w:cs="Times New Roman"/>
                <w:color w:val="000000"/>
              </w:rPr>
              <w:t>Mortality Model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265E2" w14:textId="1208BD49" w:rsidR="00646ED9" w:rsidRPr="001E6FB0" w:rsidRDefault="009B2B10" w:rsidP="009E3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 xml:space="preserve">180-day </w:t>
            </w:r>
            <w:r w:rsidR="00646ED9" w:rsidRPr="001E6FB0">
              <w:rPr>
                <w:rFonts w:ascii="Calibri" w:eastAsia="Times New Roman" w:hAnsi="Calibri" w:cs="Times New Roman"/>
                <w:color w:val="000000"/>
              </w:rPr>
              <w:t>Payment Model</w:t>
            </w:r>
          </w:p>
        </w:tc>
      </w:tr>
      <w:tr w:rsidR="00646ED9" w:rsidRPr="001E6FB0" w14:paraId="0085C54C" w14:textId="77777777" w:rsidTr="00AC064F">
        <w:trPr>
          <w:trHeight w:val="677"/>
          <w:jc w:val="center"/>
        </w:trPr>
        <w:tc>
          <w:tcPr>
            <w:tcW w:w="43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FC6FA" w14:textId="77777777" w:rsidR="00646ED9" w:rsidRPr="001E6FB0" w:rsidRDefault="00646ED9" w:rsidP="009E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MDC=04 Respiratory</w:t>
            </w:r>
          </w:p>
          <w:p w14:paraId="75A159DB" w14:textId="77777777" w:rsidR="00646ED9" w:rsidRPr="001E6FB0" w:rsidRDefault="00646ED9" w:rsidP="009E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7A66AB2" w14:textId="296B2359" w:rsidR="00646ED9" w:rsidRPr="001E6FB0" w:rsidRDefault="00A95493" w:rsidP="009E3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137.03</w:t>
            </w:r>
            <w:r w:rsidR="00646ED9" w:rsidRPr="001E6F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BEE2E9" w14:textId="0FCF320A" w:rsidR="00A95493" w:rsidRPr="001E6FB0" w:rsidRDefault="00A95493" w:rsidP="003E3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0.168</w:t>
            </w:r>
            <w:r w:rsidRPr="001E6FB0" w:rsidDel="00A9549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6713F170" w14:textId="4A80D4F3" w:rsidR="00646ED9" w:rsidRPr="001E6FB0" w:rsidRDefault="00646ED9" w:rsidP="003E31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A95493" w:rsidRPr="001E6FB0">
              <w:rPr>
                <w:rFonts w:ascii="Calibri" w:eastAsia="Times New Roman" w:hAnsi="Calibri" w:cs="Times New Roman"/>
                <w:color w:val="000000"/>
              </w:rPr>
              <w:t>0.682</w:t>
            </w:r>
            <w:r w:rsidRPr="001E6FB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5CA6E92" w14:textId="2E2A62C4" w:rsidR="00DC4BCC" w:rsidRPr="001E6FB0" w:rsidRDefault="00DC4BCC" w:rsidP="00C94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2.619</w:t>
            </w:r>
            <w:r w:rsidRPr="001E6FB0" w:rsidDel="00DC4B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5200B753" w14:textId="64CCC68E" w:rsidR="00646ED9" w:rsidRPr="001E6FB0" w:rsidRDefault="00646ED9" w:rsidP="00EF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EF046F" w:rsidRPr="001E6FB0">
              <w:rPr>
                <w:rFonts w:ascii="Calibri" w:eastAsia="Times New Roman" w:hAnsi="Calibri" w:cs="Times New Roman"/>
                <w:color w:val="000000"/>
              </w:rPr>
              <w:t>0.106</w:t>
            </w:r>
            <w:r w:rsidRPr="001E6FB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646ED9" w:rsidRPr="001E6FB0" w14:paraId="3DD6E67D" w14:textId="77777777" w:rsidTr="00AC064F">
        <w:trPr>
          <w:trHeight w:val="677"/>
          <w:jc w:val="center"/>
        </w:trPr>
        <w:tc>
          <w:tcPr>
            <w:tcW w:w="43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E956E" w14:textId="77777777" w:rsidR="00646ED9" w:rsidRPr="001E6FB0" w:rsidRDefault="00646ED9" w:rsidP="009E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MDC=05 Circulatory</w:t>
            </w:r>
          </w:p>
          <w:p w14:paraId="29E765DE" w14:textId="77777777" w:rsidR="00646ED9" w:rsidRPr="001E6FB0" w:rsidRDefault="00646ED9" w:rsidP="009E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AC8EDB0" w14:textId="5E81B62B" w:rsidR="00646ED9" w:rsidRPr="001E6FB0" w:rsidRDefault="00A95493" w:rsidP="009E3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143.12</w:t>
            </w:r>
            <w:r w:rsidR="00646ED9" w:rsidRPr="001E6F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95365FF" w14:textId="11C8CAE7" w:rsidR="00646ED9" w:rsidRPr="001E6FB0" w:rsidRDefault="00A95493" w:rsidP="009E3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0.061</w:t>
            </w:r>
          </w:p>
          <w:p w14:paraId="4F7CBCD4" w14:textId="015C300D" w:rsidR="00646ED9" w:rsidRPr="001E6FB0" w:rsidRDefault="00646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A95493" w:rsidRPr="001E6FB0">
              <w:rPr>
                <w:rFonts w:ascii="Calibri" w:eastAsia="Times New Roman" w:hAnsi="Calibri" w:cs="Times New Roman"/>
                <w:color w:val="000000"/>
              </w:rPr>
              <w:t>0.805</w:t>
            </w:r>
            <w:r w:rsidRPr="001E6FB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895D607" w14:textId="5ABD5E33" w:rsidR="00EF046F" w:rsidRPr="001E6FB0" w:rsidRDefault="00EF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0.017</w:t>
            </w:r>
            <w:r w:rsidRPr="001E6FB0" w:rsidDel="00EF04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6097E271" w14:textId="480C1A38" w:rsidR="00646ED9" w:rsidRPr="001E6FB0" w:rsidRDefault="00646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EF046F" w:rsidRPr="001E6FB0">
              <w:rPr>
                <w:rFonts w:ascii="Calibri" w:eastAsia="Times New Roman" w:hAnsi="Calibri" w:cs="Times New Roman"/>
                <w:color w:val="000000"/>
              </w:rPr>
              <w:t>0.895</w:t>
            </w:r>
            <w:r w:rsidRPr="001E6FB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646ED9" w:rsidRPr="001E6FB0" w14:paraId="223FD7E3" w14:textId="77777777" w:rsidTr="00AC064F">
        <w:trPr>
          <w:trHeight w:val="677"/>
          <w:jc w:val="center"/>
        </w:trPr>
        <w:tc>
          <w:tcPr>
            <w:tcW w:w="43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5104A" w14:textId="77777777" w:rsidR="00646ED9" w:rsidRPr="001E6FB0" w:rsidRDefault="00646ED9" w:rsidP="009E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MDC=06 Digestive</w:t>
            </w:r>
          </w:p>
          <w:p w14:paraId="725EE0A3" w14:textId="77777777" w:rsidR="00646ED9" w:rsidRPr="001E6FB0" w:rsidRDefault="00646ED9" w:rsidP="009E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EB8887E" w14:textId="3D8F6763" w:rsidR="00646ED9" w:rsidRPr="001E6FB0" w:rsidRDefault="00A95493" w:rsidP="009E3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199.39</w:t>
            </w:r>
            <w:r w:rsidR="00646ED9" w:rsidRPr="001E6F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59475B" w14:textId="635ED714" w:rsidR="00646ED9" w:rsidRPr="001E6FB0" w:rsidRDefault="00DC4BCC" w:rsidP="009E3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0.842</w:t>
            </w:r>
          </w:p>
          <w:p w14:paraId="64133204" w14:textId="3E1217C8" w:rsidR="00646ED9" w:rsidRPr="001E6FB0" w:rsidRDefault="00646E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DC4BCC" w:rsidRPr="001E6FB0">
              <w:rPr>
                <w:rFonts w:ascii="Calibri" w:eastAsia="Times New Roman" w:hAnsi="Calibri" w:cs="Times New Roman"/>
                <w:color w:val="000000"/>
              </w:rPr>
              <w:t>0.359</w:t>
            </w:r>
            <w:r w:rsidRPr="001E6FB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F2AAF29" w14:textId="094E8E6B" w:rsidR="00EF046F" w:rsidRPr="001E6FB0" w:rsidRDefault="00EF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0.388</w:t>
            </w:r>
            <w:r w:rsidRPr="001E6FB0" w:rsidDel="00EF04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7F560662" w14:textId="176131DB" w:rsidR="00646ED9" w:rsidRPr="001E6FB0" w:rsidRDefault="00646ED9" w:rsidP="00EF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EF046F" w:rsidRPr="001E6FB0">
              <w:rPr>
                <w:rFonts w:ascii="Calibri" w:eastAsia="Times New Roman" w:hAnsi="Calibri" w:cs="Times New Roman"/>
                <w:color w:val="000000"/>
              </w:rPr>
              <w:t>0.533</w:t>
            </w:r>
            <w:r w:rsidRPr="001E6FB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646ED9" w:rsidRPr="001E6FB0" w14:paraId="63D756D7" w14:textId="77777777" w:rsidTr="00AC064F">
        <w:trPr>
          <w:trHeight w:val="677"/>
          <w:jc w:val="center"/>
        </w:trPr>
        <w:tc>
          <w:tcPr>
            <w:tcW w:w="43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9E3BA" w14:textId="77777777" w:rsidR="00646ED9" w:rsidRPr="001E6FB0" w:rsidRDefault="00646ED9" w:rsidP="009E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MDC=08 Musculoskeletal &amp; Connective Tissue</w:t>
            </w:r>
          </w:p>
          <w:p w14:paraId="5BB21C41" w14:textId="77777777" w:rsidR="00646ED9" w:rsidRPr="001E6FB0" w:rsidRDefault="00646ED9" w:rsidP="009E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D3CFBA" w14:textId="17CB8844" w:rsidR="00646ED9" w:rsidRPr="001E6FB0" w:rsidRDefault="00A95493" w:rsidP="009E3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165.13</w:t>
            </w:r>
            <w:r w:rsidR="00646ED9" w:rsidRPr="001E6F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E5C529" w14:textId="60164895" w:rsidR="00DC4BCC" w:rsidRPr="001E6FB0" w:rsidRDefault="00DC4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3.097</w:t>
            </w:r>
            <w:r w:rsidRPr="001E6FB0" w:rsidDel="00DC4B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19C99462" w14:textId="7B704AF4" w:rsidR="00646ED9" w:rsidRPr="001E6FB0" w:rsidRDefault="00646ED9" w:rsidP="00DC4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DC4BCC" w:rsidRPr="001E6FB0">
              <w:rPr>
                <w:rFonts w:ascii="Calibri" w:eastAsia="Times New Roman" w:hAnsi="Calibri" w:cs="Times New Roman"/>
                <w:color w:val="000000"/>
              </w:rPr>
              <w:t>0.079</w:t>
            </w:r>
            <w:r w:rsidRPr="001E6FB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815047" w14:textId="5F0EEB17" w:rsidR="00EF046F" w:rsidRPr="001E6FB0" w:rsidRDefault="00EF046F" w:rsidP="009E3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0.099</w:t>
            </w:r>
            <w:r w:rsidRPr="001E6FB0" w:rsidDel="00EF046F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0285D8B5" w14:textId="5A5DAD71" w:rsidR="00646ED9" w:rsidRPr="001E6FB0" w:rsidRDefault="00646ED9" w:rsidP="00EF04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EF046F" w:rsidRPr="001E6FB0">
              <w:rPr>
                <w:rFonts w:ascii="Calibri" w:eastAsia="Times New Roman" w:hAnsi="Calibri" w:cs="Times New Roman"/>
                <w:color w:val="000000"/>
              </w:rPr>
              <w:t>0.753</w:t>
            </w:r>
            <w:r w:rsidRPr="001E6FB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646ED9" w:rsidRPr="001E6FB0" w14:paraId="546D72B4" w14:textId="77777777" w:rsidTr="00AC064F">
        <w:trPr>
          <w:trHeight w:val="677"/>
          <w:jc w:val="center"/>
        </w:trPr>
        <w:tc>
          <w:tcPr>
            <w:tcW w:w="4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B7410" w14:textId="77777777" w:rsidR="00646ED9" w:rsidRPr="001E6FB0" w:rsidRDefault="00646ED9" w:rsidP="009E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MDC=18 Infectious &amp; Parasitic DDs</w:t>
            </w:r>
          </w:p>
          <w:p w14:paraId="39106141" w14:textId="77777777" w:rsidR="00646ED9" w:rsidRPr="001E6FB0" w:rsidRDefault="00646ED9" w:rsidP="009E33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0D97F" w14:textId="59C4017C" w:rsidR="00646ED9" w:rsidRPr="001E6FB0" w:rsidRDefault="00A95493" w:rsidP="009E3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179.61</w:t>
            </w:r>
            <w:r w:rsidR="00646ED9" w:rsidRPr="001E6FB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2EF3A" w14:textId="38AA8CCE" w:rsidR="00DC4BCC" w:rsidRPr="001E6FB0" w:rsidRDefault="00DC4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1.179</w:t>
            </w:r>
            <w:r w:rsidRPr="001E6FB0" w:rsidDel="00DC4BC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50707D9A" w14:textId="52436687" w:rsidR="00646ED9" w:rsidRPr="001E6FB0" w:rsidRDefault="00646ED9" w:rsidP="00DC4B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DC4BCC" w:rsidRPr="001E6FB0">
              <w:rPr>
                <w:rFonts w:ascii="Calibri" w:eastAsia="Times New Roman" w:hAnsi="Calibri" w:cs="Times New Roman"/>
                <w:color w:val="000000"/>
              </w:rPr>
              <w:t>0.278</w:t>
            </w:r>
            <w:r w:rsidRPr="001E6FB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3AA0" w14:textId="1D1FAECC" w:rsidR="00885D83" w:rsidRPr="001E6FB0" w:rsidRDefault="00885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0.537</w:t>
            </w:r>
            <w:r w:rsidRPr="001E6FB0" w:rsidDel="00885D8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4799054F" w14:textId="2F621844" w:rsidR="00646ED9" w:rsidRPr="001E6FB0" w:rsidRDefault="00646ED9" w:rsidP="00885D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E6FB0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885D83" w:rsidRPr="001E6FB0">
              <w:rPr>
                <w:rFonts w:ascii="Calibri" w:eastAsia="Times New Roman" w:hAnsi="Calibri" w:cs="Times New Roman"/>
                <w:color w:val="000000"/>
              </w:rPr>
              <w:t>0.464</w:t>
            </w:r>
            <w:r w:rsidRPr="001E6FB0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</w:tbl>
    <w:p w14:paraId="05D6366A" w14:textId="77777777" w:rsidR="00646ED9" w:rsidRPr="001E6FB0" w:rsidRDefault="00646ED9" w:rsidP="00646ED9">
      <w:pPr>
        <w:spacing w:after="0" w:line="240" w:lineRule="auto"/>
        <w:ind w:left="180"/>
        <w:contextualSpacing/>
      </w:pPr>
      <w:r w:rsidRPr="001E6FB0">
        <w:t xml:space="preserve">Notes: </w:t>
      </w:r>
    </w:p>
    <w:p w14:paraId="0899E62C" w14:textId="6C5545BA" w:rsidR="00844B21" w:rsidRPr="001E6FB0" w:rsidRDefault="00844B21" w:rsidP="00646ED9">
      <w:pPr>
        <w:spacing w:after="0" w:line="240" w:lineRule="auto"/>
        <w:ind w:left="180"/>
        <w:contextualSpacing/>
      </w:pPr>
      <w:proofErr w:type="gramStart"/>
      <w:r w:rsidRPr="001E6FB0">
        <w:rPr>
          <w:vertAlign w:val="superscript"/>
        </w:rPr>
        <w:t>a</w:t>
      </w:r>
      <w:proofErr w:type="gramEnd"/>
      <w:r w:rsidRPr="001E6FB0">
        <w:rPr>
          <w:vertAlign w:val="superscript"/>
        </w:rPr>
        <w:t xml:space="preserve"> </w:t>
      </w:r>
      <w:r w:rsidR="009B2B10" w:rsidRPr="001E6FB0">
        <w:t>Linear models were used in conducting diagnostic tests of instruments.  Linear probability model</w:t>
      </w:r>
      <w:r w:rsidR="00AC064F" w:rsidRPr="001E6FB0">
        <w:t>s</w:t>
      </w:r>
      <w:r w:rsidR="009B2B10" w:rsidRPr="001E6FB0">
        <w:t xml:space="preserve"> w</w:t>
      </w:r>
      <w:r w:rsidR="00AC064F" w:rsidRPr="001E6FB0">
        <w:t>ere</w:t>
      </w:r>
      <w:r w:rsidR="009B2B10" w:rsidRPr="001E6FB0">
        <w:t xml:space="preserve"> used for mortality, and log-transformed Medicare payment model</w:t>
      </w:r>
      <w:r w:rsidR="00AC064F" w:rsidRPr="001E6FB0">
        <w:t>s</w:t>
      </w:r>
      <w:r w:rsidR="009B2B10" w:rsidRPr="001E6FB0">
        <w:t xml:space="preserve"> w</w:t>
      </w:r>
      <w:r w:rsidR="00AC064F" w:rsidRPr="001E6FB0">
        <w:t>ere</w:t>
      </w:r>
      <w:r w:rsidR="009B2B10" w:rsidRPr="001E6FB0">
        <w:t xml:space="preserve"> estimated using ordinary least squares regression.  </w:t>
      </w:r>
    </w:p>
    <w:p w14:paraId="05F23DE1" w14:textId="616951D4" w:rsidR="00646ED9" w:rsidRPr="001E6FB0" w:rsidRDefault="00844B21" w:rsidP="00646ED9">
      <w:pPr>
        <w:spacing w:after="0" w:line="240" w:lineRule="auto"/>
        <w:ind w:left="180"/>
        <w:contextualSpacing/>
      </w:pPr>
      <w:proofErr w:type="gramStart"/>
      <w:r w:rsidRPr="001E6FB0">
        <w:rPr>
          <w:vertAlign w:val="superscript"/>
        </w:rPr>
        <w:t>b</w:t>
      </w:r>
      <w:proofErr w:type="gramEnd"/>
      <w:r w:rsidRPr="001E6FB0">
        <w:t xml:space="preserve"> </w:t>
      </w:r>
      <w:r w:rsidR="00646ED9" w:rsidRPr="001E6FB0">
        <w:t>F-statistic associated with the F-test of excluded instruments in the first stage.</w:t>
      </w:r>
    </w:p>
    <w:p w14:paraId="393C8B26" w14:textId="46B35274" w:rsidR="00E62090" w:rsidRPr="001E6FB0" w:rsidRDefault="00844B21" w:rsidP="008A5A93">
      <w:pPr>
        <w:spacing w:after="0" w:line="240" w:lineRule="auto"/>
        <w:ind w:left="180"/>
        <w:contextualSpacing/>
      </w:pPr>
      <w:proofErr w:type="gramStart"/>
      <w:r w:rsidRPr="001E6FB0">
        <w:rPr>
          <w:vertAlign w:val="superscript"/>
        </w:rPr>
        <w:t>c</w:t>
      </w:r>
      <w:proofErr w:type="gramEnd"/>
      <w:r w:rsidRPr="001E6FB0">
        <w:t xml:space="preserve"> </w:t>
      </w:r>
      <w:r w:rsidR="00646ED9" w:rsidRPr="001E6FB0">
        <w:t xml:space="preserve">Hansen J statistic associated with the test of </w:t>
      </w:r>
      <w:proofErr w:type="spellStart"/>
      <w:r w:rsidR="00646ED9" w:rsidRPr="001E6FB0">
        <w:t>overidentifying</w:t>
      </w:r>
      <w:proofErr w:type="spellEnd"/>
      <w:r w:rsidR="00646ED9" w:rsidRPr="001E6FB0">
        <w:t xml:space="preserve"> restrictions. </w:t>
      </w:r>
    </w:p>
    <w:p w14:paraId="62B3034D" w14:textId="77777777" w:rsidR="00F15B58" w:rsidRPr="001E6FB0" w:rsidRDefault="00F15B58" w:rsidP="008A5A93">
      <w:pPr>
        <w:spacing w:after="0" w:line="240" w:lineRule="auto"/>
        <w:ind w:left="180"/>
        <w:contextualSpacing/>
      </w:pPr>
    </w:p>
    <w:p w14:paraId="08927A4A" w14:textId="49E52BB1" w:rsidR="00F15B58" w:rsidRPr="001E6FB0" w:rsidRDefault="00AC064F" w:rsidP="008A5A93">
      <w:pPr>
        <w:spacing w:after="0" w:line="240" w:lineRule="auto"/>
        <w:ind w:left="180"/>
        <w:contextualSpacing/>
      </w:pPr>
      <w:r w:rsidRPr="001E6FB0">
        <w:t>W</w:t>
      </w:r>
      <w:r w:rsidR="00F15B58" w:rsidRPr="001E6FB0">
        <w:t xml:space="preserve">e </w:t>
      </w:r>
      <w:r w:rsidRPr="001E6FB0">
        <w:t xml:space="preserve">also </w:t>
      </w:r>
      <w:r w:rsidR="00F15B58" w:rsidRPr="001E6FB0">
        <w:t>examined the relationship between the instrumental variables and several key covariates</w:t>
      </w:r>
      <w:r w:rsidR="00E43244" w:rsidRPr="001E6FB0">
        <w:t xml:space="preserve"> to further investigate the correlation between the instruments and factors influencing the outcome variables.  </w:t>
      </w:r>
      <w:r w:rsidR="00F15B58" w:rsidRPr="001E6FB0">
        <w:t>Table B2 presents how age, gender, multiple organ failure, and ICU/CCU days are distributed across the instrument strata</w:t>
      </w:r>
      <w:r w:rsidR="00415E2E" w:rsidRPr="001E6FB0">
        <w:t xml:space="preserve">.  </w:t>
      </w:r>
    </w:p>
    <w:p w14:paraId="766A3023" w14:textId="77777777" w:rsidR="00E43244" w:rsidRPr="001E6FB0" w:rsidRDefault="00E43244" w:rsidP="008A5A93">
      <w:pPr>
        <w:spacing w:after="0" w:line="240" w:lineRule="auto"/>
        <w:ind w:left="180"/>
        <w:contextualSpacing/>
      </w:pPr>
    </w:p>
    <w:p w14:paraId="62C5A4F3" w14:textId="77777777" w:rsidR="00E43244" w:rsidRPr="001E6FB0" w:rsidRDefault="00E43244" w:rsidP="00E43244">
      <w:pPr>
        <w:contextualSpacing/>
        <w:sectPr w:rsidR="00E43244" w:rsidRPr="001E6FB0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355F064" w14:textId="77777777" w:rsidR="00E43244" w:rsidRPr="001E6FB0" w:rsidRDefault="00E43244" w:rsidP="00E43244">
      <w:pPr>
        <w:contextualSpacing/>
        <w:rPr>
          <w:b/>
        </w:rPr>
      </w:pPr>
      <w:bookmarkStart w:id="0" w:name="_GoBack"/>
      <w:r w:rsidRPr="001E6FB0">
        <w:rPr>
          <w:b/>
        </w:rPr>
        <w:lastRenderedPageBreak/>
        <w:t xml:space="preserve">Table B2. Distribution of Patient Characteristics </w:t>
      </w:r>
      <w:proofErr w:type="gramStart"/>
      <w:r w:rsidRPr="001E6FB0">
        <w:rPr>
          <w:b/>
        </w:rPr>
        <w:t>Across</w:t>
      </w:r>
      <w:proofErr w:type="gramEnd"/>
      <w:r w:rsidRPr="001E6FB0">
        <w:rPr>
          <w:b/>
        </w:rPr>
        <w:t xml:space="preserve"> Instrument Strata</w:t>
      </w:r>
    </w:p>
    <w:bookmarkEnd w:id="0"/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3060"/>
        <w:gridCol w:w="997"/>
        <w:gridCol w:w="997"/>
        <w:gridCol w:w="997"/>
        <w:gridCol w:w="997"/>
        <w:gridCol w:w="222"/>
        <w:gridCol w:w="997"/>
        <w:gridCol w:w="997"/>
        <w:gridCol w:w="997"/>
        <w:gridCol w:w="997"/>
      </w:tblGrid>
      <w:tr w:rsidR="000F6AC6" w:rsidRPr="001E6FB0" w14:paraId="04A6B560" w14:textId="77777777" w:rsidTr="006F2939">
        <w:trPr>
          <w:trHeight w:val="300"/>
        </w:trPr>
        <w:tc>
          <w:tcPr>
            <w:tcW w:w="990" w:type="dxa"/>
            <w:noWrap/>
            <w:hideMark/>
          </w:tcPr>
          <w:p w14:paraId="22F41EAC" w14:textId="77777777" w:rsidR="00415E2E" w:rsidRPr="001E6FB0" w:rsidRDefault="00415E2E">
            <w:pPr>
              <w:contextualSpacing/>
            </w:pPr>
          </w:p>
        </w:tc>
        <w:tc>
          <w:tcPr>
            <w:tcW w:w="3060" w:type="dxa"/>
            <w:noWrap/>
            <w:hideMark/>
          </w:tcPr>
          <w:p w14:paraId="0A496702" w14:textId="77777777" w:rsidR="00415E2E" w:rsidRPr="001E6FB0" w:rsidRDefault="00415E2E">
            <w:pPr>
              <w:contextualSpacing/>
            </w:pPr>
          </w:p>
        </w:tc>
        <w:tc>
          <w:tcPr>
            <w:tcW w:w="398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3D0165E2" w14:textId="77777777" w:rsidR="00415E2E" w:rsidRPr="001E6FB0" w:rsidRDefault="00415E2E" w:rsidP="00B93D27">
            <w:pPr>
              <w:contextualSpacing/>
              <w:jc w:val="center"/>
              <w:rPr>
                <w:bCs/>
              </w:rPr>
            </w:pPr>
            <w:r w:rsidRPr="001E6FB0">
              <w:rPr>
                <w:bCs/>
              </w:rPr>
              <w:t>Quartiles based on “</w:t>
            </w:r>
            <w:r w:rsidR="00B93D27" w:rsidRPr="001E6FB0">
              <w:rPr>
                <w:bCs/>
              </w:rPr>
              <w:t>distance between index ACH and the nearest LTCH”</w:t>
            </w:r>
          </w:p>
        </w:tc>
        <w:tc>
          <w:tcPr>
            <w:tcW w:w="222" w:type="dxa"/>
            <w:tcBorders>
              <w:bottom w:val="single" w:sz="4" w:space="0" w:color="auto"/>
            </w:tcBorders>
            <w:noWrap/>
            <w:hideMark/>
          </w:tcPr>
          <w:p w14:paraId="79AE64BE" w14:textId="77777777" w:rsidR="00415E2E" w:rsidRPr="001E6FB0" w:rsidRDefault="00415E2E" w:rsidP="00B93D27">
            <w:pPr>
              <w:contextualSpacing/>
              <w:jc w:val="center"/>
              <w:rPr>
                <w:bCs/>
              </w:rPr>
            </w:pPr>
          </w:p>
        </w:tc>
        <w:tc>
          <w:tcPr>
            <w:tcW w:w="398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325BBE77" w14:textId="1A62245B" w:rsidR="00415E2E" w:rsidRPr="001E6FB0" w:rsidRDefault="00B93D27">
            <w:pPr>
              <w:contextualSpacing/>
              <w:jc w:val="center"/>
              <w:rPr>
                <w:bCs/>
              </w:rPr>
            </w:pPr>
            <w:r w:rsidRPr="001E6FB0">
              <w:rPr>
                <w:bCs/>
              </w:rPr>
              <w:t># of LTCHs in beneficiary’s HRR</w:t>
            </w:r>
          </w:p>
        </w:tc>
      </w:tr>
      <w:tr w:rsidR="000F6AC6" w:rsidRPr="001E6FB0" w14:paraId="5B0329AB" w14:textId="77777777" w:rsidTr="006F2939">
        <w:trPr>
          <w:trHeight w:val="300"/>
        </w:trPr>
        <w:tc>
          <w:tcPr>
            <w:tcW w:w="990" w:type="dxa"/>
            <w:noWrap/>
            <w:hideMark/>
          </w:tcPr>
          <w:p w14:paraId="0A88C4B2" w14:textId="77777777" w:rsidR="00415E2E" w:rsidRPr="001E6FB0" w:rsidRDefault="00415E2E" w:rsidP="00415E2E">
            <w:pPr>
              <w:contextualSpacing/>
              <w:rPr>
                <w:bCs/>
              </w:rPr>
            </w:pPr>
          </w:p>
        </w:tc>
        <w:tc>
          <w:tcPr>
            <w:tcW w:w="3060" w:type="dxa"/>
            <w:noWrap/>
            <w:hideMark/>
          </w:tcPr>
          <w:p w14:paraId="3BEEA992" w14:textId="77777777" w:rsidR="00415E2E" w:rsidRPr="001E6FB0" w:rsidRDefault="00415E2E">
            <w:pPr>
              <w:contextualSpacing/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EC15C3" w14:textId="5B4C4DA1" w:rsidR="00415E2E" w:rsidRPr="001E6FB0" w:rsidRDefault="0050270F" w:rsidP="00AC064F">
            <w:pPr>
              <w:contextualSpacing/>
              <w:jc w:val="center"/>
              <w:rPr>
                <w:bCs/>
              </w:rPr>
            </w:pPr>
            <w:r w:rsidRPr="001E6FB0">
              <w:rPr>
                <w:bCs/>
              </w:rPr>
              <w:t>Q</w:t>
            </w:r>
            <w:r w:rsidR="00415E2E" w:rsidRPr="001E6FB0">
              <w:rPr>
                <w:bCs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50BBDDE" w14:textId="194AF67A" w:rsidR="00415E2E" w:rsidRPr="001E6FB0" w:rsidRDefault="0050270F" w:rsidP="00AC064F">
            <w:pPr>
              <w:contextualSpacing/>
              <w:jc w:val="center"/>
              <w:rPr>
                <w:bCs/>
              </w:rPr>
            </w:pPr>
            <w:r w:rsidRPr="001E6FB0">
              <w:rPr>
                <w:bCs/>
              </w:rPr>
              <w:t>Q</w:t>
            </w:r>
            <w:r w:rsidR="00415E2E" w:rsidRPr="001E6FB0">
              <w:rPr>
                <w:bCs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7FDA4B" w14:textId="6BDE69C1" w:rsidR="00415E2E" w:rsidRPr="001E6FB0" w:rsidRDefault="0050270F" w:rsidP="00AC064F">
            <w:pPr>
              <w:contextualSpacing/>
              <w:jc w:val="center"/>
              <w:rPr>
                <w:bCs/>
              </w:rPr>
            </w:pPr>
            <w:r w:rsidRPr="001E6FB0">
              <w:rPr>
                <w:bCs/>
              </w:rPr>
              <w:t>Q</w:t>
            </w:r>
            <w:r w:rsidR="00415E2E" w:rsidRPr="001E6FB0">
              <w:rPr>
                <w:bCs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E657C5" w14:textId="4E8BFD3C" w:rsidR="00415E2E" w:rsidRPr="001E6FB0" w:rsidRDefault="0050270F" w:rsidP="00AC064F">
            <w:pPr>
              <w:contextualSpacing/>
              <w:jc w:val="center"/>
              <w:rPr>
                <w:bCs/>
              </w:rPr>
            </w:pPr>
            <w:r w:rsidRPr="001E6FB0">
              <w:rPr>
                <w:bCs/>
              </w:rPr>
              <w:t>Q</w:t>
            </w:r>
            <w:r w:rsidR="00415E2E" w:rsidRPr="001E6FB0">
              <w:rPr>
                <w:bCs/>
              </w:rPr>
              <w:t>4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C20951" w14:textId="77777777" w:rsidR="00415E2E" w:rsidRPr="001E6FB0" w:rsidRDefault="00415E2E" w:rsidP="00AC064F">
            <w:pPr>
              <w:contextualSpacing/>
              <w:jc w:val="center"/>
              <w:rPr>
                <w:bCs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EC3FB7" w14:textId="77777777" w:rsidR="00415E2E" w:rsidRPr="001E6FB0" w:rsidRDefault="00415E2E" w:rsidP="00AC064F">
            <w:pPr>
              <w:contextualSpacing/>
              <w:jc w:val="center"/>
              <w:rPr>
                <w:bCs/>
              </w:rPr>
            </w:pPr>
            <w:r w:rsidRPr="001E6FB0">
              <w:rPr>
                <w:bCs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5540C6" w14:textId="77777777" w:rsidR="00415E2E" w:rsidRPr="001E6FB0" w:rsidRDefault="00415E2E" w:rsidP="00AC064F">
            <w:pPr>
              <w:contextualSpacing/>
              <w:jc w:val="center"/>
              <w:rPr>
                <w:bCs/>
              </w:rPr>
            </w:pPr>
            <w:r w:rsidRPr="001E6FB0">
              <w:rPr>
                <w:bCs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DA2B7FC" w14:textId="77777777" w:rsidR="00415E2E" w:rsidRPr="001E6FB0" w:rsidRDefault="00415E2E" w:rsidP="00AC064F">
            <w:pPr>
              <w:contextualSpacing/>
              <w:jc w:val="center"/>
              <w:rPr>
                <w:bCs/>
              </w:rPr>
            </w:pPr>
            <w:r w:rsidRPr="001E6FB0">
              <w:rPr>
                <w:bCs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790009" w14:textId="75806FC2" w:rsidR="00415E2E" w:rsidRPr="001E6FB0" w:rsidRDefault="00415E2E" w:rsidP="00AC064F">
            <w:pPr>
              <w:contextualSpacing/>
              <w:jc w:val="center"/>
              <w:rPr>
                <w:bCs/>
              </w:rPr>
            </w:pPr>
            <w:r w:rsidRPr="001E6FB0">
              <w:rPr>
                <w:bCs/>
              </w:rPr>
              <w:t>4</w:t>
            </w:r>
            <w:r w:rsidR="0050270F" w:rsidRPr="001E6FB0">
              <w:rPr>
                <w:bCs/>
              </w:rPr>
              <w:t>+</w:t>
            </w:r>
          </w:p>
        </w:tc>
      </w:tr>
      <w:tr w:rsidR="006F2939" w:rsidRPr="001E6FB0" w14:paraId="20680005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23625B24" w14:textId="77777777" w:rsidR="006F2939" w:rsidRPr="001E6FB0" w:rsidRDefault="006F2939" w:rsidP="006F2939">
            <w:pPr>
              <w:contextualSpacing/>
            </w:pPr>
            <w:r w:rsidRPr="001E6FB0">
              <w:t>MDC=4</w:t>
            </w:r>
          </w:p>
        </w:tc>
        <w:tc>
          <w:tcPr>
            <w:tcW w:w="3060" w:type="dxa"/>
            <w:noWrap/>
            <w:vAlign w:val="center"/>
            <w:hideMark/>
          </w:tcPr>
          <w:p w14:paraId="0F4F3BA3" w14:textId="77777777" w:rsidR="006F2939" w:rsidRPr="001E6FB0" w:rsidRDefault="006F2939" w:rsidP="006F2939">
            <w:pPr>
              <w:contextualSpacing/>
            </w:pPr>
            <w:r w:rsidRPr="001E6FB0">
              <w:t>age (mean)</w:t>
            </w:r>
          </w:p>
        </w:tc>
        <w:tc>
          <w:tcPr>
            <w:tcW w:w="997" w:type="dxa"/>
            <w:tcBorders>
              <w:top w:val="single" w:sz="4" w:space="0" w:color="auto"/>
            </w:tcBorders>
            <w:noWrap/>
            <w:vAlign w:val="center"/>
          </w:tcPr>
          <w:p w14:paraId="6DAFA199" w14:textId="686F017B" w:rsidR="006F2939" w:rsidRPr="001E6FB0" w:rsidRDefault="006F2939" w:rsidP="00AC064F">
            <w:pPr>
              <w:contextualSpacing/>
              <w:jc w:val="center"/>
            </w:pPr>
            <w:r w:rsidRPr="001E6FB0">
              <w:t>78.9</w:t>
            </w:r>
          </w:p>
        </w:tc>
        <w:tc>
          <w:tcPr>
            <w:tcW w:w="997" w:type="dxa"/>
            <w:tcBorders>
              <w:top w:val="single" w:sz="4" w:space="0" w:color="auto"/>
            </w:tcBorders>
            <w:noWrap/>
            <w:vAlign w:val="center"/>
          </w:tcPr>
          <w:p w14:paraId="05D74C11" w14:textId="0598C79E" w:rsidR="006F2939" w:rsidRPr="001E6FB0" w:rsidRDefault="006F2939" w:rsidP="00AC064F">
            <w:pPr>
              <w:contextualSpacing/>
              <w:jc w:val="center"/>
            </w:pPr>
            <w:r w:rsidRPr="001E6FB0">
              <w:t>79.8</w:t>
            </w:r>
          </w:p>
        </w:tc>
        <w:tc>
          <w:tcPr>
            <w:tcW w:w="997" w:type="dxa"/>
            <w:tcBorders>
              <w:top w:val="single" w:sz="4" w:space="0" w:color="auto"/>
            </w:tcBorders>
            <w:noWrap/>
            <w:vAlign w:val="center"/>
          </w:tcPr>
          <w:p w14:paraId="2F8DE7CB" w14:textId="512EBC82" w:rsidR="006F2939" w:rsidRPr="001E6FB0" w:rsidRDefault="006F2939" w:rsidP="00AC064F">
            <w:pPr>
              <w:contextualSpacing/>
              <w:jc w:val="center"/>
            </w:pPr>
            <w:r w:rsidRPr="001E6FB0">
              <w:t>79.6</w:t>
            </w:r>
          </w:p>
        </w:tc>
        <w:tc>
          <w:tcPr>
            <w:tcW w:w="997" w:type="dxa"/>
            <w:tcBorders>
              <w:top w:val="single" w:sz="4" w:space="0" w:color="auto"/>
            </w:tcBorders>
            <w:noWrap/>
            <w:vAlign w:val="center"/>
          </w:tcPr>
          <w:p w14:paraId="72021263" w14:textId="0902A557" w:rsidR="006F2939" w:rsidRPr="001E6FB0" w:rsidRDefault="006F2939" w:rsidP="00AC064F">
            <w:pPr>
              <w:contextualSpacing/>
              <w:jc w:val="center"/>
            </w:pPr>
            <w:r w:rsidRPr="001E6FB0">
              <w:t>79.1</w:t>
            </w:r>
          </w:p>
        </w:tc>
        <w:tc>
          <w:tcPr>
            <w:tcW w:w="22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4885048" w14:textId="77777777" w:rsidR="006F2939" w:rsidRPr="001E6FB0" w:rsidRDefault="006F2939" w:rsidP="00AC064F">
            <w:pPr>
              <w:contextualSpacing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</w:tcBorders>
            <w:noWrap/>
            <w:vAlign w:val="center"/>
          </w:tcPr>
          <w:p w14:paraId="0C7CBECA" w14:textId="458DB37A" w:rsidR="006F2939" w:rsidRPr="001E6FB0" w:rsidRDefault="006F2939" w:rsidP="00AC064F">
            <w:pPr>
              <w:contextualSpacing/>
              <w:jc w:val="center"/>
            </w:pPr>
            <w:r w:rsidRPr="001E6FB0">
              <w:t>79.4</w:t>
            </w:r>
          </w:p>
        </w:tc>
        <w:tc>
          <w:tcPr>
            <w:tcW w:w="997" w:type="dxa"/>
            <w:tcBorders>
              <w:top w:val="single" w:sz="4" w:space="0" w:color="auto"/>
            </w:tcBorders>
            <w:noWrap/>
            <w:vAlign w:val="center"/>
          </w:tcPr>
          <w:p w14:paraId="28AFFCB0" w14:textId="682B23FD" w:rsidR="006F2939" w:rsidRPr="001E6FB0" w:rsidRDefault="006F2939" w:rsidP="00AC064F">
            <w:pPr>
              <w:contextualSpacing/>
              <w:jc w:val="center"/>
            </w:pPr>
            <w:r w:rsidRPr="001E6FB0">
              <w:t>79.5</w:t>
            </w:r>
          </w:p>
        </w:tc>
        <w:tc>
          <w:tcPr>
            <w:tcW w:w="997" w:type="dxa"/>
            <w:tcBorders>
              <w:top w:val="single" w:sz="4" w:space="0" w:color="auto"/>
            </w:tcBorders>
            <w:noWrap/>
            <w:vAlign w:val="center"/>
          </w:tcPr>
          <w:p w14:paraId="027DB359" w14:textId="5A10847D" w:rsidR="006F2939" w:rsidRPr="001E6FB0" w:rsidRDefault="006F2939" w:rsidP="00AC064F">
            <w:pPr>
              <w:contextualSpacing/>
              <w:jc w:val="center"/>
            </w:pPr>
            <w:r w:rsidRPr="001E6FB0">
              <w:t>79.2</w:t>
            </w:r>
          </w:p>
        </w:tc>
        <w:tc>
          <w:tcPr>
            <w:tcW w:w="997" w:type="dxa"/>
            <w:tcBorders>
              <w:top w:val="single" w:sz="4" w:space="0" w:color="auto"/>
            </w:tcBorders>
            <w:noWrap/>
            <w:vAlign w:val="center"/>
          </w:tcPr>
          <w:p w14:paraId="2B5614C8" w14:textId="46B7989C" w:rsidR="006F2939" w:rsidRPr="001E6FB0" w:rsidRDefault="006F2939" w:rsidP="00AC064F">
            <w:pPr>
              <w:contextualSpacing/>
              <w:jc w:val="center"/>
            </w:pPr>
            <w:r w:rsidRPr="001E6FB0">
              <w:t>79.4</w:t>
            </w:r>
          </w:p>
        </w:tc>
      </w:tr>
      <w:tr w:rsidR="006F2939" w:rsidRPr="001E6FB0" w14:paraId="5F3A597F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50D5959C" w14:textId="77777777" w:rsidR="006F2939" w:rsidRPr="001E6FB0" w:rsidRDefault="006F2939" w:rsidP="006F2939">
            <w:pPr>
              <w:contextualSpacing/>
            </w:pPr>
          </w:p>
        </w:tc>
        <w:tc>
          <w:tcPr>
            <w:tcW w:w="3060" w:type="dxa"/>
            <w:noWrap/>
            <w:vAlign w:val="center"/>
            <w:hideMark/>
          </w:tcPr>
          <w:p w14:paraId="2CD95AB0" w14:textId="77777777" w:rsidR="006F2939" w:rsidRPr="001E6FB0" w:rsidRDefault="006F2939" w:rsidP="006F2939">
            <w:pPr>
              <w:contextualSpacing/>
            </w:pPr>
            <w:proofErr w:type="gramStart"/>
            <w:r w:rsidRPr="001E6FB0">
              <w:t>male</w:t>
            </w:r>
            <w:proofErr w:type="gramEnd"/>
            <w:r w:rsidRPr="001E6FB0">
              <w:t xml:space="preserve"> (%)</w:t>
            </w:r>
          </w:p>
        </w:tc>
        <w:tc>
          <w:tcPr>
            <w:tcW w:w="997" w:type="dxa"/>
            <w:noWrap/>
            <w:vAlign w:val="center"/>
          </w:tcPr>
          <w:p w14:paraId="2978E3B0" w14:textId="0C66736A" w:rsidR="006F2939" w:rsidRPr="001E6FB0" w:rsidRDefault="006F2939" w:rsidP="00AC064F">
            <w:pPr>
              <w:contextualSpacing/>
              <w:jc w:val="center"/>
            </w:pPr>
            <w:r w:rsidRPr="001E6FB0">
              <w:t>42.8</w:t>
            </w:r>
          </w:p>
        </w:tc>
        <w:tc>
          <w:tcPr>
            <w:tcW w:w="997" w:type="dxa"/>
            <w:noWrap/>
            <w:vAlign w:val="center"/>
          </w:tcPr>
          <w:p w14:paraId="1DC390EF" w14:textId="51665BB6" w:rsidR="006F2939" w:rsidRPr="001E6FB0" w:rsidRDefault="006F2939" w:rsidP="00AC064F">
            <w:pPr>
              <w:contextualSpacing/>
              <w:jc w:val="center"/>
            </w:pPr>
            <w:r w:rsidRPr="001E6FB0">
              <w:t>41.8</w:t>
            </w:r>
          </w:p>
        </w:tc>
        <w:tc>
          <w:tcPr>
            <w:tcW w:w="997" w:type="dxa"/>
            <w:noWrap/>
            <w:vAlign w:val="center"/>
          </w:tcPr>
          <w:p w14:paraId="729BEAED" w14:textId="5ED9236A" w:rsidR="006F2939" w:rsidRPr="001E6FB0" w:rsidRDefault="006F2939" w:rsidP="00AC064F">
            <w:pPr>
              <w:contextualSpacing/>
              <w:jc w:val="center"/>
            </w:pPr>
            <w:r w:rsidRPr="001E6FB0">
              <w:t>42.2</w:t>
            </w:r>
          </w:p>
        </w:tc>
        <w:tc>
          <w:tcPr>
            <w:tcW w:w="997" w:type="dxa"/>
            <w:noWrap/>
            <w:vAlign w:val="center"/>
          </w:tcPr>
          <w:p w14:paraId="62907896" w14:textId="4B309297" w:rsidR="006F2939" w:rsidRPr="001E6FB0" w:rsidRDefault="006F2939" w:rsidP="00AC064F">
            <w:pPr>
              <w:contextualSpacing/>
              <w:jc w:val="center"/>
            </w:pPr>
            <w:r w:rsidRPr="001E6FB0">
              <w:t>44.2</w:t>
            </w:r>
          </w:p>
        </w:tc>
        <w:tc>
          <w:tcPr>
            <w:tcW w:w="222" w:type="dxa"/>
            <w:noWrap/>
            <w:vAlign w:val="center"/>
            <w:hideMark/>
          </w:tcPr>
          <w:p w14:paraId="5B6F014F" w14:textId="77777777" w:rsidR="006F2939" w:rsidRPr="001E6FB0" w:rsidRDefault="006F2939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4C922657" w14:textId="21749914" w:rsidR="006F2939" w:rsidRPr="001E6FB0" w:rsidRDefault="006F2939" w:rsidP="00AC064F">
            <w:pPr>
              <w:contextualSpacing/>
              <w:jc w:val="center"/>
            </w:pPr>
            <w:r w:rsidRPr="001E6FB0">
              <w:t>43.4</w:t>
            </w:r>
          </w:p>
        </w:tc>
        <w:tc>
          <w:tcPr>
            <w:tcW w:w="997" w:type="dxa"/>
            <w:noWrap/>
            <w:vAlign w:val="center"/>
          </w:tcPr>
          <w:p w14:paraId="1DD5AE00" w14:textId="11214F2A" w:rsidR="006F2939" w:rsidRPr="001E6FB0" w:rsidRDefault="006F2939" w:rsidP="00AC064F">
            <w:pPr>
              <w:contextualSpacing/>
              <w:jc w:val="center"/>
            </w:pPr>
            <w:r w:rsidRPr="001E6FB0">
              <w:t>42.6</w:t>
            </w:r>
          </w:p>
        </w:tc>
        <w:tc>
          <w:tcPr>
            <w:tcW w:w="997" w:type="dxa"/>
            <w:noWrap/>
            <w:vAlign w:val="center"/>
          </w:tcPr>
          <w:p w14:paraId="2980FA09" w14:textId="45E6A8E4" w:rsidR="006F2939" w:rsidRPr="001E6FB0" w:rsidRDefault="006F2939" w:rsidP="00AC064F">
            <w:pPr>
              <w:contextualSpacing/>
              <w:jc w:val="center"/>
            </w:pPr>
            <w:r w:rsidRPr="001E6FB0">
              <w:t>41.9</w:t>
            </w:r>
          </w:p>
        </w:tc>
        <w:tc>
          <w:tcPr>
            <w:tcW w:w="997" w:type="dxa"/>
            <w:noWrap/>
            <w:vAlign w:val="center"/>
          </w:tcPr>
          <w:p w14:paraId="54050269" w14:textId="3CEA1A3B" w:rsidR="006F2939" w:rsidRPr="001E6FB0" w:rsidRDefault="006F2939" w:rsidP="00AC064F">
            <w:pPr>
              <w:contextualSpacing/>
              <w:jc w:val="center"/>
            </w:pPr>
            <w:r w:rsidRPr="001E6FB0">
              <w:t>41.9</w:t>
            </w:r>
          </w:p>
        </w:tc>
      </w:tr>
      <w:tr w:rsidR="006F2939" w:rsidRPr="001E6FB0" w14:paraId="25A40E07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5C8857CB" w14:textId="77777777" w:rsidR="006F2939" w:rsidRPr="001E6FB0" w:rsidRDefault="006F2939" w:rsidP="006F2939">
            <w:pPr>
              <w:contextualSpacing/>
            </w:pPr>
          </w:p>
        </w:tc>
        <w:tc>
          <w:tcPr>
            <w:tcW w:w="3060" w:type="dxa"/>
            <w:vAlign w:val="center"/>
            <w:hideMark/>
          </w:tcPr>
          <w:p w14:paraId="759CEDD8" w14:textId="77777777" w:rsidR="006F2939" w:rsidRPr="001E6FB0" w:rsidRDefault="006F2939" w:rsidP="006F2939">
            <w:pPr>
              <w:contextualSpacing/>
            </w:pPr>
            <w:proofErr w:type="gramStart"/>
            <w:r w:rsidRPr="001E6FB0">
              <w:t>multiple</w:t>
            </w:r>
            <w:proofErr w:type="gramEnd"/>
            <w:r w:rsidRPr="001E6FB0">
              <w:t xml:space="preserve"> organ failure (%)</w:t>
            </w:r>
          </w:p>
        </w:tc>
        <w:tc>
          <w:tcPr>
            <w:tcW w:w="997" w:type="dxa"/>
            <w:noWrap/>
            <w:vAlign w:val="center"/>
          </w:tcPr>
          <w:p w14:paraId="205D7547" w14:textId="7BFD1662" w:rsidR="006F2939" w:rsidRPr="001E6FB0" w:rsidRDefault="006F2939" w:rsidP="00AC064F">
            <w:pPr>
              <w:contextualSpacing/>
              <w:jc w:val="center"/>
            </w:pPr>
            <w:r w:rsidRPr="001E6FB0">
              <w:t>28.4</w:t>
            </w:r>
          </w:p>
        </w:tc>
        <w:tc>
          <w:tcPr>
            <w:tcW w:w="997" w:type="dxa"/>
            <w:noWrap/>
            <w:vAlign w:val="center"/>
          </w:tcPr>
          <w:p w14:paraId="3C68D75F" w14:textId="37509C59" w:rsidR="006F2939" w:rsidRPr="001E6FB0" w:rsidRDefault="006F2939" w:rsidP="00AC064F">
            <w:pPr>
              <w:contextualSpacing/>
              <w:jc w:val="center"/>
            </w:pPr>
            <w:r w:rsidRPr="001E6FB0">
              <w:t>27.0</w:t>
            </w:r>
          </w:p>
        </w:tc>
        <w:tc>
          <w:tcPr>
            <w:tcW w:w="997" w:type="dxa"/>
            <w:noWrap/>
            <w:vAlign w:val="center"/>
          </w:tcPr>
          <w:p w14:paraId="1D1B224B" w14:textId="2A8AC7A4" w:rsidR="006F2939" w:rsidRPr="001E6FB0" w:rsidRDefault="006F2939" w:rsidP="00AC064F">
            <w:pPr>
              <w:contextualSpacing/>
              <w:jc w:val="center"/>
            </w:pPr>
            <w:r w:rsidRPr="001E6FB0">
              <w:t>26.5</w:t>
            </w:r>
          </w:p>
        </w:tc>
        <w:tc>
          <w:tcPr>
            <w:tcW w:w="997" w:type="dxa"/>
            <w:noWrap/>
            <w:vAlign w:val="center"/>
          </w:tcPr>
          <w:p w14:paraId="34FF555D" w14:textId="2919B918" w:rsidR="006F2939" w:rsidRPr="001E6FB0" w:rsidRDefault="006F2939" w:rsidP="00AC064F">
            <w:pPr>
              <w:contextualSpacing/>
              <w:jc w:val="center"/>
            </w:pPr>
            <w:r w:rsidRPr="001E6FB0">
              <w:t>24.9</w:t>
            </w:r>
          </w:p>
        </w:tc>
        <w:tc>
          <w:tcPr>
            <w:tcW w:w="222" w:type="dxa"/>
            <w:noWrap/>
            <w:vAlign w:val="center"/>
            <w:hideMark/>
          </w:tcPr>
          <w:p w14:paraId="427A9A84" w14:textId="77777777" w:rsidR="006F2939" w:rsidRPr="001E6FB0" w:rsidRDefault="006F2939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74868999" w14:textId="5ADE9161" w:rsidR="006F2939" w:rsidRPr="001E6FB0" w:rsidRDefault="006F2939" w:rsidP="00AC064F">
            <w:pPr>
              <w:contextualSpacing/>
              <w:jc w:val="center"/>
            </w:pPr>
            <w:r w:rsidRPr="001E6FB0">
              <w:t>26.6</w:t>
            </w:r>
          </w:p>
        </w:tc>
        <w:tc>
          <w:tcPr>
            <w:tcW w:w="997" w:type="dxa"/>
            <w:noWrap/>
            <w:vAlign w:val="center"/>
          </w:tcPr>
          <w:p w14:paraId="6859B601" w14:textId="277C10E7" w:rsidR="006F2939" w:rsidRPr="001E6FB0" w:rsidRDefault="006F2939" w:rsidP="00AC064F">
            <w:pPr>
              <w:contextualSpacing/>
              <w:jc w:val="center"/>
            </w:pPr>
            <w:r w:rsidRPr="001E6FB0">
              <w:t>27.5</w:t>
            </w:r>
          </w:p>
        </w:tc>
        <w:tc>
          <w:tcPr>
            <w:tcW w:w="997" w:type="dxa"/>
            <w:noWrap/>
            <w:vAlign w:val="center"/>
          </w:tcPr>
          <w:p w14:paraId="54A83547" w14:textId="5DA13F83" w:rsidR="006F2939" w:rsidRPr="001E6FB0" w:rsidRDefault="006F2939" w:rsidP="00AC064F">
            <w:pPr>
              <w:contextualSpacing/>
              <w:jc w:val="center"/>
            </w:pPr>
            <w:r w:rsidRPr="001E6FB0">
              <w:t>27.0</w:t>
            </w:r>
          </w:p>
        </w:tc>
        <w:tc>
          <w:tcPr>
            <w:tcW w:w="997" w:type="dxa"/>
            <w:noWrap/>
            <w:vAlign w:val="center"/>
          </w:tcPr>
          <w:p w14:paraId="5410DABB" w14:textId="0E0E7D61" w:rsidR="006F2939" w:rsidRPr="001E6FB0" w:rsidRDefault="006F2939" w:rsidP="00AC064F">
            <w:pPr>
              <w:contextualSpacing/>
              <w:jc w:val="center"/>
            </w:pPr>
            <w:r w:rsidRPr="001E6FB0">
              <w:t>26.2</w:t>
            </w:r>
          </w:p>
        </w:tc>
      </w:tr>
      <w:tr w:rsidR="006F2939" w:rsidRPr="001E6FB0" w14:paraId="7EA12314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21BAF112" w14:textId="77777777" w:rsidR="006F2939" w:rsidRPr="001E6FB0" w:rsidRDefault="006F2939" w:rsidP="006F2939">
            <w:pPr>
              <w:contextualSpacing/>
            </w:pPr>
          </w:p>
        </w:tc>
        <w:tc>
          <w:tcPr>
            <w:tcW w:w="3060" w:type="dxa"/>
            <w:vAlign w:val="center"/>
            <w:hideMark/>
          </w:tcPr>
          <w:p w14:paraId="1BBF00CE" w14:textId="77777777" w:rsidR="006F2939" w:rsidRPr="001E6FB0" w:rsidRDefault="006F2939" w:rsidP="006F2939">
            <w:pPr>
              <w:contextualSpacing/>
            </w:pPr>
            <w:r w:rsidRPr="001E6FB0">
              <w:t>days in ICU/CCU (mean)</w:t>
            </w:r>
          </w:p>
        </w:tc>
        <w:tc>
          <w:tcPr>
            <w:tcW w:w="997" w:type="dxa"/>
            <w:noWrap/>
            <w:vAlign w:val="center"/>
          </w:tcPr>
          <w:p w14:paraId="098E9A55" w14:textId="5CEC9E38" w:rsidR="006F2939" w:rsidRPr="001E6FB0" w:rsidRDefault="006F2939" w:rsidP="00AC064F">
            <w:pPr>
              <w:contextualSpacing/>
              <w:jc w:val="center"/>
            </w:pPr>
            <w:r w:rsidRPr="001E6FB0">
              <w:t>1.8</w:t>
            </w:r>
          </w:p>
        </w:tc>
        <w:tc>
          <w:tcPr>
            <w:tcW w:w="997" w:type="dxa"/>
            <w:noWrap/>
            <w:vAlign w:val="center"/>
          </w:tcPr>
          <w:p w14:paraId="3EC36AE6" w14:textId="7C7EBC15" w:rsidR="006F2939" w:rsidRPr="001E6FB0" w:rsidRDefault="006F2939" w:rsidP="00AC064F">
            <w:pPr>
              <w:contextualSpacing/>
              <w:jc w:val="center"/>
            </w:pPr>
            <w:r w:rsidRPr="001E6FB0">
              <w:t>2.0</w:t>
            </w:r>
          </w:p>
        </w:tc>
        <w:tc>
          <w:tcPr>
            <w:tcW w:w="997" w:type="dxa"/>
            <w:noWrap/>
            <w:vAlign w:val="center"/>
          </w:tcPr>
          <w:p w14:paraId="69E8BFFC" w14:textId="2502677E" w:rsidR="006F2939" w:rsidRPr="001E6FB0" w:rsidRDefault="006F2939" w:rsidP="00AC064F">
            <w:pPr>
              <w:contextualSpacing/>
              <w:jc w:val="center"/>
            </w:pPr>
            <w:r w:rsidRPr="001E6FB0">
              <w:t>1.5</w:t>
            </w:r>
          </w:p>
        </w:tc>
        <w:tc>
          <w:tcPr>
            <w:tcW w:w="997" w:type="dxa"/>
            <w:noWrap/>
            <w:vAlign w:val="center"/>
          </w:tcPr>
          <w:p w14:paraId="211A1CDC" w14:textId="68491BF8" w:rsidR="006F2939" w:rsidRPr="001E6FB0" w:rsidRDefault="006F2939" w:rsidP="00AC064F">
            <w:pPr>
              <w:contextualSpacing/>
              <w:jc w:val="center"/>
            </w:pPr>
            <w:r w:rsidRPr="001E6FB0">
              <w:t>1.1</w:t>
            </w:r>
          </w:p>
        </w:tc>
        <w:tc>
          <w:tcPr>
            <w:tcW w:w="222" w:type="dxa"/>
            <w:noWrap/>
            <w:vAlign w:val="center"/>
            <w:hideMark/>
          </w:tcPr>
          <w:p w14:paraId="01D1F67F" w14:textId="77777777" w:rsidR="006F2939" w:rsidRPr="001E6FB0" w:rsidRDefault="006F2939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6EEA200E" w14:textId="57C2F912" w:rsidR="006F2939" w:rsidRPr="001E6FB0" w:rsidRDefault="006F2939" w:rsidP="00AC064F">
            <w:pPr>
              <w:contextualSpacing/>
              <w:jc w:val="center"/>
            </w:pPr>
            <w:r w:rsidRPr="001E6FB0">
              <w:t>1.5</w:t>
            </w:r>
          </w:p>
        </w:tc>
        <w:tc>
          <w:tcPr>
            <w:tcW w:w="997" w:type="dxa"/>
            <w:noWrap/>
            <w:vAlign w:val="center"/>
          </w:tcPr>
          <w:p w14:paraId="26DCA297" w14:textId="6DDA0AAB" w:rsidR="006F2939" w:rsidRPr="001E6FB0" w:rsidRDefault="006F2939" w:rsidP="00AC064F">
            <w:pPr>
              <w:contextualSpacing/>
              <w:jc w:val="center"/>
            </w:pPr>
            <w:r w:rsidRPr="001E6FB0">
              <w:t>1.5</w:t>
            </w:r>
          </w:p>
        </w:tc>
        <w:tc>
          <w:tcPr>
            <w:tcW w:w="997" w:type="dxa"/>
            <w:noWrap/>
            <w:vAlign w:val="center"/>
          </w:tcPr>
          <w:p w14:paraId="79563BD1" w14:textId="60D827DF" w:rsidR="006F2939" w:rsidRPr="001E6FB0" w:rsidRDefault="006F2939" w:rsidP="00AC064F">
            <w:pPr>
              <w:contextualSpacing/>
              <w:jc w:val="center"/>
            </w:pPr>
            <w:r w:rsidRPr="001E6FB0">
              <w:t>1.8</w:t>
            </w:r>
          </w:p>
        </w:tc>
        <w:tc>
          <w:tcPr>
            <w:tcW w:w="997" w:type="dxa"/>
            <w:noWrap/>
            <w:vAlign w:val="center"/>
          </w:tcPr>
          <w:p w14:paraId="7C41AD45" w14:textId="5F7E897A" w:rsidR="006F2939" w:rsidRPr="001E6FB0" w:rsidRDefault="006F2939" w:rsidP="00AC064F">
            <w:pPr>
              <w:contextualSpacing/>
              <w:jc w:val="center"/>
            </w:pPr>
            <w:r w:rsidRPr="001E6FB0">
              <w:t>1.8</w:t>
            </w:r>
          </w:p>
        </w:tc>
      </w:tr>
      <w:tr w:rsidR="000F6AC6" w:rsidRPr="001E6FB0" w14:paraId="20226770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06CBAF94" w14:textId="77777777" w:rsidR="00415E2E" w:rsidRPr="001E6FB0" w:rsidRDefault="00415E2E" w:rsidP="00B93D27">
            <w:pPr>
              <w:contextualSpacing/>
            </w:pPr>
          </w:p>
        </w:tc>
        <w:tc>
          <w:tcPr>
            <w:tcW w:w="3060" w:type="dxa"/>
            <w:noWrap/>
            <w:vAlign w:val="center"/>
            <w:hideMark/>
          </w:tcPr>
          <w:p w14:paraId="4F1B773D" w14:textId="77777777" w:rsidR="00415E2E" w:rsidRPr="001E6FB0" w:rsidRDefault="00415E2E">
            <w:pPr>
              <w:contextualSpacing/>
            </w:pPr>
          </w:p>
        </w:tc>
        <w:tc>
          <w:tcPr>
            <w:tcW w:w="997" w:type="dxa"/>
            <w:noWrap/>
            <w:vAlign w:val="center"/>
          </w:tcPr>
          <w:p w14:paraId="6BBA3B05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6277232E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0F8D7900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4167ADF2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222" w:type="dxa"/>
            <w:noWrap/>
            <w:vAlign w:val="center"/>
            <w:hideMark/>
          </w:tcPr>
          <w:p w14:paraId="4188F88D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3EB418AF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1E23B4CA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5ADB5A3C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2C219A1F" w14:textId="77777777" w:rsidR="00415E2E" w:rsidRPr="001E6FB0" w:rsidRDefault="00415E2E" w:rsidP="00AC064F">
            <w:pPr>
              <w:contextualSpacing/>
              <w:jc w:val="center"/>
            </w:pPr>
          </w:p>
        </w:tc>
      </w:tr>
      <w:tr w:rsidR="006F2939" w:rsidRPr="001E6FB0" w14:paraId="7FD80347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62E6F4CC" w14:textId="77777777" w:rsidR="006F2939" w:rsidRPr="001E6FB0" w:rsidRDefault="006F2939" w:rsidP="006F2939">
            <w:pPr>
              <w:contextualSpacing/>
            </w:pPr>
            <w:r w:rsidRPr="001E6FB0">
              <w:t>MDC=5</w:t>
            </w:r>
          </w:p>
        </w:tc>
        <w:tc>
          <w:tcPr>
            <w:tcW w:w="3060" w:type="dxa"/>
            <w:noWrap/>
            <w:vAlign w:val="center"/>
            <w:hideMark/>
          </w:tcPr>
          <w:p w14:paraId="514A3064" w14:textId="77777777" w:rsidR="006F2939" w:rsidRPr="001E6FB0" w:rsidRDefault="006F2939" w:rsidP="006F2939">
            <w:pPr>
              <w:contextualSpacing/>
            </w:pPr>
            <w:r w:rsidRPr="001E6FB0">
              <w:t>age (mean)</w:t>
            </w:r>
          </w:p>
        </w:tc>
        <w:tc>
          <w:tcPr>
            <w:tcW w:w="997" w:type="dxa"/>
            <w:noWrap/>
            <w:vAlign w:val="center"/>
          </w:tcPr>
          <w:p w14:paraId="262F56F4" w14:textId="146CE3A4" w:rsidR="006F2939" w:rsidRPr="001E6FB0" w:rsidRDefault="006F2939" w:rsidP="00AC064F">
            <w:pPr>
              <w:contextualSpacing/>
              <w:jc w:val="center"/>
            </w:pPr>
            <w:r w:rsidRPr="001E6FB0">
              <w:t>78.6</w:t>
            </w:r>
          </w:p>
        </w:tc>
        <w:tc>
          <w:tcPr>
            <w:tcW w:w="997" w:type="dxa"/>
            <w:noWrap/>
            <w:vAlign w:val="center"/>
          </w:tcPr>
          <w:p w14:paraId="01279454" w14:textId="3065C7A5" w:rsidR="006F2939" w:rsidRPr="001E6FB0" w:rsidRDefault="006F2939" w:rsidP="00AC064F">
            <w:pPr>
              <w:contextualSpacing/>
              <w:jc w:val="center"/>
            </w:pPr>
            <w:r w:rsidRPr="001E6FB0">
              <w:t>79.4</w:t>
            </w:r>
          </w:p>
        </w:tc>
        <w:tc>
          <w:tcPr>
            <w:tcW w:w="997" w:type="dxa"/>
            <w:noWrap/>
            <w:vAlign w:val="center"/>
          </w:tcPr>
          <w:p w14:paraId="66720B24" w14:textId="4BA8E034" w:rsidR="006F2939" w:rsidRPr="001E6FB0" w:rsidRDefault="006F2939" w:rsidP="00AC064F">
            <w:pPr>
              <w:contextualSpacing/>
              <w:jc w:val="center"/>
            </w:pPr>
            <w:r w:rsidRPr="001E6FB0">
              <w:t>79.9</w:t>
            </w:r>
          </w:p>
        </w:tc>
        <w:tc>
          <w:tcPr>
            <w:tcW w:w="997" w:type="dxa"/>
            <w:noWrap/>
            <w:vAlign w:val="center"/>
          </w:tcPr>
          <w:p w14:paraId="40225FDC" w14:textId="28AE0DDF" w:rsidR="006F2939" w:rsidRPr="001E6FB0" w:rsidRDefault="006F2939" w:rsidP="00AC064F">
            <w:pPr>
              <w:contextualSpacing/>
              <w:jc w:val="center"/>
            </w:pPr>
            <w:r w:rsidRPr="001E6FB0">
              <w:t>79.4</w:t>
            </w:r>
          </w:p>
        </w:tc>
        <w:tc>
          <w:tcPr>
            <w:tcW w:w="222" w:type="dxa"/>
            <w:noWrap/>
            <w:vAlign w:val="center"/>
            <w:hideMark/>
          </w:tcPr>
          <w:p w14:paraId="01C462ED" w14:textId="77777777" w:rsidR="006F2939" w:rsidRPr="001E6FB0" w:rsidRDefault="006F2939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6613D611" w14:textId="3856FBD4" w:rsidR="006F2939" w:rsidRPr="001E6FB0" w:rsidRDefault="006F2939" w:rsidP="00AC064F">
            <w:pPr>
              <w:contextualSpacing/>
              <w:jc w:val="center"/>
            </w:pPr>
            <w:r w:rsidRPr="001E6FB0">
              <w:t>79.3</w:t>
            </w:r>
          </w:p>
        </w:tc>
        <w:tc>
          <w:tcPr>
            <w:tcW w:w="997" w:type="dxa"/>
            <w:noWrap/>
            <w:vAlign w:val="center"/>
          </w:tcPr>
          <w:p w14:paraId="22083E52" w14:textId="7C07C95B" w:rsidR="006F2939" w:rsidRPr="001E6FB0" w:rsidRDefault="006F2939" w:rsidP="00AC064F">
            <w:pPr>
              <w:contextualSpacing/>
              <w:jc w:val="center"/>
            </w:pPr>
            <w:r w:rsidRPr="001E6FB0">
              <w:t>79.4</w:t>
            </w:r>
          </w:p>
        </w:tc>
        <w:tc>
          <w:tcPr>
            <w:tcW w:w="997" w:type="dxa"/>
            <w:noWrap/>
            <w:vAlign w:val="center"/>
          </w:tcPr>
          <w:p w14:paraId="314B88BC" w14:textId="51C4A3FD" w:rsidR="006F2939" w:rsidRPr="001E6FB0" w:rsidRDefault="006F2939" w:rsidP="00AC064F">
            <w:pPr>
              <w:contextualSpacing/>
              <w:jc w:val="center"/>
            </w:pPr>
            <w:r w:rsidRPr="001E6FB0">
              <w:t>79.2</w:t>
            </w:r>
          </w:p>
        </w:tc>
        <w:tc>
          <w:tcPr>
            <w:tcW w:w="997" w:type="dxa"/>
            <w:noWrap/>
            <w:vAlign w:val="center"/>
          </w:tcPr>
          <w:p w14:paraId="39C96FEF" w14:textId="7FD40B61" w:rsidR="006F2939" w:rsidRPr="001E6FB0" w:rsidRDefault="006F2939" w:rsidP="00AC064F">
            <w:pPr>
              <w:contextualSpacing/>
              <w:jc w:val="center"/>
            </w:pPr>
            <w:r w:rsidRPr="001E6FB0">
              <w:t>79.4</w:t>
            </w:r>
          </w:p>
        </w:tc>
      </w:tr>
      <w:tr w:rsidR="006F2939" w:rsidRPr="001E6FB0" w14:paraId="09E038A0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1D02CABC" w14:textId="77777777" w:rsidR="006F2939" w:rsidRPr="001E6FB0" w:rsidRDefault="006F2939" w:rsidP="006F2939">
            <w:pPr>
              <w:contextualSpacing/>
            </w:pPr>
          </w:p>
        </w:tc>
        <w:tc>
          <w:tcPr>
            <w:tcW w:w="3060" w:type="dxa"/>
            <w:noWrap/>
            <w:vAlign w:val="center"/>
            <w:hideMark/>
          </w:tcPr>
          <w:p w14:paraId="0F283F3A" w14:textId="77777777" w:rsidR="006F2939" w:rsidRPr="001E6FB0" w:rsidRDefault="006F2939" w:rsidP="006F2939">
            <w:pPr>
              <w:contextualSpacing/>
            </w:pPr>
            <w:proofErr w:type="gramStart"/>
            <w:r w:rsidRPr="001E6FB0">
              <w:t>male</w:t>
            </w:r>
            <w:proofErr w:type="gramEnd"/>
            <w:r w:rsidRPr="001E6FB0">
              <w:t xml:space="preserve"> (%)</w:t>
            </w:r>
          </w:p>
        </w:tc>
        <w:tc>
          <w:tcPr>
            <w:tcW w:w="997" w:type="dxa"/>
            <w:noWrap/>
            <w:vAlign w:val="center"/>
          </w:tcPr>
          <w:p w14:paraId="160E5F00" w14:textId="04C58CB7" w:rsidR="006F2939" w:rsidRPr="001E6FB0" w:rsidRDefault="006F2939" w:rsidP="00AC064F">
            <w:pPr>
              <w:contextualSpacing/>
              <w:jc w:val="center"/>
            </w:pPr>
            <w:r w:rsidRPr="001E6FB0">
              <w:t>46.6</w:t>
            </w:r>
          </w:p>
        </w:tc>
        <w:tc>
          <w:tcPr>
            <w:tcW w:w="997" w:type="dxa"/>
            <w:noWrap/>
            <w:vAlign w:val="center"/>
          </w:tcPr>
          <w:p w14:paraId="405F4F0D" w14:textId="29B4015A" w:rsidR="006F2939" w:rsidRPr="001E6FB0" w:rsidRDefault="006F2939" w:rsidP="00AC064F">
            <w:pPr>
              <w:contextualSpacing/>
              <w:jc w:val="center"/>
            </w:pPr>
            <w:r w:rsidRPr="001E6FB0">
              <w:t>45.2</w:t>
            </w:r>
          </w:p>
        </w:tc>
        <w:tc>
          <w:tcPr>
            <w:tcW w:w="997" w:type="dxa"/>
            <w:noWrap/>
            <w:vAlign w:val="center"/>
          </w:tcPr>
          <w:p w14:paraId="23688D93" w14:textId="79A4AE5C" w:rsidR="006F2939" w:rsidRPr="001E6FB0" w:rsidRDefault="006F2939" w:rsidP="00AC064F">
            <w:pPr>
              <w:contextualSpacing/>
              <w:jc w:val="center"/>
            </w:pPr>
            <w:r w:rsidRPr="001E6FB0">
              <w:t>44.1</w:t>
            </w:r>
          </w:p>
        </w:tc>
        <w:tc>
          <w:tcPr>
            <w:tcW w:w="997" w:type="dxa"/>
            <w:noWrap/>
            <w:vAlign w:val="center"/>
          </w:tcPr>
          <w:p w14:paraId="7D0C10CC" w14:textId="3DC2095E" w:rsidR="006F2939" w:rsidRPr="001E6FB0" w:rsidRDefault="006F2939" w:rsidP="00AC064F">
            <w:pPr>
              <w:contextualSpacing/>
              <w:jc w:val="center"/>
            </w:pPr>
            <w:r w:rsidRPr="001E6FB0">
              <w:t>45.1</w:t>
            </w:r>
          </w:p>
        </w:tc>
        <w:tc>
          <w:tcPr>
            <w:tcW w:w="222" w:type="dxa"/>
            <w:noWrap/>
            <w:vAlign w:val="center"/>
            <w:hideMark/>
          </w:tcPr>
          <w:p w14:paraId="52ED5E7D" w14:textId="77777777" w:rsidR="006F2939" w:rsidRPr="001E6FB0" w:rsidRDefault="006F2939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774ECF54" w14:textId="57EE1E0F" w:rsidR="006F2939" w:rsidRPr="001E6FB0" w:rsidRDefault="006F2939" w:rsidP="00AC064F">
            <w:pPr>
              <w:contextualSpacing/>
              <w:jc w:val="center"/>
            </w:pPr>
            <w:r w:rsidRPr="001E6FB0">
              <w:t>46.1</w:t>
            </w:r>
          </w:p>
        </w:tc>
        <w:tc>
          <w:tcPr>
            <w:tcW w:w="997" w:type="dxa"/>
            <w:noWrap/>
            <w:vAlign w:val="center"/>
          </w:tcPr>
          <w:p w14:paraId="2574B544" w14:textId="65040727" w:rsidR="006F2939" w:rsidRPr="001E6FB0" w:rsidRDefault="006F2939" w:rsidP="00AC064F">
            <w:pPr>
              <w:contextualSpacing/>
              <w:jc w:val="center"/>
            </w:pPr>
            <w:r w:rsidRPr="001E6FB0">
              <w:t>44.9</w:t>
            </w:r>
          </w:p>
        </w:tc>
        <w:tc>
          <w:tcPr>
            <w:tcW w:w="997" w:type="dxa"/>
            <w:noWrap/>
            <w:vAlign w:val="center"/>
          </w:tcPr>
          <w:p w14:paraId="095AACFA" w14:textId="66935DF9" w:rsidR="006F2939" w:rsidRPr="001E6FB0" w:rsidRDefault="006F2939" w:rsidP="00AC064F">
            <w:pPr>
              <w:contextualSpacing/>
              <w:jc w:val="center"/>
            </w:pPr>
            <w:r w:rsidRPr="001E6FB0">
              <w:t>44.6</w:t>
            </w:r>
          </w:p>
        </w:tc>
        <w:tc>
          <w:tcPr>
            <w:tcW w:w="997" w:type="dxa"/>
            <w:noWrap/>
            <w:vAlign w:val="center"/>
          </w:tcPr>
          <w:p w14:paraId="76AA99EE" w14:textId="3E890E7F" w:rsidR="006F2939" w:rsidRPr="001E6FB0" w:rsidRDefault="006F2939" w:rsidP="00AC064F">
            <w:pPr>
              <w:contextualSpacing/>
              <w:jc w:val="center"/>
            </w:pPr>
            <w:r w:rsidRPr="001E6FB0">
              <w:t>44.3</w:t>
            </w:r>
          </w:p>
        </w:tc>
      </w:tr>
      <w:tr w:rsidR="006F2939" w:rsidRPr="001E6FB0" w14:paraId="18DA49DF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79E8FAA8" w14:textId="77777777" w:rsidR="006F2939" w:rsidRPr="001E6FB0" w:rsidRDefault="006F2939" w:rsidP="006F2939">
            <w:pPr>
              <w:contextualSpacing/>
            </w:pPr>
          </w:p>
        </w:tc>
        <w:tc>
          <w:tcPr>
            <w:tcW w:w="3060" w:type="dxa"/>
            <w:vAlign w:val="center"/>
            <w:hideMark/>
          </w:tcPr>
          <w:p w14:paraId="79E5097F" w14:textId="77777777" w:rsidR="006F2939" w:rsidRPr="001E6FB0" w:rsidRDefault="006F2939" w:rsidP="006F2939">
            <w:pPr>
              <w:contextualSpacing/>
            </w:pPr>
            <w:proofErr w:type="gramStart"/>
            <w:r w:rsidRPr="001E6FB0">
              <w:t>multiple</w:t>
            </w:r>
            <w:proofErr w:type="gramEnd"/>
            <w:r w:rsidRPr="001E6FB0">
              <w:t xml:space="preserve"> organ failure (%)</w:t>
            </w:r>
          </w:p>
        </w:tc>
        <w:tc>
          <w:tcPr>
            <w:tcW w:w="997" w:type="dxa"/>
            <w:noWrap/>
            <w:vAlign w:val="center"/>
          </w:tcPr>
          <w:p w14:paraId="62AA40C0" w14:textId="2AFDED56" w:rsidR="006F2939" w:rsidRPr="001E6FB0" w:rsidRDefault="006F2939" w:rsidP="00AC064F">
            <w:pPr>
              <w:contextualSpacing/>
              <w:jc w:val="center"/>
            </w:pPr>
            <w:r w:rsidRPr="001E6FB0">
              <w:t>27.4</w:t>
            </w:r>
          </w:p>
        </w:tc>
        <w:tc>
          <w:tcPr>
            <w:tcW w:w="997" w:type="dxa"/>
            <w:noWrap/>
            <w:vAlign w:val="center"/>
          </w:tcPr>
          <w:p w14:paraId="3882EA14" w14:textId="6A86D5DB" w:rsidR="006F2939" w:rsidRPr="001E6FB0" w:rsidRDefault="006F2939" w:rsidP="00AC064F">
            <w:pPr>
              <w:contextualSpacing/>
              <w:jc w:val="center"/>
            </w:pPr>
            <w:r w:rsidRPr="001E6FB0">
              <w:t>27.6</w:t>
            </w:r>
          </w:p>
        </w:tc>
        <w:tc>
          <w:tcPr>
            <w:tcW w:w="997" w:type="dxa"/>
            <w:noWrap/>
            <w:vAlign w:val="center"/>
          </w:tcPr>
          <w:p w14:paraId="115AE36D" w14:textId="51C715B0" w:rsidR="006F2939" w:rsidRPr="001E6FB0" w:rsidRDefault="006F2939" w:rsidP="00AC064F">
            <w:pPr>
              <w:contextualSpacing/>
              <w:jc w:val="center"/>
            </w:pPr>
            <w:r w:rsidRPr="001E6FB0">
              <w:t>27.9</w:t>
            </w:r>
          </w:p>
        </w:tc>
        <w:tc>
          <w:tcPr>
            <w:tcW w:w="997" w:type="dxa"/>
            <w:noWrap/>
            <w:vAlign w:val="center"/>
          </w:tcPr>
          <w:p w14:paraId="66D37E20" w14:textId="5D97E6B0" w:rsidR="006F2939" w:rsidRPr="001E6FB0" w:rsidRDefault="006F2939" w:rsidP="00AC064F">
            <w:pPr>
              <w:contextualSpacing/>
              <w:jc w:val="center"/>
            </w:pPr>
            <w:r w:rsidRPr="001E6FB0">
              <w:t>26.9</w:t>
            </w:r>
          </w:p>
        </w:tc>
        <w:tc>
          <w:tcPr>
            <w:tcW w:w="222" w:type="dxa"/>
            <w:noWrap/>
            <w:vAlign w:val="center"/>
            <w:hideMark/>
          </w:tcPr>
          <w:p w14:paraId="5A9A6DEF" w14:textId="77777777" w:rsidR="006F2939" w:rsidRPr="001E6FB0" w:rsidRDefault="006F2939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717861A2" w14:textId="2779E167" w:rsidR="006F2939" w:rsidRPr="001E6FB0" w:rsidRDefault="006F2939" w:rsidP="00AC064F">
            <w:pPr>
              <w:contextualSpacing/>
              <w:jc w:val="center"/>
            </w:pPr>
            <w:r w:rsidRPr="001E6FB0">
              <w:t>26.9</w:t>
            </w:r>
          </w:p>
        </w:tc>
        <w:tc>
          <w:tcPr>
            <w:tcW w:w="997" w:type="dxa"/>
            <w:noWrap/>
            <w:vAlign w:val="center"/>
          </w:tcPr>
          <w:p w14:paraId="32466EB3" w14:textId="09C902BD" w:rsidR="006F2939" w:rsidRPr="001E6FB0" w:rsidRDefault="006F2939" w:rsidP="00AC064F">
            <w:pPr>
              <w:contextualSpacing/>
              <w:jc w:val="center"/>
            </w:pPr>
            <w:r w:rsidRPr="001E6FB0">
              <w:t>27.5</w:t>
            </w:r>
          </w:p>
        </w:tc>
        <w:tc>
          <w:tcPr>
            <w:tcW w:w="997" w:type="dxa"/>
            <w:noWrap/>
            <w:vAlign w:val="center"/>
          </w:tcPr>
          <w:p w14:paraId="5311A3C4" w14:textId="7F7AC9B9" w:rsidR="006F2939" w:rsidRPr="001E6FB0" w:rsidRDefault="006F2939" w:rsidP="00AC064F">
            <w:pPr>
              <w:contextualSpacing/>
              <w:jc w:val="center"/>
            </w:pPr>
            <w:r w:rsidRPr="001E6FB0">
              <w:t>28.0</w:t>
            </w:r>
          </w:p>
        </w:tc>
        <w:tc>
          <w:tcPr>
            <w:tcW w:w="997" w:type="dxa"/>
            <w:noWrap/>
            <w:vAlign w:val="center"/>
          </w:tcPr>
          <w:p w14:paraId="66C46EC4" w14:textId="2499BFD6" w:rsidR="006F2939" w:rsidRPr="001E6FB0" w:rsidRDefault="006F2939" w:rsidP="00AC064F">
            <w:pPr>
              <w:contextualSpacing/>
              <w:jc w:val="center"/>
            </w:pPr>
            <w:r w:rsidRPr="001E6FB0">
              <w:t>28.2</w:t>
            </w:r>
          </w:p>
        </w:tc>
      </w:tr>
      <w:tr w:rsidR="006F2939" w:rsidRPr="001E6FB0" w14:paraId="710A83F7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09509C5F" w14:textId="77777777" w:rsidR="006F2939" w:rsidRPr="001E6FB0" w:rsidRDefault="006F2939" w:rsidP="006F2939">
            <w:pPr>
              <w:contextualSpacing/>
            </w:pPr>
          </w:p>
        </w:tc>
        <w:tc>
          <w:tcPr>
            <w:tcW w:w="3060" w:type="dxa"/>
            <w:vAlign w:val="center"/>
            <w:hideMark/>
          </w:tcPr>
          <w:p w14:paraId="748BB05D" w14:textId="77777777" w:rsidR="006F2939" w:rsidRPr="001E6FB0" w:rsidRDefault="006F2939" w:rsidP="006F2939">
            <w:pPr>
              <w:contextualSpacing/>
            </w:pPr>
            <w:r w:rsidRPr="001E6FB0">
              <w:t>days in ICU/CCU (mean)</w:t>
            </w:r>
          </w:p>
        </w:tc>
        <w:tc>
          <w:tcPr>
            <w:tcW w:w="997" w:type="dxa"/>
            <w:noWrap/>
            <w:vAlign w:val="center"/>
          </w:tcPr>
          <w:p w14:paraId="2DF9E768" w14:textId="3961315C" w:rsidR="006F2939" w:rsidRPr="001E6FB0" w:rsidRDefault="006F2939" w:rsidP="00AC064F">
            <w:pPr>
              <w:contextualSpacing/>
              <w:jc w:val="center"/>
            </w:pPr>
            <w:r w:rsidRPr="001E6FB0">
              <w:t>2.4</w:t>
            </w:r>
          </w:p>
        </w:tc>
        <w:tc>
          <w:tcPr>
            <w:tcW w:w="997" w:type="dxa"/>
            <w:noWrap/>
            <w:vAlign w:val="center"/>
          </w:tcPr>
          <w:p w14:paraId="672F51ED" w14:textId="60AF6E3C" w:rsidR="006F2939" w:rsidRPr="001E6FB0" w:rsidRDefault="006F2939" w:rsidP="00AC064F">
            <w:pPr>
              <w:contextualSpacing/>
              <w:jc w:val="center"/>
            </w:pPr>
            <w:r w:rsidRPr="001E6FB0">
              <w:t>2.5</w:t>
            </w:r>
          </w:p>
        </w:tc>
        <w:tc>
          <w:tcPr>
            <w:tcW w:w="997" w:type="dxa"/>
            <w:noWrap/>
            <w:vAlign w:val="center"/>
          </w:tcPr>
          <w:p w14:paraId="1D66E670" w14:textId="4524EF81" w:rsidR="006F2939" w:rsidRPr="001E6FB0" w:rsidRDefault="006F2939" w:rsidP="00AC064F">
            <w:pPr>
              <w:contextualSpacing/>
              <w:jc w:val="center"/>
            </w:pPr>
            <w:r w:rsidRPr="001E6FB0">
              <w:t>2.3</w:t>
            </w:r>
          </w:p>
        </w:tc>
        <w:tc>
          <w:tcPr>
            <w:tcW w:w="997" w:type="dxa"/>
            <w:noWrap/>
            <w:vAlign w:val="center"/>
          </w:tcPr>
          <w:p w14:paraId="0FA31B66" w14:textId="3504FD6F" w:rsidR="006F2939" w:rsidRPr="001E6FB0" w:rsidRDefault="006F2939" w:rsidP="00AC064F">
            <w:pPr>
              <w:contextualSpacing/>
              <w:jc w:val="center"/>
            </w:pPr>
            <w:r w:rsidRPr="001E6FB0">
              <w:t>1.8</w:t>
            </w:r>
          </w:p>
        </w:tc>
        <w:tc>
          <w:tcPr>
            <w:tcW w:w="222" w:type="dxa"/>
            <w:noWrap/>
            <w:vAlign w:val="center"/>
            <w:hideMark/>
          </w:tcPr>
          <w:p w14:paraId="7F5EE12E" w14:textId="77777777" w:rsidR="006F2939" w:rsidRPr="001E6FB0" w:rsidRDefault="006F2939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75F1ACB3" w14:textId="1B7B4F70" w:rsidR="006F2939" w:rsidRPr="001E6FB0" w:rsidRDefault="006F2939" w:rsidP="00AC064F">
            <w:pPr>
              <w:contextualSpacing/>
              <w:jc w:val="center"/>
            </w:pPr>
            <w:r w:rsidRPr="001E6FB0">
              <w:t>2.1</w:t>
            </w:r>
          </w:p>
        </w:tc>
        <w:tc>
          <w:tcPr>
            <w:tcW w:w="997" w:type="dxa"/>
            <w:noWrap/>
            <w:vAlign w:val="center"/>
          </w:tcPr>
          <w:p w14:paraId="537B4D21" w14:textId="64A3336F" w:rsidR="006F2939" w:rsidRPr="001E6FB0" w:rsidRDefault="006F2939" w:rsidP="00AC064F">
            <w:pPr>
              <w:contextualSpacing/>
              <w:jc w:val="center"/>
            </w:pPr>
            <w:r w:rsidRPr="001E6FB0">
              <w:t>2.2</w:t>
            </w:r>
          </w:p>
        </w:tc>
        <w:tc>
          <w:tcPr>
            <w:tcW w:w="997" w:type="dxa"/>
            <w:noWrap/>
            <w:vAlign w:val="center"/>
          </w:tcPr>
          <w:p w14:paraId="3C4ADFCD" w14:textId="63F9088E" w:rsidR="006F2939" w:rsidRPr="001E6FB0" w:rsidRDefault="006F2939" w:rsidP="00AC064F">
            <w:pPr>
              <w:contextualSpacing/>
              <w:jc w:val="center"/>
            </w:pPr>
            <w:r w:rsidRPr="001E6FB0">
              <w:t>2.5</w:t>
            </w:r>
          </w:p>
        </w:tc>
        <w:tc>
          <w:tcPr>
            <w:tcW w:w="997" w:type="dxa"/>
            <w:noWrap/>
            <w:vAlign w:val="center"/>
          </w:tcPr>
          <w:p w14:paraId="1F789C22" w14:textId="63CA2A9E" w:rsidR="006F2939" w:rsidRPr="001E6FB0" w:rsidRDefault="006F2939" w:rsidP="00AC064F">
            <w:pPr>
              <w:contextualSpacing/>
              <w:jc w:val="center"/>
            </w:pPr>
            <w:r w:rsidRPr="001E6FB0">
              <w:t>2.4</w:t>
            </w:r>
          </w:p>
        </w:tc>
      </w:tr>
      <w:tr w:rsidR="000F6AC6" w:rsidRPr="001E6FB0" w14:paraId="55957131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3B757CBD" w14:textId="77777777" w:rsidR="00415E2E" w:rsidRPr="001E6FB0" w:rsidRDefault="00415E2E" w:rsidP="00B93D27">
            <w:pPr>
              <w:contextualSpacing/>
            </w:pPr>
          </w:p>
        </w:tc>
        <w:tc>
          <w:tcPr>
            <w:tcW w:w="3060" w:type="dxa"/>
            <w:noWrap/>
            <w:vAlign w:val="center"/>
            <w:hideMark/>
          </w:tcPr>
          <w:p w14:paraId="253F289E" w14:textId="77777777" w:rsidR="00415E2E" w:rsidRPr="001E6FB0" w:rsidRDefault="00415E2E">
            <w:pPr>
              <w:contextualSpacing/>
            </w:pPr>
          </w:p>
        </w:tc>
        <w:tc>
          <w:tcPr>
            <w:tcW w:w="997" w:type="dxa"/>
            <w:noWrap/>
            <w:vAlign w:val="center"/>
          </w:tcPr>
          <w:p w14:paraId="0305F398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165EB88E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4ADAEB1E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4B7AABF9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222" w:type="dxa"/>
            <w:noWrap/>
            <w:vAlign w:val="center"/>
            <w:hideMark/>
          </w:tcPr>
          <w:p w14:paraId="3C2453A3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58A9686F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76184A74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1CED4612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55A5D2D1" w14:textId="77777777" w:rsidR="00415E2E" w:rsidRPr="001E6FB0" w:rsidRDefault="00415E2E" w:rsidP="00AC064F">
            <w:pPr>
              <w:contextualSpacing/>
              <w:jc w:val="center"/>
            </w:pPr>
          </w:p>
        </w:tc>
      </w:tr>
      <w:tr w:rsidR="006F2939" w:rsidRPr="001E6FB0" w14:paraId="224F7828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612459C3" w14:textId="77777777" w:rsidR="006F2939" w:rsidRPr="001E6FB0" w:rsidRDefault="006F2939" w:rsidP="006F2939">
            <w:pPr>
              <w:contextualSpacing/>
            </w:pPr>
            <w:r w:rsidRPr="001E6FB0">
              <w:t>MDC=6</w:t>
            </w:r>
          </w:p>
        </w:tc>
        <w:tc>
          <w:tcPr>
            <w:tcW w:w="3060" w:type="dxa"/>
            <w:noWrap/>
            <w:vAlign w:val="center"/>
            <w:hideMark/>
          </w:tcPr>
          <w:p w14:paraId="4A947C6F" w14:textId="77777777" w:rsidR="006F2939" w:rsidRPr="001E6FB0" w:rsidRDefault="006F2939" w:rsidP="006F2939">
            <w:pPr>
              <w:contextualSpacing/>
            </w:pPr>
            <w:r w:rsidRPr="001E6FB0">
              <w:t>age (mean)</w:t>
            </w:r>
          </w:p>
        </w:tc>
        <w:tc>
          <w:tcPr>
            <w:tcW w:w="997" w:type="dxa"/>
            <w:noWrap/>
            <w:vAlign w:val="center"/>
          </w:tcPr>
          <w:p w14:paraId="3D768C0F" w14:textId="5DD1D2FA" w:rsidR="006F2939" w:rsidRPr="001E6FB0" w:rsidRDefault="006F2939" w:rsidP="00AC064F">
            <w:pPr>
              <w:contextualSpacing/>
              <w:jc w:val="center"/>
            </w:pPr>
            <w:r w:rsidRPr="001E6FB0">
              <w:t>78.6</w:t>
            </w:r>
          </w:p>
        </w:tc>
        <w:tc>
          <w:tcPr>
            <w:tcW w:w="997" w:type="dxa"/>
            <w:noWrap/>
            <w:vAlign w:val="center"/>
          </w:tcPr>
          <w:p w14:paraId="07E7FE35" w14:textId="5597AA05" w:rsidR="006F2939" w:rsidRPr="001E6FB0" w:rsidRDefault="006F2939" w:rsidP="00AC064F">
            <w:pPr>
              <w:contextualSpacing/>
              <w:jc w:val="center"/>
            </w:pPr>
            <w:r w:rsidRPr="001E6FB0">
              <w:t>79.4</w:t>
            </w:r>
          </w:p>
        </w:tc>
        <w:tc>
          <w:tcPr>
            <w:tcW w:w="997" w:type="dxa"/>
            <w:noWrap/>
            <w:vAlign w:val="center"/>
          </w:tcPr>
          <w:p w14:paraId="6A0FFA2A" w14:textId="36625C8E" w:rsidR="006F2939" w:rsidRPr="001E6FB0" w:rsidRDefault="006F2939" w:rsidP="00AC064F">
            <w:pPr>
              <w:contextualSpacing/>
              <w:jc w:val="center"/>
            </w:pPr>
            <w:r w:rsidRPr="001E6FB0">
              <w:t>79.4</w:t>
            </w:r>
          </w:p>
        </w:tc>
        <w:tc>
          <w:tcPr>
            <w:tcW w:w="997" w:type="dxa"/>
            <w:noWrap/>
            <w:vAlign w:val="center"/>
          </w:tcPr>
          <w:p w14:paraId="01FCFEF8" w14:textId="76858C26" w:rsidR="006F2939" w:rsidRPr="001E6FB0" w:rsidRDefault="006F2939" w:rsidP="00AC064F">
            <w:pPr>
              <w:contextualSpacing/>
              <w:jc w:val="center"/>
            </w:pPr>
            <w:r w:rsidRPr="001E6FB0">
              <w:t>79.0</w:t>
            </w:r>
          </w:p>
        </w:tc>
        <w:tc>
          <w:tcPr>
            <w:tcW w:w="222" w:type="dxa"/>
            <w:noWrap/>
            <w:vAlign w:val="center"/>
            <w:hideMark/>
          </w:tcPr>
          <w:p w14:paraId="61CE1E2C" w14:textId="77777777" w:rsidR="006F2939" w:rsidRPr="001E6FB0" w:rsidRDefault="006F2939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3B687306" w14:textId="7C5E8277" w:rsidR="006F2939" w:rsidRPr="001E6FB0" w:rsidRDefault="006F2939" w:rsidP="00AC064F">
            <w:pPr>
              <w:contextualSpacing/>
              <w:jc w:val="center"/>
            </w:pPr>
            <w:r w:rsidRPr="001E6FB0">
              <w:t>79.1</w:t>
            </w:r>
          </w:p>
        </w:tc>
        <w:tc>
          <w:tcPr>
            <w:tcW w:w="997" w:type="dxa"/>
            <w:noWrap/>
            <w:vAlign w:val="center"/>
          </w:tcPr>
          <w:p w14:paraId="31119362" w14:textId="50C00864" w:rsidR="006F2939" w:rsidRPr="001E6FB0" w:rsidRDefault="006F2939" w:rsidP="00AC064F">
            <w:pPr>
              <w:contextualSpacing/>
              <w:jc w:val="center"/>
            </w:pPr>
            <w:r w:rsidRPr="001E6FB0">
              <w:t>79.2</w:t>
            </w:r>
          </w:p>
        </w:tc>
        <w:tc>
          <w:tcPr>
            <w:tcW w:w="997" w:type="dxa"/>
            <w:noWrap/>
            <w:vAlign w:val="center"/>
          </w:tcPr>
          <w:p w14:paraId="0A4FE727" w14:textId="720EB33A" w:rsidR="006F2939" w:rsidRPr="001E6FB0" w:rsidRDefault="006F2939" w:rsidP="00AC064F">
            <w:pPr>
              <w:contextualSpacing/>
              <w:jc w:val="center"/>
            </w:pPr>
            <w:r w:rsidRPr="001E6FB0">
              <w:t>79.0</w:t>
            </w:r>
          </w:p>
        </w:tc>
        <w:tc>
          <w:tcPr>
            <w:tcW w:w="997" w:type="dxa"/>
            <w:noWrap/>
            <w:vAlign w:val="center"/>
          </w:tcPr>
          <w:p w14:paraId="366380C3" w14:textId="38FE9C2D" w:rsidR="006F2939" w:rsidRPr="001E6FB0" w:rsidRDefault="006F2939" w:rsidP="00AC064F">
            <w:pPr>
              <w:contextualSpacing/>
              <w:jc w:val="center"/>
            </w:pPr>
            <w:r w:rsidRPr="001E6FB0">
              <w:t>79.1</w:t>
            </w:r>
          </w:p>
        </w:tc>
      </w:tr>
      <w:tr w:rsidR="006F2939" w:rsidRPr="001E6FB0" w14:paraId="652EE3A3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5DC15CAA" w14:textId="77777777" w:rsidR="006F2939" w:rsidRPr="001E6FB0" w:rsidRDefault="006F2939" w:rsidP="006F2939">
            <w:pPr>
              <w:contextualSpacing/>
            </w:pPr>
          </w:p>
        </w:tc>
        <w:tc>
          <w:tcPr>
            <w:tcW w:w="3060" w:type="dxa"/>
            <w:noWrap/>
            <w:vAlign w:val="center"/>
            <w:hideMark/>
          </w:tcPr>
          <w:p w14:paraId="5E0CC032" w14:textId="77777777" w:rsidR="006F2939" w:rsidRPr="001E6FB0" w:rsidRDefault="006F2939" w:rsidP="006F2939">
            <w:pPr>
              <w:contextualSpacing/>
            </w:pPr>
            <w:proofErr w:type="gramStart"/>
            <w:r w:rsidRPr="001E6FB0">
              <w:t>male</w:t>
            </w:r>
            <w:proofErr w:type="gramEnd"/>
            <w:r w:rsidRPr="001E6FB0">
              <w:t xml:space="preserve"> (%)</w:t>
            </w:r>
          </w:p>
        </w:tc>
        <w:tc>
          <w:tcPr>
            <w:tcW w:w="997" w:type="dxa"/>
            <w:noWrap/>
            <w:vAlign w:val="center"/>
          </w:tcPr>
          <w:p w14:paraId="2A362139" w14:textId="1ABA379A" w:rsidR="006F2939" w:rsidRPr="001E6FB0" w:rsidRDefault="006F2939" w:rsidP="00AC064F">
            <w:pPr>
              <w:contextualSpacing/>
              <w:jc w:val="center"/>
            </w:pPr>
            <w:r w:rsidRPr="001E6FB0">
              <w:t>38.2</w:t>
            </w:r>
          </w:p>
        </w:tc>
        <w:tc>
          <w:tcPr>
            <w:tcW w:w="997" w:type="dxa"/>
            <w:noWrap/>
            <w:vAlign w:val="center"/>
          </w:tcPr>
          <w:p w14:paraId="79A54020" w14:textId="74F3CCD5" w:rsidR="006F2939" w:rsidRPr="001E6FB0" w:rsidRDefault="006F2939" w:rsidP="00AC064F">
            <w:pPr>
              <w:contextualSpacing/>
              <w:jc w:val="center"/>
            </w:pPr>
            <w:r w:rsidRPr="001E6FB0">
              <w:t>37.3</w:t>
            </w:r>
          </w:p>
        </w:tc>
        <w:tc>
          <w:tcPr>
            <w:tcW w:w="997" w:type="dxa"/>
            <w:noWrap/>
            <w:vAlign w:val="center"/>
          </w:tcPr>
          <w:p w14:paraId="539A0336" w14:textId="480608EE" w:rsidR="006F2939" w:rsidRPr="001E6FB0" w:rsidRDefault="006F2939" w:rsidP="00AC064F">
            <w:pPr>
              <w:contextualSpacing/>
              <w:jc w:val="center"/>
            </w:pPr>
            <w:r w:rsidRPr="001E6FB0">
              <w:t>37.3</w:t>
            </w:r>
          </w:p>
        </w:tc>
        <w:tc>
          <w:tcPr>
            <w:tcW w:w="997" w:type="dxa"/>
            <w:noWrap/>
            <w:vAlign w:val="center"/>
          </w:tcPr>
          <w:p w14:paraId="567A048F" w14:textId="2A916E8D" w:rsidR="006F2939" w:rsidRPr="001E6FB0" w:rsidRDefault="006F2939" w:rsidP="00AC064F">
            <w:pPr>
              <w:contextualSpacing/>
              <w:jc w:val="center"/>
            </w:pPr>
            <w:r w:rsidRPr="001E6FB0">
              <w:t>38.8</w:t>
            </w:r>
          </w:p>
        </w:tc>
        <w:tc>
          <w:tcPr>
            <w:tcW w:w="222" w:type="dxa"/>
            <w:noWrap/>
            <w:vAlign w:val="center"/>
            <w:hideMark/>
          </w:tcPr>
          <w:p w14:paraId="220DC8E7" w14:textId="77777777" w:rsidR="006F2939" w:rsidRPr="001E6FB0" w:rsidRDefault="006F2939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05E10F6D" w14:textId="284AD3C4" w:rsidR="006F2939" w:rsidRPr="001E6FB0" w:rsidRDefault="006F2939" w:rsidP="00AC064F">
            <w:pPr>
              <w:contextualSpacing/>
              <w:jc w:val="center"/>
            </w:pPr>
            <w:r w:rsidRPr="001E6FB0">
              <w:t>38.3</w:t>
            </w:r>
          </w:p>
        </w:tc>
        <w:tc>
          <w:tcPr>
            <w:tcW w:w="997" w:type="dxa"/>
            <w:noWrap/>
            <w:vAlign w:val="center"/>
          </w:tcPr>
          <w:p w14:paraId="26198358" w14:textId="59AAD70D" w:rsidR="006F2939" w:rsidRPr="001E6FB0" w:rsidRDefault="006F2939" w:rsidP="00AC064F">
            <w:pPr>
              <w:contextualSpacing/>
              <w:jc w:val="center"/>
            </w:pPr>
            <w:r w:rsidRPr="001E6FB0">
              <w:t>37.9</w:t>
            </w:r>
          </w:p>
        </w:tc>
        <w:tc>
          <w:tcPr>
            <w:tcW w:w="997" w:type="dxa"/>
            <w:noWrap/>
            <w:vAlign w:val="center"/>
          </w:tcPr>
          <w:p w14:paraId="3BD08A08" w14:textId="0A08E731" w:rsidR="006F2939" w:rsidRPr="001E6FB0" w:rsidRDefault="006F2939" w:rsidP="00AC064F">
            <w:pPr>
              <w:contextualSpacing/>
              <w:jc w:val="center"/>
            </w:pPr>
            <w:r w:rsidRPr="001E6FB0">
              <w:t>37.5</w:t>
            </w:r>
          </w:p>
        </w:tc>
        <w:tc>
          <w:tcPr>
            <w:tcW w:w="997" w:type="dxa"/>
            <w:noWrap/>
            <w:vAlign w:val="center"/>
          </w:tcPr>
          <w:p w14:paraId="4A4C1E30" w14:textId="1299F1A2" w:rsidR="006F2939" w:rsidRPr="001E6FB0" w:rsidRDefault="006F2939" w:rsidP="00AC064F">
            <w:pPr>
              <w:contextualSpacing/>
              <w:jc w:val="center"/>
            </w:pPr>
            <w:r w:rsidRPr="001E6FB0">
              <w:t>37.2</w:t>
            </w:r>
          </w:p>
        </w:tc>
      </w:tr>
      <w:tr w:rsidR="006F2939" w:rsidRPr="001E6FB0" w14:paraId="5255FC4F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52DFDA00" w14:textId="77777777" w:rsidR="006F2939" w:rsidRPr="001E6FB0" w:rsidRDefault="006F2939" w:rsidP="006F2939">
            <w:pPr>
              <w:contextualSpacing/>
            </w:pPr>
          </w:p>
        </w:tc>
        <w:tc>
          <w:tcPr>
            <w:tcW w:w="3060" w:type="dxa"/>
            <w:vAlign w:val="center"/>
            <w:hideMark/>
          </w:tcPr>
          <w:p w14:paraId="70BB2084" w14:textId="77777777" w:rsidR="006F2939" w:rsidRPr="001E6FB0" w:rsidRDefault="006F2939" w:rsidP="006F2939">
            <w:pPr>
              <w:contextualSpacing/>
            </w:pPr>
            <w:proofErr w:type="gramStart"/>
            <w:r w:rsidRPr="001E6FB0">
              <w:t>multiple</w:t>
            </w:r>
            <w:proofErr w:type="gramEnd"/>
            <w:r w:rsidRPr="001E6FB0">
              <w:t xml:space="preserve"> organ failure (%)</w:t>
            </w:r>
          </w:p>
        </w:tc>
        <w:tc>
          <w:tcPr>
            <w:tcW w:w="997" w:type="dxa"/>
            <w:noWrap/>
            <w:vAlign w:val="center"/>
          </w:tcPr>
          <w:p w14:paraId="55DB6515" w14:textId="36D79B7C" w:rsidR="006F2939" w:rsidRPr="001E6FB0" w:rsidRDefault="006F2939" w:rsidP="00AC064F">
            <w:pPr>
              <w:contextualSpacing/>
              <w:jc w:val="center"/>
            </w:pPr>
            <w:r w:rsidRPr="001E6FB0">
              <w:t>14.9</w:t>
            </w:r>
          </w:p>
        </w:tc>
        <w:tc>
          <w:tcPr>
            <w:tcW w:w="997" w:type="dxa"/>
            <w:noWrap/>
            <w:vAlign w:val="center"/>
          </w:tcPr>
          <w:p w14:paraId="5CC1BDA7" w14:textId="0874B067" w:rsidR="006F2939" w:rsidRPr="001E6FB0" w:rsidRDefault="006F2939" w:rsidP="00AC064F">
            <w:pPr>
              <w:contextualSpacing/>
              <w:jc w:val="center"/>
            </w:pPr>
            <w:r w:rsidRPr="001E6FB0">
              <w:t>14.2</w:t>
            </w:r>
          </w:p>
        </w:tc>
        <w:tc>
          <w:tcPr>
            <w:tcW w:w="997" w:type="dxa"/>
            <w:noWrap/>
            <w:vAlign w:val="center"/>
          </w:tcPr>
          <w:p w14:paraId="0F95A682" w14:textId="7FA01669" w:rsidR="006F2939" w:rsidRPr="001E6FB0" w:rsidRDefault="006F2939" w:rsidP="00AC064F">
            <w:pPr>
              <w:contextualSpacing/>
              <w:jc w:val="center"/>
            </w:pPr>
            <w:r w:rsidRPr="001E6FB0">
              <w:t>13.6</w:t>
            </w:r>
          </w:p>
        </w:tc>
        <w:tc>
          <w:tcPr>
            <w:tcW w:w="997" w:type="dxa"/>
            <w:noWrap/>
            <w:vAlign w:val="center"/>
          </w:tcPr>
          <w:p w14:paraId="7B217FD9" w14:textId="3B88C6C9" w:rsidR="006F2939" w:rsidRPr="001E6FB0" w:rsidRDefault="006F2939" w:rsidP="00AC064F">
            <w:pPr>
              <w:contextualSpacing/>
              <w:jc w:val="center"/>
            </w:pPr>
            <w:r w:rsidRPr="001E6FB0">
              <w:t>12.6</w:t>
            </w:r>
          </w:p>
        </w:tc>
        <w:tc>
          <w:tcPr>
            <w:tcW w:w="222" w:type="dxa"/>
            <w:noWrap/>
            <w:vAlign w:val="center"/>
            <w:hideMark/>
          </w:tcPr>
          <w:p w14:paraId="4F3291A1" w14:textId="77777777" w:rsidR="006F2939" w:rsidRPr="001E6FB0" w:rsidRDefault="006F2939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6209B99C" w14:textId="093EE49D" w:rsidR="006F2939" w:rsidRPr="001E6FB0" w:rsidRDefault="006F2939" w:rsidP="00AC064F">
            <w:pPr>
              <w:contextualSpacing/>
              <w:jc w:val="center"/>
            </w:pPr>
            <w:r w:rsidRPr="001E6FB0">
              <w:t>13.5</w:t>
            </w:r>
          </w:p>
        </w:tc>
        <w:tc>
          <w:tcPr>
            <w:tcW w:w="997" w:type="dxa"/>
            <w:noWrap/>
            <w:vAlign w:val="center"/>
          </w:tcPr>
          <w:p w14:paraId="2A2273A2" w14:textId="4CD51B79" w:rsidR="006F2939" w:rsidRPr="001E6FB0" w:rsidRDefault="006F2939" w:rsidP="00AC064F">
            <w:pPr>
              <w:contextualSpacing/>
              <w:jc w:val="center"/>
            </w:pPr>
            <w:r w:rsidRPr="001E6FB0">
              <w:t>14.0</w:t>
            </w:r>
          </w:p>
        </w:tc>
        <w:tc>
          <w:tcPr>
            <w:tcW w:w="997" w:type="dxa"/>
            <w:noWrap/>
            <w:vAlign w:val="center"/>
          </w:tcPr>
          <w:p w14:paraId="06BADF27" w14:textId="268BD2E4" w:rsidR="006F2939" w:rsidRPr="001E6FB0" w:rsidRDefault="006F2939" w:rsidP="00AC064F">
            <w:pPr>
              <w:contextualSpacing/>
              <w:jc w:val="center"/>
            </w:pPr>
            <w:r w:rsidRPr="001E6FB0">
              <w:t>14.5</w:t>
            </w:r>
          </w:p>
        </w:tc>
        <w:tc>
          <w:tcPr>
            <w:tcW w:w="997" w:type="dxa"/>
            <w:noWrap/>
            <w:vAlign w:val="center"/>
          </w:tcPr>
          <w:p w14:paraId="4A0F91B7" w14:textId="5D2637D0" w:rsidR="006F2939" w:rsidRPr="001E6FB0" w:rsidRDefault="006F2939" w:rsidP="00AC064F">
            <w:pPr>
              <w:contextualSpacing/>
              <w:jc w:val="center"/>
            </w:pPr>
            <w:r w:rsidRPr="001E6FB0">
              <w:t>14.0</w:t>
            </w:r>
          </w:p>
        </w:tc>
      </w:tr>
      <w:tr w:rsidR="006F2939" w:rsidRPr="001E6FB0" w14:paraId="2049CB08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47BD52F1" w14:textId="77777777" w:rsidR="006F2939" w:rsidRPr="001E6FB0" w:rsidRDefault="006F2939" w:rsidP="006F2939">
            <w:pPr>
              <w:contextualSpacing/>
            </w:pPr>
          </w:p>
        </w:tc>
        <w:tc>
          <w:tcPr>
            <w:tcW w:w="3060" w:type="dxa"/>
            <w:vAlign w:val="center"/>
            <w:hideMark/>
          </w:tcPr>
          <w:p w14:paraId="4523C523" w14:textId="77777777" w:rsidR="006F2939" w:rsidRPr="001E6FB0" w:rsidRDefault="006F2939" w:rsidP="006F2939">
            <w:pPr>
              <w:contextualSpacing/>
            </w:pPr>
            <w:r w:rsidRPr="001E6FB0">
              <w:t>days in ICU/CCU (mean)</w:t>
            </w:r>
          </w:p>
        </w:tc>
        <w:tc>
          <w:tcPr>
            <w:tcW w:w="997" w:type="dxa"/>
            <w:noWrap/>
            <w:vAlign w:val="center"/>
          </w:tcPr>
          <w:p w14:paraId="084EA48A" w14:textId="1E380F3D" w:rsidR="006F2939" w:rsidRPr="001E6FB0" w:rsidRDefault="006F2939" w:rsidP="00AC064F">
            <w:pPr>
              <w:contextualSpacing/>
              <w:jc w:val="center"/>
            </w:pPr>
            <w:r w:rsidRPr="001E6FB0">
              <w:t>1.6</w:t>
            </w:r>
          </w:p>
        </w:tc>
        <w:tc>
          <w:tcPr>
            <w:tcW w:w="997" w:type="dxa"/>
            <w:noWrap/>
            <w:vAlign w:val="center"/>
          </w:tcPr>
          <w:p w14:paraId="4C0AE6EC" w14:textId="67AD677B" w:rsidR="006F2939" w:rsidRPr="001E6FB0" w:rsidRDefault="006F2939" w:rsidP="00AC064F">
            <w:pPr>
              <w:contextualSpacing/>
              <w:jc w:val="center"/>
            </w:pPr>
            <w:r w:rsidRPr="001E6FB0">
              <w:t>1.6</w:t>
            </w:r>
          </w:p>
        </w:tc>
        <w:tc>
          <w:tcPr>
            <w:tcW w:w="997" w:type="dxa"/>
            <w:noWrap/>
            <w:vAlign w:val="center"/>
          </w:tcPr>
          <w:p w14:paraId="5949CCB1" w14:textId="0267CF1A" w:rsidR="006F2939" w:rsidRPr="001E6FB0" w:rsidRDefault="006F2939" w:rsidP="00AC064F">
            <w:pPr>
              <w:contextualSpacing/>
              <w:jc w:val="center"/>
            </w:pPr>
            <w:r w:rsidRPr="001E6FB0">
              <w:t>1.4</w:t>
            </w:r>
          </w:p>
        </w:tc>
        <w:tc>
          <w:tcPr>
            <w:tcW w:w="997" w:type="dxa"/>
            <w:noWrap/>
            <w:vAlign w:val="center"/>
          </w:tcPr>
          <w:p w14:paraId="7F3E7DC9" w14:textId="6380BDC2" w:rsidR="006F2939" w:rsidRPr="001E6FB0" w:rsidRDefault="006F2939" w:rsidP="00AC064F">
            <w:pPr>
              <w:contextualSpacing/>
              <w:jc w:val="center"/>
            </w:pPr>
            <w:r w:rsidRPr="001E6FB0">
              <w:t>1.1</w:t>
            </w:r>
          </w:p>
        </w:tc>
        <w:tc>
          <w:tcPr>
            <w:tcW w:w="222" w:type="dxa"/>
            <w:noWrap/>
            <w:vAlign w:val="center"/>
            <w:hideMark/>
          </w:tcPr>
          <w:p w14:paraId="1B6C7FE8" w14:textId="77777777" w:rsidR="006F2939" w:rsidRPr="001E6FB0" w:rsidRDefault="006F2939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2C73B2BC" w14:textId="5CFCA6DA" w:rsidR="006F2939" w:rsidRPr="001E6FB0" w:rsidRDefault="006F2939" w:rsidP="00AC064F">
            <w:pPr>
              <w:contextualSpacing/>
              <w:jc w:val="center"/>
            </w:pPr>
            <w:r w:rsidRPr="001E6FB0">
              <w:t>1.3</w:t>
            </w:r>
          </w:p>
        </w:tc>
        <w:tc>
          <w:tcPr>
            <w:tcW w:w="997" w:type="dxa"/>
            <w:noWrap/>
            <w:vAlign w:val="center"/>
          </w:tcPr>
          <w:p w14:paraId="6D9CACC3" w14:textId="6399CED6" w:rsidR="006F2939" w:rsidRPr="001E6FB0" w:rsidRDefault="006F2939" w:rsidP="00AC064F">
            <w:pPr>
              <w:contextualSpacing/>
              <w:jc w:val="center"/>
            </w:pPr>
            <w:r w:rsidRPr="001E6FB0">
              <w:t>1.4</w:t>
            </w:r>
          </w:p>
        </w:tc>
        <w:tc>
          <w:tcPr>
            <w:tcW w:w="997" w:type="dxa"/>
            <w:noWrap/>
            <w:vAlign w:val="center"/>
          </w:tcPr>
          <w:p w14:paraId="2E9CA635" w14:textId="1EA0D930" w:rsidR="006F2939" w:rsidRPr="001E6FB0" w:rsidRDefault="006F2939" w:rsidP="00AC064F">
            <w:pPr>
              <w:contextualSpacing/>
              <w:jc w:val="center"/>
            </w:pPr>
            <w:r w:rsidRPr="001E6FB0">
              <w:t>1.6</w:t>
            </w:r>
          </w:p>
        </w:tc>
        <w:tc>
          <w:tcPr>
            <w:tcW w:w="997" w:type="dxa"/>
            <w:noWrap/>
            <w:vAlign w:val="center"/>
          </w:tcPr>
          <w:p w14:paraId="4AA11259" w14:textId="1BB8BA11" w:rsidR="006F2939" w:rsidRPr="001E6FB0" w:rsidRDefault="006F2939" w:rsidP="00AC064F">
            <w:pPr>
              <w:contextualSpacing/>
              <w:jc w:val="center"/>
            </w:pPr>
            <w:r w:rsidRPr="001E6FB0">
              <w:t>1.5</w:t>
            </w:r>
          </w:p>
        </w:tc>
      </w:tr>
      <w:tr w:rsidR="000F6AC6" w:rsidRPr="001E6FB0" w14:paraId="15405B46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49FEBE8F" w14:textId="77777777" w:rsidR="00415E2E" w:rsidRPr="001E6FB0" w:rsidRDefault="00415E2E" w:rsidP="00B93D27">
            <w:pPr>
              <w:contextualSpacing/>
            </w:pPr>
          </w:p>
        </w:tc>
        <w:tc>
          <w:tcPr>
            <w:tcW w:w="3060" w:type="dxa"/>
            <w:noWrap/>
            <w:vAlign w:val="center"/>
            <w:hideMark/>
          </w:tcPr>
          <w:p w14:paraId="4CE146D2" w14:textId="77777777" w:rsidR="00415E2E" w:rsidRPr="001E6FB0" w:rsidRDefault="00415E2E">
            <w:pPr>
              <w:contextualSpacing/>
            </w:pPr>
          </w:p>
        </w:tc>
        <w:tc>
          <w:tcPr>
            <w:tcW w:w="997" w:type="dxa"/>
            <w:noWrap/>
            <w:vAlign w:val="center"/>
          </w:tcPr>
          <w:p w14:paraId="7966BC14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754A4AA4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3E1E6DB0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3062D95F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222" w:type="dxa"/>
            <w:noWrap/>
            <w:vAlign w:val="center"/>
            <w:hideMark/>
          </w:tcPr>
          <w:p w14:paraId="5B39E295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56B65C7F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2D076355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0F7A7CA3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690C3B00" w14:textId="77777777" w:rsidR="00415E2E" w:rsidRPr="001E6FB0" w:rsidRDefault="00415E2E" w:rsidP="00AC064F">
            <w:pPr>
              <w:contextualSpacing/>
              <w:jc w:val="center"/>
            </w:pPr>
          </w:p>
        </w:tc>
      </w:tr>
      <w:tr w:rsidR="006F2939" w:rsidRPr="001E6FB0" w14:paraId="376BA3D9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60FA51F6" w14:textId="77777777" w:rsidR="006F2939" w:rsidRPr="001E6FB0" w:rsidRDefault="006F2939" w:rsidP="006F2939">
            <w:pPr>
              <w:contextualSpacing/>
            </w:pPr>
            <w:r w:rsidRPr="001E6FB0">
              <w:t>MDC=8</w:t>
            </w:r>
          </w:p>
        </w:tc>
        <w:tc>
          <w:tcPr>
            <w:tcW w:w="3060" w:type="dxa"/>
            <w:noWrap/>
            <w:vAlign w:val="center"/>
            <w:hideMark/>
          </w:tcPr>
          <w:p w14:paraId="7E2739C8" w14:textId="77777777" w:rsidR="006F2939" w:rsidRPr="001E6FB0" w:rsidRDefault="006F2939" w:rsidP="006F2939">
            <w:pPr>
              <w:contextualSpacing/>
            </w:pPr>
            <w:r w:rsidRPr="001E6FB0">
              <w:t>age (mean)</w:t>
            </w:r>
          </w:p>
        </w:tc>
        <w:tc>
          <w:tcPr>
            <w:tcW w:w="997" w:type="dxa"/>
            <w:noWrap/>
            <w:vAlign w:val="center"/>
          </w:tcPr>
          <w:p w14:paraId="41E0B1AE" w14:textId="18C6D76C" w:rsidR="006F2939" w:rsidRPr="001E6FB0" w:rsidRDefault="006F2939" w:rsidP="00AC064F">
            <w:pPr>
              <w:contextualSpacing/>
              <w:jc w:val="center"/>
            </w:pPr>
            <w:r w:rsidRPr="001E6FB0">
              <w:t>77.8</w:t>
            </w:r>
          </w:p>
        </w:tc>
        <w:tc>
          <w:tcPr>
            <w:tcW w:w="997" w:type="dxa"/>
            <w:noWrap/>
            <w:vAlign w:val="center"/>
          </w:tcPr>
          <w:p w14:paraId="640D3C25" w14:textId="1F431B62" w:rsidR="006F2939" w:rsidRPr="001E6FB0" w:rsidRDefault="006F2939" w:rsidP="00AC064F">
            <w:pPr>
              <w:contextualSpacing/>
              <w:jc w:val="center"/>
            </w:pPr>
            <w:r w:rsidRPr="001E6FB0">
              <w:t>78.3</w:t>
            </w:r>
          </w:p>
        </w:tc>
        <w:tc>
          <w:tcPr>
            <w:tcW w:w="997" w:type="dxa"/>
            <w:noWrap/>
            <w:vAlign w:val="center"/>
          </w:tcPr>
          <w:p w14:paraId="6AC952C5" w14:textId="6C7E4D93" w:rsidR="006F2939" w:rsidRPr="001E6FB0" w:rsidRDefault="006F2939" w:rsidP="00AC064F">
            <w:pPr>
              <w:contextualSpacing/>
              <w:jc w:val="center"/>
            </w:pPr>
            <w:r w:rsidRPr="001E6FB0">
              <w:t>78.9</w:t>
            </w:r>
          </w:p>
        </w:tc>
        <w:tc>
          <w:tcPr>
            <w:tcW w:w="997" w:type="dxa"/>
            <w:noWrap/>
            <w:vAlign w:val="center"/>
          </w:tcPr>
          <w:p w14:paraId="48794F05" w14:textId="4472EB7A" w:rsidR="006F2939" w:rsidRPr="001E6FB0" w:rsidRDefault="006F2939" w:rsidP="00AC064F">
            <w:pPr>
              <w:contextualSpacing/>
              <w:jc w:val="center"/>
            </w:pPr>
            <w:r w:rsidRPr="001E6FB0">
              <w:t>78.6</w:t>
            </w:r>
          </w:p>
        </w:tc>
        <w:tc>
          <w:tcPr>
            <w:tcW w:w="222" w:type="dxa"/>
            <w:noWrap/>
            <w:vAlign w:val="center"/>
            <w:hideMark/>
          </w:tcPr>
          <w:p w14:paraId="70D94B9B" w14:textId="77777777" w:rsidR="006F2939" w:rsidRPr="001E6FB0" w:rsidRDefault="006F2939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5B365C83" w14:textId="07C07087" w:rsidR="006F2939" w:rsidRPr="001E6FB0" w:rsidRDefault="006F2939" w:rsidP="00AC064F">
            <w:pPr>
              <w:contextualSpacing/>
              <w:jc w:val="center"/>
            </w:pPr>
            <w:r w:rsidRPr="001E6FB0">
              <w:t>78.4</w:t>
            </w:r>
          </w:p>
        </w:tc>
        <w:tc>
          <w:tcPr>
            <w:tcW w:w="997" w:type="dxa"/>
            <w:noWrap/>
            <w:vAlign w:val="center"/>
          </w:tcPr>
          <w:p w14:paraId="4F87FA4F" w14:textId="7CA9B046" w:rsidR="006F2939" w:rsidRPr="001E6FB0" w:rsidRDefault="006F2939" w:rsidP="00AC064F">
            <w:pPr>
              <w:contextualSpacing/>
              <w:jc w:val="center"/>
            </w:pPr>
            <w:r w:rsidRPr="001E6FB0">
              <w:t>78.5</w:t>
            </w:r>
          </w:p>
        </w:tc>
        <w:tc>
          <w:tcPr>
            <w:tcW w:w="997" w:type="dxa"/>
            <w:noWrap/>
            <w:vAlign w:val="center"/>
          </w:tcPr>
          <w:p w14:paraId="2E9A980B" w14:textId="14DC6757" w:rsidR="006F2939" w:rsidRPr="001E6FB0" w:rsidRDefault="006F2939" w:rsidP="00AC064F">
            <w:pPr>
              <w:contextualSpacing/>
              <w:jc w:val="center"/>
            </w:pPr>
            <w:r w:rsidRPr="001E6FB0">
              <w:t>78.4</w:t>
            </w:r>
          </w:p>
        </w:tc>
        <w:tc>
          <w:tcPr>
            <w:tcW w:w="997" w:type="dxa"/>
            <w:noWrap/>
            <w:vAlign w:val="center"/>
          </w:tcPr>
          <w:p w14:paraId="7BC7B4AF" w14:textId="66753C76" w:rsidR="006F2939" w:rsidRPr="001E6FB0" w:rsidRDefault="006F2939" w:rsidP="00AC064F">
            <w:pPr>
              <w:contextualSpacing/>
              <w:jc w:val="center"/>
            </w:pPr>
            <w:r w:rsidRPr="001E6FB0">
              <w:t>78.5</w:t>
            </w:r>
          </w:p>
        </w:tc>
      </w:tr>
      <w:tr w:rsidR="006F2939" w:rsidRPr="001E6FB0" w14:paraId="2CD527FE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3779827E" w14:textId="77777777" w:rsidR="006F2939" w:rsidRPr="001E6FB0" w:rsidRDefault="006F2939" w:rsidP="006F2939">
            <w:pPr>
              <w:contextualSpacing/>
            </w:pPr>
          </w:p>
        </w:tc>
        <w:tc>
          <w:tcPr>
            <w:tcW w:w="3060" w:type="dxa"/>
            <w:noWrap/>
            <w:vAlign w:val="center"/>
            <w:hideMark/>
          </w:tcPr>
          <w:p w14:paraId="4B8FDA43" w14:textId="77777777" w:rsidR="006F2939" w:rsidRPr="001E6FB0" w:rsidRDefault="006F2939" w:rsidP="006F2939">
            <w:pPr>
              <w:contextualSpacing/>
            </w:pPr>
            <w:proofErr w:type="gramStart"/>
            <w:r w:rsidRPr="001E6FB0">
              <w:t>male</w:t>
            </w:r>
            <w:proofErr w:type="gramEnd"/>
            <w:r w:rsidRPr="001E6FB0">
              <w:t xml:space="preserve"> (%)</w:t>
            </w:r>
          </w:p>
        </w:tc>
        <w:tc>
          <w:tcPr>
            <w:tcW w:w="997" w:type="dxa"/>
            <w:noWrap/>
            <w:vAlign w:val="center"/>
          </w:tcPr>
          <w:p w14:paraId="68B528E9" w14:textId="3A9D5C20" w:rsidR="006F2939" w:rsidRPr="001E6FB0" w:rsidRDefault="006F2939" w:rsidP="00AC064F">
            <w:pPr>
              <w:contextualSpacing/>
              <w:jc w:val="center"/>
            </w:pPr>
            <w:r w:rsidRPr="001E6FB0">
              <w:t>33.7</w:t>
            </w:r>
          </w:p>
        </w:tc>
        <w:tc>
          <w:tcPr>
            <w:tcW w:w="997" w:type="dxa"/>
            <w:noWrap/>
            <w:vAlign w:val="center"/>
          </w:tcPr>
          <w:p w14:paraId="08EF540E" w14:textId="41E4089F" w:rsidR="006F2939" w:rsidRPr="001E6FB0" w:rsidRDefault="006F2939" w:rsidP="00AC064F">
            <w:pPr>
              <w:contextualSpacing/>
              <w:jc w:val="center"/>
            </w:pPr>
            <w:r w:rsidRPr="001E6FB0">
              <w:t>33.0</w:t>
            </w:r>
          </w:p>
        </w:tc>
        <w:tc>
          <w:tcPr>
            <w:tcW w:w="997" w:type="dxa"/>
            <w:noWrap/>
            <w:vAlign w:val="center"/>
          </w:tcPr>
          <w:p w14:paraId="607855A8" w14:textId="642BA329" w:rsidR="006F2939" w:rsidRPr="001E6FB0" w:rsidRDefault="006F2939" w:rsidP="00AC064F">
            <w:pPr>
              <w:contextualSpacing/>
              <w:jc w:val="center"/>
            </w:pPr>
            <w:r w:rsidRPr="001E6FB0">
              <w:t>32.0</w:t>
            </w:r>
          </w:p>
        </w:tc>
        <w:tc>
          <w:tcPr>
            <w:tcW w:w="997" w:type="dxa"/>
            <w:noWrap/>
            <w:vAlign w:val="center"/>
          </w:tcPr>
          <w:p w14:paraId="037AED32" w14:textId="791F4F35" w:rsidR="006F2939" w:rsidRPr="001E6FB0" w:rsidRDefault="006F2939" w:rsidP="00AC064F">
            <w:pPr>
              <w:contextualSpacing/>
              <w:jc w:val="center"/>
            </w:pPr>
            <w:r w:rsidRPr="001E6FB0">
              <w:t>33.2</w:t>
            </w:r>
          </w:p>
        </w:tc>
        <w:tc>
          <w:tcPr>
            <w:tcW w:w="222" w:type="dxa"/>
            <w:noWrap/>
            <w:vAlign w:val="center"/>
            <w:hideMark/>
          </w:tcPr>
          <w:p w14:paraId="1DEA3E81" w14:textId="77777777" w:rsidR="006F2939" w:rsidRPr="001E6FB0" w:rsidRDefault="006F2939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3E6C9C34" w14:textId="412E9300" w:rsidR="006F2939" w:rsidRPr="001E6FB0" w:rsidRDefault="006F2939" w:rsidP="00AC064F">
            <w:pPr>
              <w:contextualSpacing/>
              <w:jc w:val="center"/>
            </w:pPr>
            <w:r w:rsidRPr="001E6FB0">
              <w:t>33.6</w:t>
            </w:r>
          </w:p>
        </w:tc>
        <w:tc>
          <w:tcPr>
            <w:tcW w:w="997" w:type="dxa"/>
            <w:noWrap/>
            <w:vAlign w:val="center"/>
          </w:tcPr>
          <w:p w14:paraId="67B1395A" w14:textId="32CA2C4F" w:rsidR="006F2939" w:rsidRPr="001E6FB0" w:rsidRDefault="006F2939" w:rsidP="00AC064F">
            <w:pPr>
              <w:contextualSpacing/>
              <w:jc w:val="center"/>
            </w:pPr>
            <w:r w:rsidRPr="001E6FB0">
              <w:t>32.8</w:t>
            </w:r>
          </w:p>
        </w:tc>
        <w:tc>
          <w:tcPr>
            <w:tcW w:w="997" w:type="dxa"/>
            <w:noWrap/>
            <w:vAlign w:val="center"/>
          </w:tcPr>
          <w:p w14:paraId="14F20FF5" w14:textId="1112AD37" w:rsidR="006F2939" w:rsidRPr="001E6FB0" w:rsidRDefault="006F2939" w:rsidP="00AC064F">
            <w:pPr>
              <w:contextualSpacing/>
              <w:jc w:val="center"/>
            </w:pPr>
            <w:r w:rsidRPr="001E6FB0">
              <w:t>32.6</w:t>
            </w:r>
          </w:p>
        </w:tc>
        <w:tc>
          <w:tcPr>
            <w:tcW w:w="997" w:type="dxa"/>
            <w:noWrap/>
            <w:vAlign w:val="center"/>
          </w:tcPr>
          <w:p w14:paraId="255AF0D0" w14:textId="148BDAA5" w:rsidR="006F2939" w:rsidRPr="001E6FB0" w:rsidRDefault="006F2939" w:rsidP="00AC064F">
            <w:pPr>
              <w:contextualSpacing/>
              <w:jc w:val="center"/>
            </w:pPr>
            <w:r w:rsidRPr="001E6FB0">
              <w:t>32.2</w:t>
            </w:r>
          </w:p>
        </w:tc>
      </w:tr>
      <w:tr w:rsidR="006F2939" w:rsidRPr="001E6FB0" w14:paraId="458C0D85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086BF93E" w14:textId="77777777" w:rsidR="006F2939" w:rsidRPr="001E6FB0" w:rsidRDefault="006F2939" w:rsidP="006F2939">
            <w:pPr>
              <w:contextualSpacing/>
            </w:pPr>
          </w:p>
        </w:tc>
        <w:tc>
          <w:tcPr>
            <w:tcW w:w="3060" w:type="dxa"/>
            <w:vAlign w:val="center"/>
            <w:hideMark/>
          </w:tcPr>
          <w:p w14:paraId="31457B51" w14:textId="77777777" w:rsidR="006F2939" w:rsidRPr="001E6FB0" w:rsidRDefault="006F2939" w:rsidP="006F2939">
            <w:pPr>
              <w:contextualSpacing/>
            </w:pPr>
            <w:proofErr w:type="gramStart"/>
            <w:r w:rsidRPr="001E6FB0">
              <w:t>multiple</w:t>
            </w:r>
            <w:proofErr w:type="gramEnd"/>
            <w:r w:rsidRPr="001E6FB0">
              <w:t xml:space="preserve"> organ failure (%)</w:t>
            </w:r>
          </w:p>
        </w:tc>
        <w:tc>
          <w:tcPr>
            <w:tcW w:w="997" w:type="dxa"/>
            <w:noWrap/>
            <w:vAlign w:val="center"/>
          </w:tcPr>
          <w:p w14:paraId="5198AA51" w14:textId="544FA03E" w:rsidR="006F2939" w:rsidRPr="001E6FB0" w:rsidRDefault="006F2939" w:rsidP="00AC064F">
            <w:pPr>
              <w:contextualSpacing/>
              <w:jc w:val="center"/>
            </w:pPr>
            <w:r w:rsidRPr="001E6FB0">
              <w:t>6.9</w:t>
            </w:r>
          </w:p>
        </w:tc>
        <w:tc>
          <w:tcPr>
            <w:tcW w:w="997" w:type="dxa"/>
            <w:noWrap/>
            <w:vAlign w:val="center"/>
          </w:tcPr>
          <w:p w14:paraId="68CAC1BC" w14:textId="0DC33C20" w:rsidR="006F2939" w:rsidRPr="001E6FB0" w:rsidRDefault="006F2939" w:rsidP="00AC064F">
            <w:pPr>
              <w:contextualSpacing/>
              <w:jc w:val="center"/>
            </w:pPr>
            <w:r w:rsidRPr="001E6FB0">
              <w:t>6.9</w:t>
            </w:r>
          </w:p>
        </w:tc>
        <w:tc>
          <w:tcPr>
            <w:tcW w:w="997" w:type="dxa"/>
            <w:noWrap/>
            <w:vAlign w:val="center"/>
          </w:tcPr>
          <w:p w14:paraId="4577411B" w14:textId="15E643B0" w:rsidR="006F2939" w:rsidRPr="001E6FB0" w:rsidRDefault="006F2939" w:rsidP="00AC064F">
            <w:pPr>
              <w:contextualSpacing/>
              <w:jc w:val="center"/>
            </w:pPr>
            <w:r w:rsidRPr="001E6FB0">
              <w:t>7.1</w:t>
            </w:r>
          </w:p>
        </w:tc>
        <w:tc>
          <w:tcPr>
            <w:tcW w:w="997" w:type="dxa"/>
            <w:noWrap/>
            <w:vAlign w:val="center"/>
          </w:tcPr>
          <w:p w14:paraId="0B0993A9" w14:textId="3DBF62EC" w:rsidR="006F2939" w:rsidRPr="001E6FB0" w:rsidRDefault="006F2939" w:rsidP="00AC064F">
            <w:pPr>
              <w:contextualSpacing/>
              <w:jc w:val="center"/>
            </w:pPr>
            <w:r w:rsidRPr="001E6FB0">
              <w:t>6.4</w:t>
            </w:r>
          </w:p>
        </w:tc>
        <w:tc>
          <w:tcPr>
            <w:tcW w:w="222" w:type="dxa"/>
            <w:noWrap/>
            <w:vAlign w:val="center"/>
            <w:hideMark/>
          </w:tcPr>
          <w:p w14:paraId="09726EA0" w14:textId="77777777" w:rsidR="006F2939" w:rsidRPr="001E6FB0" w:rsidRDefault="006F2939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060A9465" w14:textId="7242C31C" w:rsidR="006F2939" w:rsidRPr="001E6FB0" w:rsidRDefault="006F2939" w:rsidP="00AC064F">
            <w:pPr>
              <w:contextualSpacing/>
              <w:jc w:val="center"/>
            </w:pPr>
            <w:r w:rsidRPr="001E6FB0">
              <w:t>6.5</w:t>
            </w:r>
          </w:p>
        </w:tc>
        <w:tc>
          <w:tcPr>
            <w:tcW w:w="997" w:type="dxa"/>
            <w:noWrap/>
            <w:vAlign w:val="center"/>
          </w:tcPr>
          <w:p w14:paraId="5EEB96DE" w14:textId="0643FF0A" w:rsidR="006F2939" w:rsidRPr="001E6FB0" w:rsidRDefault="006F2939" w:rsidP="00AC064F">
            <w:pPr>
              <w:contextualSpacing/>
              <w:jc w:val="center"/>
            </w:pPr>
            <w:r w:rsidRPr="001E6FB0">
              <w:t>6.9</w:t>
            </w:r>
          </w:p>
        </w:tc>
        <w:tc>
          <w:tcPr>
            <w:tcW w:w="997" w:type="dxa"/>
            <w:noWrap/>
            <w:vAlign w:val="center"/>
          </w:tcPr>
          <w:p w14:paraId="0F07BAFD" w14:textId="799BCB77" w:rsidR="006F2939" w:rsidRPr="001E6FB0" w:rsidRDefault="006F2939" w:rsidP="00AC064F">
            <w:pPr>
              <w:contextualSpacing/>
              <w:jc w:val="center"/>
            </w:pPr>
            <w:r w:rsidRPr="001E6FB0">
              <w:t>7.3</w:t>
            </w:r>
          </w:p>
        </w:tc>
        <w:tc>
          <w:tcPr>
            <w:tcW w:w="997" w:type="dxa"/>
            <w:noWrap/>
            <w:vAlign w:val="center"/>
          </w:tcPr>
          <w:p w14:paraId="369D2473" w14:textId="68D99435" w:rsidR="006F2939" w:rsidRPr="001E6FB0" w:rsidRDefault="006F2939" w:rsidP="00AC064F">
            <w:pPr>
              <w:contextualSpacing/>
              <w:jc w:val="center"/>
            </w:pPr>
            <w:r w:rsidRPr="001E6FB0">
              <w:t>7.2</w:t>
            </w:r>
          </w:p>
        </w:tc>
      </w:tr>
      <w:tr w:rsidR="006F2939" w:rsidRPr="001E6FB0" w14:paraId="050498D6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28EF7492" w14:textId="77777777" w:rsidR="006F2939" w:rsidRPr="001E6FB0" w:rsidRDefault="006F2939" w:rsidP="006F2939">
            <w:pPr>
              <w:contextualSpacing/>
            </w:pPr>
          </w:p>
        </w:tc>
        <w:tc>
          <w:tcPr>
            <w:tcW w:w="3060" w:type="dxa"/>
            <w:vAlign w:val="center"/>
            <w:hideMark/>
          </w:tcPr>
          <w:p w14:paraId="0557C2EF" w14:textId="77777777" w:rsidR="006F2939" w:rsidRPr="001E6FB0" w:rsidRDefault="006F2939" w:rsidP="006F2939">
            <w:pPr>
              <w:contextualSpacing/>
            </w:pPr>
            <w:r w:rsidRPr="001E6FB0">
              <w:t>days in ICU/CCU (mean)</w:t>
            </w:r>
          </w:p>
        </w:tc>
        <w:tc>
          <w:tcPr>
            <w:tcW w:w="997" w:type="dxa"/>
            <w:noWrap/>
            <w:vAlign w:val="center"/>
          </w:tcPr>
          <w:p w14:paraId="12DDFFA7" w14:textId="7E179861" w:rsidR="006F2939" w:rsidRPr="001E6FB0" w:rsidRDefault="006F2939" w:rsidP="00AC064F">
            <w:pPr>
              <w:contextualSpacing/>
              <w:jc w:val="center"/>
            </w:pPr>
            <w:r w:rsidRPr="001E6FB0">
              <w:t>0.6</w:t>
            </w:r>
          </w:p>
        </w:tc>
        <w:tc>
          <w:tcPr>
            <w:tcW w:w="997" w:type="dxa"/>
            <w:noWrap/>
            <w:vAlign w:val="center"/>
          </w:tcPr>
          <w:p w14:paraId="69A55F50" w14:textId="6A3DCD5A" w:rsidR="006F2939" w:rsidRPr="001E6FB0" w:rsidRDefault="006F2939" w:rsidP="00AC064F">
            <w:pPr>
              <w:contextualSpacing/>
              <w:jc w:val="center"/>
            </w:pPr>
            <w:r w:rsidRPr="001E6FB0">
              <w:t>0.6</w:t>
            </w:r>
          </w:p>
        </w:tc>
        <w:tc>
          <w:tcPr>
            <w:tcW w:w="997" w:type="dxa"/>
            <w:noWrap/>
            <w:vAlign w:val="center"/>
          </w:tcPr>
          <w:p w14:paraId="0846825E" w14:textId="5FFBE928" w:rsidR="006F2939" w:rsidRPr="001E6FB0" w:rsidRDefault="006F2939" w:rsidP="00AC064F">
            <w:pPr>
              <w:contextualSpacing/>
              <w:jc w:val="center"/>
            </w:pPr>
            <w:r w:rsidRPr="001E6FB0">
              <w:t>0.6</w:t>
            </w:r>
          </w:p>
        </w:tc>
        <w:tc>
          <w:tcPr>
            <w:tcW w:w="997" w:type="dxa"/>
            <w:noWrap/>
            <w:vAlign w:val="center"/>
          </w:tcPr>
          <w:p w14:paraId="1403FEC2" w14:textId="5E2CA036" w:rsidR="006F2939" w:rsidRPr="001E6FB0" w:rsidRDefault="006F2939" w:rsidP="00AC064F">
            <w:pPr>
              <w:contextualSpacing/>
              <w:jc w:val="center"/>
            </w:pPr>
            <w:r w:rsidRPr="001E6FB0">
              <w:t>0.4</w:t>
            </w:r>
          </w:p>
        </w:tc>
        <w:tc>
          <w:tcPr>
            <w:tcW w:w="222" w:type="dxa"/>
            <w:noWrap/>
            <w:vAlign w:val="center"/>
            <w:hideMark/>
          </w:tcPr>
          <w:p w14:paraId="78510B33" w14:textId="77777777" w:rsidR="006F2939" w:rsidRPr="001E6FB0" w:rsidRDefault="006F2939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5827A29B" w14:textId="710B1B0B" w:rsidR="006F2939" w:rsidRPr="001E6FB0" w:rsidRDefault="006F2939" w:rsidP="00AC064F">
            <w:pPr>
              <w:contextualSpacing/>
              <w:jc w:val="center"/>
            </w:pPr>
            <w:r w:rsidRPr="001E6FB0">
              <w:t>0.5</w:t>
            </w:r>
          </w:p>
        </w:tc>
        <w:tc>
          <w:tcPr>
            <w:tcW w:w="997" w:type="dxa"/>
            <w:noWrap/>
            <w:vAlign w:val="center"/>
          </w:tcPr>
          <w:p w14:paraId="0395F08D" w14:textId="5219769F" w:rsidR="006F2939" w:rsidRPr="001E6FB0" w:rsidRDefault="006F2939" w:rsidP="00AC064F">
            <w:pPr>
              <w:contextualSpacing/>
              <w:jc w:val="center"/>
            </w:pPr>
            <w:r w:rsidRPr="001E6FB0">
              <w:t>0.5</w:t>
            </w:r>
          </w:p>
        </w:tc>
        <w:tc>
          <w:tcPr>
            <w:tcW w:w="997" w:type="dxa"/>
            <w:noWrap/>
            <w:vAlign w:val="center"/>
          </w:tcPr>
          <w:p w14:paraId="2A39F557" w14:textId="35E894BE" w:rsidR="006F2939" w:rsidRPr="001E6FB0" w:rsidRDefault="006F2939" w:rsidP="00AC064F">
            <w:pPr>
              <w:contextualSpacing/>
              <w:jc w:val="center"/>
            </w:pPr>
            <w:r w:rsidRPr="001E6FB0">
              <w:t>0.7</w:t>
            </w:r>
          </w:p>
        </w:tc>
        <w:tc>
          <w:tcPr>
            <w:tcW w:w="997" w:type="dxa"/>
            <w:noWrap/>
            <w:vAlign w:val="center"/>
          </w:tcPr>
          <w:p w14:paraId="0C85D337" w14:textId="369F14D7" w:rsidR="006F2939" w:rsidRPr="001E6FB0" w:rsidRDefault="006F2939" w:rsidP="00AC064F">
            <w:pPr>
              <w:contextualSpacing/>
              <w:jc w:val="center"/>
            </w:pPr>
            <w:r w:rsidRPr="001E6FB0">
              <w:t>0.6</w:t>
            </w:r>
          </w:p>
        </w:tc>
      </w:tr>
      <w:tr w:rsidR="000F6AC6" w:rsidRPr="001E6FB0" w14:paraId="177A471C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1C67F188" w14:textId="77777777" w:rsidR="00415E2E" w:rsidRPr="001E6FB0" w:rsidRDefault="00415E2E" w:rsidP="00B93D27">
            <w:pPr>
              <w:contextualSpacing/>
            </w:pPr>
          </w:p>
        </w:tc>
        <w:tc>
          <w:tcPr>
            <w:tcW w:w="3060" w:type="dxa"/>
            <w:noWrap/>
            <w:vAlign w:val="center"/>
            <w:hideMark/>
          </w:tcPr>
          <w:p w14:paraId="5AA9B330" w14:textId="77777777" w:rsidR="00415E2E" w:rsidRPr="001E6FB0" w:rsidRDefault="00415E2E">
            <w:pPr>
              <w:contextualSpacing/>
            </w:pPr>
          </w:p>
        </w:tc>
        <w:tc>
          <w:tcPr>
            <w:tcW w:w="997" w:type="dxa"/>
            <w:noWrap/>
            <w:vAlign w:val="center"/>
          </w:tcPr>
          <w:p w14:paraId="3B4C2EE6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74B00E0F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211853DB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3D55BC85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222" w:type="dxa"/>
            <w:noWrap/>
            <w:vAlign w:val="center"/>
            <w:hideMark/>
          </w:tcPr>
          <w:p w14:paraId="1D2E0A7E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0A5544E4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04408C63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3B56763A" w14:textId="77777777" w:rsidR="00415E2E" w:rsidRPr="001E6FB0" w:rsidRDefault="00415E2E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7F0254C0" w14:textId="77777777" w:rsidR="00415E2E" w:rsidRPr="001E6FB0" w:rsidRDefault="00415E2E" w:rsidP="00AC064F">
            <w:pPr>
              <w:contextualSpacing/>
              <w:jc w:val="center"/>
            </w:pPr>
          </w:p>
        </w:tc>
      </w:tr>
      <w:tr w:rsidR="006F2939" w:rsidRPr="001E6FB0" w14:paraId="0EBD60F2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4906AC4D" w14:textId="77777777" w:rsidR="006F2939" w:rsidRPr="001E6FB0" w:rsidRDefault="006F2939" w:rsidP="006F2939">
            <w:pPr>
              <w:contextualSpacing/>
            </w:pPr>
            <w:r w:rsidRPr="001E6FB0">
              <w:t>MDC=18</w:t>
            </w:r>
          </w:p>
        </w:tc>
        <w:tc>
          <w:tcPr>
            <w:tcW w:w="3060" w:type="dxa"/>
            <w:noWrap/>
            <w:vAlign w:val="center"/>
            <w:hideMark/>
          </w:tcPr>
          <w:p w14:paraId="200CE97B" w14:textId="77777777" w:rsidR="006F2939" w:rsidRPr="001E6FB0" w:rsidRDefault="006F2939" w:rsidP="006F2939">
            <w:pPr>
              <w:contextualSpacing/>
            </w:pPr>
            <w:r w:rsidRPr="001E6FB0">
              <w:t>age (mean)</w:t>
            </w:r>
          </w:p>
        </w:tc>
        <w:tc>
          <w:tcPr>
            <w:tcW w:w="997" w:type="dxa"/>
            <w:noWrap/>
            <w:vAlign w:val="center"/>
          </w:tcPr>
          <w:p w14:paraId="2A65CF8E" w14:textId="0FEF5174" w:rsidR="006F2939" w:rsidRPr="001E6FB0" w:rsidRDefault="006F2939" w:rsidP="00AC064F">
            <w:pPr>
              <w:contextualSpacing/>
              <w:jc w:val="center"/>
            </w:pPr>
            <w:r w:rsidRPr="001E6FB0">
              <w:t>79.2</w:t>
            </w:r>
          </w:p>
        </w:tc>
        <w:tc>
          <w:tcPr>
            <w:tcW w:w="997" w:type="dxa"/>
            <w:noWrap/>
            <w:vAlign w:val="center"/>
          </w:tcPr>
          <w:p w14:paraId="1ED83316" w14:textId="6B147E58" w:rsidR="006F2939" w:rsidRPr="001E6FB0" w:rsidRDefault="006F2939" w:rsidP="00AC064F">
            <w:pPr>
              <w:contextualSpacing/>
              <w:jc w:val="center"/>
            </w:pPr>
            <w:r w:rsidRPr="001E6FB0">
              <w:t>80.2</w:t>
            </w:r>
          </w:p>
        </w:tc>
        <w:tc>
          <w:tcPr>
            <w:tcW w:w="997" w:type="dxa"/>
            <w:noWrap/>
            <w:vAlign w:val="center"/>
          </w:tcPr>
          <w:p w14:paraId="672C84D1" w14:textId="0C3FE072" w:rsidR="006F2939" w:rsidRPr="001E6FB0" w:rsidRDefault="006F2939" w:rsidP="00AC064F">
            <w:pPr>
              <w:contextualSpacing/>
              <w:jc w:val="center"/>
            </w:pPr>
            <w:r w:rsidRPr="001E6FB0">
              <w:t>80.3</w:t>
            </w:r>
          </w:p>
        </w:tc>
        <w:tc>
          <w:tcPr>
            <w:tcW w:w="997" w:type="dxa"/>
            <w:noWrap/>
            <w:vAlign w:val="center"/>
          </w:tcPr>
          <w:p w14:paraId="31F03E1D" w14:textId="09922D3D" w:rsidR="006F2939" w:rsidRPr="001E6FB0" w:rsidRDefault="006F2939" w:rsidP="00AC064F">
            <w:pPr>
              <w:contextualSpacing/>
              <w:jc w:val="center"/>
            </w:pPr>
            <w:r w:rsidRPr="001E6FB0">
              <w:t>79.7</w:t>
            </w:r>
          </w:p>
        </w:tc>
        <w:tc>
          <w:tcPr>
            <w:tcW w:w="222" w:type="dxa"/>
            <w:noWrap/>
            <w:vAlign w:val="center"/>
            <w:hideMark/>
          </w:tcPr>
          <w:p w14:paraId="688B9F7F" w14:textId="77777777" w:rsidR="006F2939" w:rsidRPr="001E6FB0" w:rsidRDefault="006F2939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4F72B77B" w14:textId="47DE3D00" w:rsidR="006F2939" w:rsidRPr="001E6FB0" w:rsidRDefault="006F2939" w:rsidP="00AC064F">
            <w:pPr>
              <w:contextualSpacing/>
              <w:jc w:val="center"/>
            </w:pPr>
            <w:r w:rsidRPr="001E6FB0">
              <w:t>79.8</w:t>
            </w:r>
          </w:p>
        </w:tc>
        <w:tc>
          <w:tcPr>
            <w:tcW w:w="997" w:type="dxa"/>
            <w:noWrap/>
            <w:vAlign w:val="center"/>
          </w:tcPr>
          <w:p w14:paraId="7EF5DC8C" w14:textId="33D6F98D" w:rsidR="006F2939" w:rsidRPr="001E6FB0" w:rsidRDefault="006F2939" w:rsidP="00AC064F">
            <w:pPr>
              <w:contextualSpacing/>
              <w:jc w:val="center"/>
            </w:pPr>
            <w:r w:rsidRPr="001E6FB0">
              <w:t>80.0</w:t>
            </w:r>
          </w:p>
        </w:tc>
        <w:tc>
          <w:tcPr>
            <w:tcW w:w="997" w:type="dxa"/>
            <w:noWrap/>
            <w:vAlign w:val="center"/>
          </w:tcPr>
          <w:p w14:paraId="391AD228" w14:textId="593053D0" w:rsidR="006F2939" w:rsidRPr="001E6FB0" w:rsidRDefault="006F2939" w:rsidP="00AC064F">
            <w:pPr>
              <w:contextualSpacing/>
              <w:jc w:val="center"/>
            </w:pPr>
            <w:r w:rsidRPr="001E6FB0">
              <w:t>79.7</w:t>
            </w:r>
          </w:p>
        </w:tc>
        <w:tc>
          <w:tcPr>
            <w:tcW w:w="997" w:type="dxa"/>
            <w:noWrap/>
            <w:vAlign w:val="center"/>
          </w:tcPr>
          <w:p w14:paraId="54FD2691" w14:textId="2E0C383E" w:rsidR="006F2939" w:rsidRPr="001E6FB0" w:rsidRDefault="006F2939" w:rsidP="00AC064F">
            <w:pPr>
              <w:contextualSpacing/>
              <w:jc w:val="center"/>
            </w:pPr>
            <w:r w:rsidRPr="001E6FB0">
              <w:t>79.9</w:t>
            </w:r>
          </w:p>
        </w:tc>
      </w:tr>
      <w:tr w:rsidR="006F2939" w:rsidRPr="001E6FB0" w14:paraId="60362E5C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123CD658" w14:textId="77777777" w:rsidR="006F2939" w:rsidRPr="001E6FB0" w:rsidRDefault="006F2939" w:rsidP="006F2939">
            <w:pPr>
              <w:contextualSpacing/>
            </w:pPr>
          </w:p>
        </w:tc>
        <w:tc>
          <w:tcPr>
            <w:tcW w:w="3060" w:type="dxa"/>
            <w:noWrap/>
            <w:vAlign w:val="center"/>
            <w:hideMark/>
          </w:tcPr>
          <w:p w14:paraId="42F7AAD0" w14:textId="77777777" w:rsidR="006F2939" w:rsidRPr="001E6FB0" w:rsidRDefault="006F2939" w:rsidP="006F2939">
            <w:pPr>
              <w:contextualSpacing/>
            </w:pPr>
            <w:proofErr w:type="gramStart"/>
            <w:r w:rsidRPr="001E6FB0">
              <w:t>male</w:t>
            </w:r>
            <w:proofErr w:type="gramEnd"/>
            <w:r w:rsidRPr="001E6FB0">
              <w:t xml:space="preserve"> (%)</w:t>
            </w:r>
          </w:p>
        </w:tc>
        <w:tc>
          <w:tcPr>
            <w:tcW w:w="997" w:type="dxa"/>
            <w:noWrap/>
            <w:vAlign w:val="center"/>
          </w:tcPr>
          <w:p w14:paraId="3260B3EC" w14:textId="25D668A9" w:rsidR="006F2939" w:rsidRPr="001E6FB0" w:rsidRDefault="006F2939" w:rsidP="00AC064F">
            <w:pPr>
              <w:contextualSpacing/>
              <w:jc w:val="center"/>
            </w:pPr>
            <w:r w:rsidRPr="001E6FB0">
              <w:t>44.5</w:t>
            </w:r>
          </w:p>
        </w:tc>
        <w:tc>
          <w:tcPr>
            <w:tcW w:w="997" w:type="dxa"/>
            <w:noWrap/>
            <w:vAlign w:val="center"/>
          </w:tcPr>
          <w:p w14:paraId="42E32DB7" w14:textId="2D79CF79" w:rsidR="006F2939" w:rsidRPr="001E6FB0" w:rsidRDefault="006F2939" w:rsidP="00AC064F">
            <w:pPr>
              <w:contextualSpacing/>
              <w:jc w:val="center"/>
            </w:pPr>
            <w:r w:rsidRPr="001E6FB0">
              <w:t>43.7</w:t>
            </w:r>
          </w:p>
        </w:tc>
        <w:tc>
          <w:tcPr>
            <w:tcW w:w="997" w:type="dxa"/>
            <w:noWrap/>
            <w:vAlign w:val="center"/>
          </w:tcPr>
          <w:p w14:paraId="205D9C2D" w14:textId="351911A6" w:rsidR="006F2939" w:rsidRPr="001E6FB0" w:rsidRDefault="006F2939" w:rsidP="00AC064F">
            <w:pPr>
              <w:contextualSpacing/>
              <w:jc w:val="center"/>
            </w:pPr>
            <w:r w:rsidRPr="001E6FB0">
              <w:t>43.9</w:t>
            </w:r>
          </w:p>
        </w:tc>
        <w:tc>
          <w:tcPr>
            <w:tcW w:w="997" w:type="dxa"/>
            <w:noWrap/>
            <w:vAlign w:val="center"/>
          </w:tcPr>
          <w:p w14:paraId="423D23E5" w14:textId="1DC6EC17" w:rsidR="006F2939" w:rsidRPr="001E6FB0" w:rsidRDefault="006F2939" w:rsidP="00AC064F">
            <w:pPr>
              <w:contextualSpacing/>
              <w:jc w:val="center"/>
            </w:pPr>
            <w:r w:rsidRPr="001E6FB0">
              <w:t>45.4</w:t>
            </w:r>
          </w:p>
        </w:tc>
        <w:tc>
          <w:tcPr>
            <w:tcW w:w="222" w:type="dxa"/>
            <w:noWrap/>
            <w:vAlign w:val="center"/>
            <w:hideMark/>
          </w:tcPr>
          <w:p w14:paraId="3E96CED9" w14:textId="77777777" w:rsidR="006F2939" w:rsidRPr="001E6FB0" w:rsidRDefault="006F2939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3A8A3FB0" w14:textId="735BFF93" w:rsidR="006F2939" w:rsidRPr="001E6FB0" w:rsidRDefault="006F2939" w:rsidP="00AC064F">
            <w:pPr>
              <w:contextualSpacing/>
              <w:jc w:val="center"/>
            </w:pPr>
            <w:r w:rsidRPr="001E6FB0">
              <w:t>45.1</w:t>
            </w:r>
          </w:p>
        </w:tc>
        <w:tc>
          <w:tcPr>
            <w:tcW w:w="997" w:type="dxa"/>
            <w:noWrap/>
            <w:vAlign w:val="center"/>
          </w:tcPr>
          <w:p w14:paraId="64BA0925" w14:textId="2B68A6B6" w:rsidR="006F2939" w:rsidRPr="001E6FB0" w:rsidRDefault="006F2939" w:rsidP="00AC064F">
            <w:pPr>
              <w:contextualSpacing/>
              <w:jc w:val="center"/>
            </w:pPr>
            <w:r w:rsidRPr="001E6FB0">
              <w:t>44.1</w:t>
            </w:r>
          </w:p>
        </w:tc>
        <w:tc>
          <w:tcPr>
            <w:tcW w:w="997" w:type="dxa"/>
            <w:noWrap/>
            <w:vAlign w:val="center"/>
          </w:tcPr>
          <w:p w14:paraId="4FFDB1D9" w14:textId="68D054C7" w:rsidR="006F2939" w:rsidRPr="001E6FB0" w:rsidRDefault="006F2939" w:rsidP="00AC064F">
            <w:pPr>
              <w:contextualSpacing/>
              <w:jc w:val="center"/>
            </w:pPr>
            <w:r w:rsidRPr="001E6FB0">
              <w:t>44.0</w:t>
            </w:r>
          </w:p>
        </w:tc>
        <w:tc>
          <w:tcPr>
            <w:tcW w:w="997" w:type="dxa"/>
            <w:noWrap/>
            <w:vAlign w:val="center"/>
          </w:tcPr>
          <w:p w14:paraId="529CB0C4" w14:textId="1B514D22" w:rsidR="006F2939" w:rsidRPr="001E6FB0" w:rsidRDefault="006F2939" w:rsidP="00AC064F">
            <w:pPr>
              <w:contextualSpacing/>
              <w:jc w:val="center"/>
            </w:pPr>
            <w:r w:rsidRPr="001E6FB0">
              <w:t>43.2</w:t>
            </w:r>
          </w:p>
        </w:tc>
      </w:tr>
      <w:tr w:rsidR="006F2939" w:rsidRPr="001E6FB0" w14:paraId="76889D07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199D737D" w14:textId="77777777" w:rsidR="006F2939" w:rsidRPr="001E6FB0" w:rsidRDefault="006F2939" w:rsidP="006F2939">
            <w:pPr>
              <w:contextualSpacing/>
            </w:pPr>
          </w:p>
        </w:tc>
        <w:tc>
          <w:tcPr>
            <w:tcW w:w="3060" w:type="dxa"/>
            <w:vAlign w:val="center"/>
            <w:hideMark/>
          </w:tcPr>
          <w:p w14:paraId="486443BF" w14:textId="77777777" w:rsidR="006F2939" w:rsidRPr="001E6FB0" w:rsidRDefault="006F2939" w:rsidP="006F2939">
            <w:pPr>
              <w:contextualSpacing/>
            </w:pPr>
            <w:proofErr w:type="gramStart"/>
            <w:r w:rsidRPr="001E6FB0">
              <w:t>multiple</w:t>
            </w:r>
            <w:proofErr w:type="gramEnd"/>
            <w:r w:rsidRPr="001E6FB0">
              <w:t xml:space="preserve"> organ failure (%)</w:t>
            </w:r>
          </w:p>
        </w:tc>
        <w:tc>
          <w:tcPr>
            <w:tcW w:w="997" w:type="dxa"/>
            <w:noWrap/>
            <w:vAlign w:val="center"/>
          </w:tcPr>
          <w:p w14:paraId="4987DF36" w14:textId="1908C7FA" w:rsidR="006F2939" w:rsidRPr="001E6FB0" w:rsidRDefault="006F2939" w:rsidP="00AC064F">
            <w:pPr>
              <w:contextualSpacing/>
              <w:jc w:val="center"/>
            </w:pPr>
            <w:r w:rsidRPr="001E6FB0">
              <w:t>33.1</w:t>
            </w:r>
          </w:p>
        </w:tc>
        <w:tc>
          <w:tcPr>
            <w:tcW w:w="997" w:type="dxa"/>
            <w:noWrap/>
            <w:vAlign w:val="center"/>
          </w:tcPr>
          <w:p w14:paraId="7C8AF8E0" w14:textId="00EC8543" w:rsidR="006F2939" w:rsidRPr="001E6FB0" w:rsidRDefault="006F2939" w:rsidP="00AC064F">
            <w:pPr>
              <w:contextualSpacing/>
              <w:jc w:val="center"/>
            </w:pPr>
            <w:r w:rsidRPr="001E6FB0">
              <w:t>31.8</w:t>
            </w:r>
          </w:p>
        </w:tc>
        <w:tc>
          <w:tcPr>
            <w:tcW w:w="997" w:type="dxa"/>
            <w:noWrap/>
            <w:vAlign w:val="center"/>
          </w:tcPr>
          <w:p w14:paraId="7A7A968B" w14:textId="0CC0FABD" w:rsidR="006F2939" w:rsidRPr="001E6FB0" w:rsidRDefault="006F2939" w:rsidP="00AC064F">
            <w:pPr>
              <w:contextualSpacing/>
              <w:jc w:val="center"/>
            </w:pPr>
            <w:r w:rsidRPr="001E6FB0">
              <w:t>30.9</w:t>
            </w:r>
          </w:p>
        </w:tc>
        <w:tc>
          <w:tcPr>
            <w:tcW w:w="997" w:type="dxa"/>
            <w:noWrap/>
            <w:vAlign w:val="center"/>
          </w:tcPr>
          <w:p w14:paraId="4BEE455C" w14:textId="625FDC42" w:rsidR="006F2939" w:rsidRPr="001E6FB0" w:rsidRDefault="006F2939" w:rsidP="00AC064F">
            <w:pPr>
              <w:contextualSpacing/>
              <w:jc w:val="center"/>
            </w:pPr>
            <w:r w:rsidRPr="001E6FB0">
              <w:t>28.5</w:t>
            </w:r>
          </w:p>
        </w:tc>
        <w:tc>
          <w:tcPr>
            <w:tcW w:w="222" w:type="dxa"/>
            <w:noWrap/>
            <w:vAlign w:val="center"/>
            <w:hideMark/>
          </w:tcPr>
          <w:p w14:paraId="0EE7C5CC" w14:textId="77777777" w:rsidR="006F2939" w:rsidRPr="001E6FB0" w:rsidRDefault="006F2939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6C9BE1BF" w14:textId="1291ACC7" w:rsidR="006F2939" w:rsidRPr="001E6FB0" w:rsidRDefault="006F2939" w:rsidP="00AC064F">
            <w:pPr>
              <w:contextualSpacing/>
              <w:jc w:val="center"/>
            </w:pPr>
            <w:r w:rsidRPr="001E6FB0">
              <w:t>30.4</w:t>
            </w:r>
          </w:p>
        </w:tc>
        <w:tc>
          <w:tcPr>
            <w:tcW w:w="997" w:type="dxa"/>
            <w:noWrap/>
            <w:vAlign w:val="center"/>
          </w:tcPr>
          <w:p w14:paraId="333056E5" w14:textId="799E1386" w:rsidR="006F2939" w:rsidRPr="001E6FB0" w:rsidRDefault="006F2939" w:rsidP="00AC064F">
            <w:pPr>
              <w:contextualSpacing/>
              <w:jc w:val="center"/>
            </w:pPr>
            <w:r w:rsidRPr="001E6FB0">
              <w:t>31.5</w:t>
            </w:r>
          </w:p>
        </w:tc>
        <w:tc>
          <w:tcPr>
            <w:tcW w:w="997" w:type="dxa"/>
            <w:noWrap/>
            <w:vAlign w:val="center"/>
          </w:tcPr>
          <w:p w14:paraId="6082686E" w14:textId="405FF597" w:rsidR="006F2939" w:rsidRPr="001E6FB0" w:rsidRDefault="006F2939" w:rsidP="00AC064F">
            <w:pPr>
              <w:contextualSpacing/>
              <w:jc w:val="center"/>
            </w:pPr>
            <w:r w:rsidRPr="001E6FB0">
              <w:t>32.5</w:t>
            </w:r>
          </w:p>
        </w:tc>
        <w:tc>
          <w:tcPr>
            <w:tcW w:w="997" w:type="dxa"/>
            <w:noWrap/>
            <w:vAlign w:val="center"/>
          </w:tcPr>
          <w:p w14:paraId="05ED2A9E" w14:textId="3C5D69B6" w:rsidR="006F2939" w:rsidRPr="001E6FB0" w:rsidRDefault="006F2939" w:rsidP="00AC064F">
            <w:pPr>
              <w:contextualSpacing/>
              <w:jc w:val="center"/>
            </w:pPr>
            <w:r w:rsidRPr="001E6FB0">
              <w:t>31.3</w:t>
            </w:r>
          </w:p>
        </w:tc>
      </w:tr>
      <w:tr w:rsidR="006F2939" w:rsidRPr="001E6FB0" w14:paraId="10345091" w14:textId="77777777" w:rsidTr="00AC064F">
        <w:trPr>
          <w:trHeight w:val="300"/>
        </w:trPr>
        <w:tc>
          <w:tcPr>
            <w:tcW w:w="990" w:type="dxa"/>
            <w:noWrap/>
            <w:vAlign w:val="center"/>
            <w:hideMark/>
          </w:tcPr>
          <w:p w14:paraId="71FD0722" w14:textId="77777777" w:rsidR="006F2939" w:rsidRPr="001E6FB0" w:rsidRDefault="006F2939" w:rsidP="006F2939">
            <w:pPr>
              <w:contextualSpacing/>
            </w:pPr>
          </w:p>
        </w:tc>
        <w:tc>
          <w:tcPr>
            <w:tcW w:w="3060" w:type="dxa"/>
            <w:vAlign w:val="center"/>
            <w:hideMark/>
          </w:tcPr>
          <w:p w14:paraId="13078B48" w14:textId="77777777" w:rsidR="006F2939" w:rsidRPr="001E6FB0" w:rsidRDefault="006F2939" w:rsidP="006F2939">
            <w:pPr>
              <w:contextualSpacing/>
            </w:pPr>
            <w:r w:rsidRPr="001E6FB0">
              <w:t>days in ICU/CCU (mean)</w:t>
            </w:r>
          </w:p>
        </w:tc>
        <w:tc>
          <w:tcPr>
            <w:tcW w:w="997" w:type="dxa"/>
            <w:noWrap/>
            <w:vAlign w:val="center"/>
          </w:tcPr>
          <w:p w14:paraId="2376FA3D" w14:textId="66AD4C5F" w:rsidR="006F2939" w:rsidRPr="001E6FB0" w:rsidRDefault="006F2939" w:rsidP="00AC064F">
            <w:pPr>
              <w:contextualSpacing/>
              <w:jc w:val="center"/>
            </w:pPr>
            <w:r w:rsidRPr="001E6FB0">
              <w:t>3.0</w:t>
            </w:r>
          </w:p>
        </w:tc>
        <w:tc>
          <w:tcPr>
            <w:tcW w:w="997" w:type="dxa"/>
            <w:noWrap/>
            <w:vAlign w:val="center"/>
          </w:tcPr>
          <w:p w14:paraId="266AA8AA" w14:textId="2157CFE0" w:rsidR="006F2939" w:rsidRPr="001E6FB0" w:rsidRDefault="006F2939" w:rsidP="00AC064F">
            <w:pPr>
              <w:contextualSpacing/>
              <w:jc w:val="center"/>
            </w:pPr>
            <w:r w:rsidRPr="001E6FB0">
              <w:t>2.9</w:t>
            </w:r>
          </w:p>
        </w:tc>
        <w:tc>
          <w:tcPr>
            <w:tcW w:w="997" w:type="dxa"/>
            <w:noWrap/>
            <w:vAlign w:val="center"/>
          </w:tcPr>
          <w:p w14:paraId="64D54591" w14:textId="40CE856A" w:rsidR="006F2939" w:rsidRPr="001E6FB0" w:rsidRDefault="006F2939" w:rsidP="00AC064F">
            <w:pPr>
              <w:contextualSpacing/>
              <w:jc w:val="center"/>
            </w:pPr>
            <w:r w:rsidRPr="001E6FB0">
              <w:t>2.6</w:t>
            </w:r>
          </w:p>
        </w:tc>
        <w:tc>
          <w:tcPr>
            <w:tcW w:w="997" w:type="dxa"/>
            <w:noWrap/>
            <w:vAlign w:val="center"/>
          </w:tcPr>
          <w:p w14:paraId="64DAB446" w14:textId="4DE10075" w:rsidR="006F2939" w:rsidRPr="001E6FB0" w:rsidRDefault="006F2939" w:rsidP="00AC064F">
            <w:pPr>
              <w:contextualSpacing/>
              <w:jc w:val="center"/>
            </w:pPr>
            <w:r w:rsidRPr="001E6FB0">
              <w:t>2.0</w:t>
            </w:r>
          </w:p>
        </w:tc>
        <w:tc>
          <w:tcPr>
            <w:tcW w:w="222" w:type="dxa"/>
            <w:noWrap/>
            <w:vAlign w:val="center"/>
            <w:hideMark/>
          </w:tcPr>
          <w:p w14:paraId="3542D126" w14:textId="77777777" w:rsidR="006F2939" w:rsidRPr="001E6FB0" w:rsidRDefault="006F2939" w:rsidP="00AC064F">
            <w:pPr>
              <w:contextualSpacing/>
              <w:jc w:val="center"/>
            </w:pPr>
          </w:p>
        </w:tc>
        <w:tc>
          <w:tcPr>
            <w:tcW w:w="997" w:type="dxa"/>
            <w:noWrap/>
            <w:vAlign w:val="center"/>
          </w:tcPr>
          <w:p w14:paraId="5F5E71F9" w14:textId="4BDB773F" w:rsidR="006F2939" w:rsidRPr="001E6FB0" w:rsidRDefault="006F2939" w:rsidP="00AC064F">
            <w:pPr>
              <w:contextualSpacing/>
              <w:jc w:val="center"/>
            </w:pPr>
            <w:r w:rsidRPr="001E6FB0">
              <w:t>2.4</w:t>
            </w:r>
          </w:p>
        </w:tc>
        <w:tc>
          <w:tcPr>
            <w:tcW w:w="997" w:type="dxa"/>
            <w:noWrap/>
            <w:vAlign w:val="center"/>
          </w:tcPr>
          <w:p w14:paraId="45474F20" w14:textId="3D7A978F" w:rsidR="006F2939" w:rsidRPr="001E6FB0" w:rsidRDefault="006F2939" w:rsidP="00AC064F">
            <w:pPr>
              <w:contextualSpacing/>
              <w:jc w:val="center"/>
            </w:pPr>
            <w:r w:rsidRPr="001E6FB0">
              <w:t>2.4</w:t>
            </w:r>
          </w:p>
        </w:tc>
        <w:tc>
          <w:tcPr>
            <w:tcW w:w="997" w:type="dxa"/>
            <w:noWrap/>
            <w:vAlign w:val="center"/>
          </w:tcPr>
          <w:p w14:paraId="5BB34727" w14:textId="23152377" w:rsidR="006F2939" w:rsidRPr="001E6FB0" w:rsidRDefault="006F2939" w:rsidP="00AC064F">
            <w:pPr>
              <w:contextualSpacing/>
              <w:jc w:val="center"/>
            </w:pPr>
            <w:r w:rsidRPr="001E6FB0">
              <w:t>3.1</w:t>
            </w:r>
          </w:p>
        </w:tc>
        <w:tc>
          <w:tcPr>
            <w:tcW w:w="997" w:type="dxa"/>
            <w:noWrap/>
            <w:vAlign w:val="center"/>
          </w:tcPr>
          <w:p w14:paraId="07BD9CC8" w14:textId="7CFE4FE3" w:rsidR="006F2939" w:rsidRPr="001E6FB0" w:rsidRDefault="006F2939" w:rsidP="00AC064F">
            <w:pPr>
              <w:contextualSpacing/>
              <w:jc w:val="center"/>
            </w:pPr>
            <w:r w:rsidRPr="001E6FB0">
              <w:t>3.0</w:t>
            </w:r>
          </w:p>
        </w:tc>
      </w:tr>
    </w:tbl>
    <w:p w14:paraId="42038F16" w14:textId="434BB87E" w:rsidR="00E43244" w:rsidRPr="001E6FB0" w:rsidRDefault="00415E2E" w:rsidP="00E43244">
      <w:pPr>
        <w:contextualSpacing/>
      </w:pPr>
      <w:r w:rsidRPr="001E6FB0">
        <w:t xml:space="preserve">  </w:t>
      </w:r>
    </w:p>
    <w:p w14:paraId="1D95129D" w14:textId="77777777" w:rsidR="00E43244" w:rsidRPr="001E6FB0" w:rsidRDefault="00E43244" w:rsidP="00E43244">
      <w:pPr>
        <w:contextualSpacing/>
      </w:pPr>
    </w:p>
    <w:p w14:paraId="7AF7DFC8" w14:textId="77777777" w:rsidR="00E43244" w:rsidRPr="001E6FB0" w:rsidRDefault="00E43244" w:rsidP="008A5A93">
      <w:pPr>
        <w:spacing w:after="0" w:line="240" w:lineRule="auto"/>
        <w:ind w:left="180"/>
        <w:contextualSpacing/>
      </w:pPr>
    </w:p>
    <w:sectPr w:rsidR="00E43244" w:rsidRPr="001E6FB0" w:rsidSect="00AC064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36874" w14:textId="77777777" w:rsidR="00E4540A" w:rsidRDefault="00E4540A" w:rsidP="000961ED">
      <w:pPr>
        <w:spacing w:after="0" w:line="240" w:lineRule="auto"/>
      </w:pPr>
      <w:r>
        <w:separator/>
      </w:r>
    </w:p>
  </w:endnote>
  <w:endnote w:type="continuationSeparator" w:id="0">
    <w:p w14:paraId="58E50CA3" w14:textId="77777777" w:rsidR="00E4540A" w:rsidRDefault="00E4540A" w:rsidP="0009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F5450" w14:textId="77777777" w:rsidR="00E4540A" w:rsidRDefault="00E4540A" w:rsidP="000961ED">
      <w:pPr>
        <w:spacing w:after="0" w:line="240" w:lineRule="auto"/>
      </w:pPr>
      <w:r>
        <w:separator/>
      </w:r>
    </w:p>
  </w:footnote>
  <w:footnote w:type="continuationSeparator" w:id="0">
    <w:p w14:paraId="75DBAFAB" w14:textId="77777777" w:rsidR="00E4540A" w:rsidRDefault="00E4540A" w:rsidP="000961ED">
      <w:pPr>
        <w:spacing w:after="0" w:line="240" w:lineRule="auto"/>
      </w:pPr>
      <w:r>
        <w:continuationSeparator/>
      </w:r>
    </w:p>
  </w:footnote>
  <w:footnote w:id="1">
    <w:p w14:paraId="2CA42F94" w14:textId="77777777" w:rsidR="00646ED9" w:rsidRDefault="00646ED9" w:rsidP="00646ED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3168">
        <w:t xml:space="preserve">Stock, James H. and </w:t>
      </w:r>
      <w:proofErr w:type="spellStart"/>
      <w:r w:rsidRPr="005E3168">
        <w:t>Yogo</w:t>
      </w:r>
      <w:proofErr w:type="spellEnd"/>
      <w:r w:rsidRPr="005E3168">
        <w:t xml:space="preserve">, </w:t>
      </w:r>
      <w:proofErr w:type="spellStart"/>
      <w:r w:rsidRPr="005E3168">
        <w:t>Motohiro</w:t>
      </w:r>
      <w:proofErr w:type="spellEnd"/>
      <w:r w:rsidRPr="005E3168">
        <w:t>, (200</w:t>
      </w:r>
      <w:r>
        <w:t>5</w:t>
      </w:r>
      <w:r w:rsidRPr="005E3168">
        <w:t xml:space="preserve">), </w:t>
      </w:r>
      <w:r>
        <w:t xml:space="preserve">Testing for Weak Instruments in Linear IV Regression.  In Identification and Inference for Econometric Models: Essays in Honor of Thomas Rothenberg, ed. D. W. K. Andrews and J. H. Stock, p.80-108.  Cambridge: Cambridge University Press.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459A1" w14:textId="4AF18B5F" w:rsidR="008A5A93" w:rsidRDefault="00FC27BD" w:rsidP="008A5A93">
    <w:pPr>
      <w:pStyle w:val="Header"/>
    </w:pPr>
    <w:r>
      <w:t>The Role of Long Term Acute Care Hospitals in Treating the Critically Ill and Medically Complex: An Analysis of Non-Ventilator Patients</w:t>
    </w:r>
    <w:r w:rsidR="008A5A93">
      <w:t xml:space="preserve"> </w:t>
    </w:r>
  </w:p>
  <w:p w14:paraId="4FAF5DDD" w14:textId="77777777" w:rsidR="008A5A93" w:rsidRDefault="008A5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B2019"/>
    <w:multiLevelType w:val="hybridMultilevel"/>
    <w:tmpl w:val="0354120E"/>
    <w:lvl w:ilvl="0" w:tplc="04090001">
      <w:start w:val="20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C319B"/>
    <w:multiLevelType w:val="hybridMultilevel"/>
    <w:tmpl w:val="1FD46E8C"/>
    <w:lvl w:ilvl="0" w:tplc="EF3EA2E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2522CE"/>
    <w:multiLevelType w:val="hybridMultilevel"/>
    <w:tmpl w:val="C3EA732E"/>
    <w:lvl w:ilvl="0" w:tplc="50DC9C8A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ED"/>
    <w:rsid w:val="00092141"/>
    <w:rsid w:val="000961ED"/>
    <w:rsid w:val="000F6AC6"/>
    <w:rsid w:val="001416F6"/>
    <w:rsid w:val="001E6FB0"/>
    <w:rsid w:val="002339D6"/>
    <w:rsid w:val="00304FCC"/>
    <w:rsid w:val="0030597E"/>
    <w:rsid w:val="003E3120"/>
    <w:rsid w:val="00415E2E"/>
    <w:rsid w:val="004451F2"/>
    <w:rsid w:val="00463EBD"/>
    <w:rsid w:val="0050270F"/>
    <w:rsid w:val="00591BDE"/>
    <w:rsid w:val="00597686"/>
    <w:rsid w:val="00646ED9"/>
    <w:rsid w:val="006A3D9D"/>
    <w:rsid w:val="006F2939"/>
    <w:rsid w:val="00844B21"/>
    <w:rsid w:val="00885D83"/>
    <w:rsid w:val="008A5A93"/>
    <w:rsid w:val="008E16CF"/>
    <w:rsid w:val="009B2B10"/>
    <w:rsid w:val="00A95493"/>
    <w:rsid w:val="00AC064F"/>
    <w:rsid w:val="00B93D27"/>
    <w:rsid w:val="00C94F88"/>
    <w:rsid w:val="00D407F5"/>
    <w:rsid w:val="00DA2502"/>
    <w:rsid w:val="00DA62DE"/>
    <w:rsid w:val="00DC4BCC"/>
    <w:rsid w:val="00DF46BB"/>
    <w:rsid w:val="00E43244"/>
    <w:rsid w:val="00E4540A"/>
    <w:rsid w:val="00E62090"/>
    <w:rsid w:val="00EF046F"/>
    <w:rsid w:val="00F15B58"/>
    <w:rsid w:val="00F848F2"/>
    <w:rsid w:val="00F94BF1"/>
    <w:rsid w:val="00FC27BD"/>
    <w:rsid w:val="00FD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A56A"/>
  <w15:docId w15:val="{8078C016-B0BA-4405-B3D1-EF7870A3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E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961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961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61E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F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5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A93"/>
  </w:style>
  <w:style w:type="paragraph" w:styleId="Footer">
    <w:name w:val="footer"/>
    <w:basedOn w:val="Normal"/>
    <w:link w:val="FooterChar"/>
    <w:uiPriority w:val="99"/>
    <w:unhideWhenUsed/>
    <w:rsid w:val="008A5A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A93"/>
  </w:style>
  <w:style w:type="table" w:styleId="TableGrid">
    <w:name w:val="Table Grid"/>
    <w:basedOn w:val="TableNormal"/>
    <w:uiPriority w:val="59"/>
    <w:rsid w:val="00415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5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4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4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95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9B656-99F6-484F-8712-C0246750C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Saavoss</dc:creator>
  <cp:lastModifiedBy>Berna</cp:lastModifiedBy>
  <cp:revision>2</cp:revision>
  <dcterms:created xsi:type="dcterms:W3CDTF">2015-04-01T23:43:00Z</dcterms:created>
  <dcterms:modified xsi:type="dcterms:W3CDTF">2015-04-01T23:43:00Z</dcterms:modified>
</cp:coreProperties>
</file>