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EFA5" w14:textId="4F4B49AC" w:rsidR="00F16B4C" w:rsidRPr="00632F82" w:rsidRDefault="00F16B4C" w:rsidP="00F16B4C">
      <w:pPr>
        <w:rPr>
          <w:b/>
        </w:rPr>
      </w:pPr>
      <w:r w:rsidRPr="00632F82">
        <w:rPr>
          <w:b/>
        </w:rPr>
        <w:t xml:space="preserve">APPENDIX </w:t>
      </w:r>
      <w:r w:rsidR="009F6072" w:rsidRPr="00632F82">
        <w:rPr>
          <w:b/>
        </w:rPr>
        <w:t>C</w:t>
      </w:r>
      <w:r w:rsidRPr="00632F82">
        <w:rPr>
          <w:b/>
        </w:rPr>
        <w:t>: Sensitivity Analys</w:t>
      </w:r>
      <w:r w:rsidR="0051332F" w:rsidRPr="00632F82">
        <w:rPr>
          <w:b/>
        </w:rPr>
        <w:t>i</w:t>
      </w:r>
      <w:r w:rsidRPr="00632F82">
        <w:rPr>
          <w:b/>
        </w:rPr>
        <w:t>s</w:t>
      </w:r>
    </w:p>
    <w:p w14:paraId="062C0524" w14:textId="14F19A4B" w:rsidR="00162D6A" w:rsidRPr="00632F82" w:rsidRDefault="00162D6A" w:rsidP="007422BC">
      <w:pPr>
        <w:pStyle w:val="ListParagraph"/>
        <w:numPr>
          <w:ilvl w:val="0"/>
          <w:numId w:val="1"/>
        </w:numPr>
        <w:rPr>
          <w:b/>
          <w:i/>
        </w:rPr>
      </w:pPr>
      <w:r w:rsidRPr="00632F82">
        <w:rPr>
          <w:b/>
          <w:i/>
        </w:rPr>
        <w:t>Use of Alternative Instruments for the Musculoskeletal and Connective Tissue Group (MDC 08)</w:t>
      </w:r>
    </w:p>
    <w:p w14:paraId="624E3127" w14:textId="79582C6A" w:rsidR="00162D6A" w:rsidRPr="00632F82" w:rsidRDefault="000B0356" w:rsidP="00F16B4C">
      <w:r w:rsidRPr="00632F82">
        <w:t xml:space="preserve">The </w:t>
      </w:r>
      <w:proofErr w:type="spellStart"/>
      <w:r w:rsidRPr="00632F82">
        <w:t>Sargan</w:t>
      </w:r>
      <w:proofErr w:type="spellEnd"/>
      <w:r w:rsidRPr="00632F82">
        <w:t xml:space="preserve">-Hansen test of </w:t>
      </w:r>
      <w:proofErr w:type="spellStart"/>
      <w:r w:rsidRPr="00632F82">
        <w:t>overidentifying</w:t>
      </w:r>
      <w:proofErr w:type="spellEnd"/>
      <w:r w:rsidRPr="00632F82">
        <w:t xml:space="preserve"> restrictions </w:t>
      </w:r>
      <w:r w:rsidR="00B156BF" w:rsidRPr="00632F82">
        <w:t xml:space="preserve">in the mortality model </w:t>
      </w:r>
      <w:r w:rsidRPr="00632F82">
        <w:t xml:space="preserve">yielded a p-value of 0.079 for MDC 08, failing to reject the null hypothesis of </w:t>
      </w:r>
      <w:proofErr w:type="spellStart"/>
      <w:r w:rsidRPr="00632F82">
        <w:t>exogeneous</w:t>
      </w:r>
      <w:proofErr w:type="spellEnd"/>
      <w:r w:rsidRPr="00632F82">
        <w:t xml:space="preserve"> instruments at 5% significance level but rejecting it at the 10% level</w:t>
      </w:r>
      <w:r w:rsidR="00643C0A" w:rsidRPr="00632F82">
        <w:t xml:space="preserve"> (App</w:t>
      </w:r>
      <w:r w:rsidRPr="00632F82">
        <w:t xml:space="preserve">endix B).  </w:t>
      </w:r>
      <w:r w:rsidR="00643C0A" w:rsidRPr="00632F82">
        <w:t xml:space="preserve">Due to this ambiguous result, we conducted sensitivity analysis </w:t>
      </w:r>
      <w:r w:rsidR="00B156BF" w:rsidRPr="00632F82">
        <w:t>using a different instrumental variable in estimating the mortality model for this group</w:t>
      </w:r>
      <w:r w:rsidR="00643C0A" w:rsidRPr="00632F82">
        <w:t xml:space="preserve">.  Namely, we used </w:t>
      </w:r>
      <w:r w:rsidR="00643C0A" w:rsidRPr="00632F82">
        <w:rPr>
          <w:rFonts w:cs="Arial"/>
          <w:color w:val="000000"/>
        </w:rPr>
        <w:t xml:space="preserve">a dummy variable indicating the distance between the index ACH and the nearest LTCH is less than </w:t>
      </w:r>
      <w:r w:rsidR="007422BC" w:rsidRPr="00632F82">
        <w:rPr>
          <w:rFonts w:cs="Arial"/>
          <w:color w:val="000000"/>
        </w:rPr>
        <w:t>0.</w:t>
      </w:r>
      <w:r w:rsidR="00643C0A" w:rsidRPr="00632F82">
        <w:rPr>
          <w:rFonts w:cs="Arial"/>
          <w:color w:val="000000"/>
        </w:rPr>
        <w:t xml:space="preserve">25 miles along with </w:t>
      </w:r>
      <w:r w:rsidR="00643C0A" w:rsidRPr="00632F82">
        <w:t xml:space="preserve">the </w:t>
      </w:r>
      <w:r w:rsidR="00643C0A" w:rsidRPr="00632F82">
        <w:rPr>
          <w:rFonts w:cs="Arial"/>
          <w:color w:val="000000"/>
        </w:rPr>
        <w:t xml:space="preserve">distance between the index ACH and the nearest LTCH as instruments.  Diagnostic tests provided support for the validity of these instruments, both in terms of relevance and </w:t>
      </w:r>
      <w:proofErr w:type="spellStart"/>
      <w:r w:rsidR="00643C0A" w:rsidRPr="00632F82">
        <w:rPr>
          <w:rFonts w:cs="Arial"/>
          <w:color w:val="000000"/>
        </w:rPr>
        <w:t>exogeneity</w:t>
      </w:r>
      <w:proofErr w:type="spellEnd"/>
      <w:r w:rsidR="00643C0A" w:rsidRPr="00632F82">
        <w:rPr>
          <w:rFonts w:cs="Arial"/>
          <w:color w:val="000000"/>
        </w:rPr>
        <w:t xml:space="preserve"> (Appendix B).  </w:t>
      </w:r>
      <w:r w:rsidR="00B156BF" w:rsidRPr="00632F82">
        <w:rPr>
          <w:rFonts w:cs="Arial"/>
          <w:color w:val="000000"/>
        </w:rPr>
        <w:t>The results obtained using the new instrum</w:t>
      </w:r>
      <w:r w:rsidR="002F6B24" w:rsidRPr="00632F82">
        <w:rPr>
          <w:rFonts w:cs="Arial"/>
          <w:color w:val="000000"/>
        </w:rPr>
        <w:t>ent</w:t>
      </w:r>
      <w:r w:rsidR="009E582D" w:rsidRPr="00632F82">
        <w:rPr>
          <w:rFonts w:cs="Arial"/>
          <w:color w:val="000000"/>
        </w:rPr>
        <w:t>s</w:t>
      </w:r>
      <w:r w:rsidR="002F6B24" w:rsidRPr="00632F82">
        <w:rPr>
          <w:rFonts w:cs="Arial"/>
          <w:color w:val="000000"/>
        </w:rPr>
        <w:t xml:space="preserve"> are presented in Table </w:t>
      </w:r>
      <w:r w:rsidR="009F6072" w:rsidRPr="00632F82">
        <w:rPr>
          <w:rFonts w:cs="Arial"/>
          <w:color w:val="000000"/>
        </w:rPr>
        <w:t>C1</w:t>
      </w:r>
      <w:r w:rsidR="002F6B24" w:rsidRPr="00632F82">
        <w:rPr>
          <w:rFonts w:cs="Arial"/>
          <w:color w:val="000000"/>
        </w:rPr>
        <w:t xml:space="preserve">.  </w:t>
      </w:r>
      <w:r w:rsidR="00AF2A59" w:rsidRPr="00632F82">
        <w:rPr>
          <w:rFonts w:cs="Arial"/>
          <w:color w:val="000000"/>
        </w:rPr>
        <w:t>They yield findings that are qualitatively similar to the ones obtained for the Musculoskeletal and Connective Tissue Group using the original set of instruments.</w:t>
      </w:r>
      <w:r w:rsidR="002F6B24" w:rsidRPr="00632F82">
        <w:rPr>
          <w:rFonts w:cs="Arial"/>
          <w:color w:val="000000"/>
        </w:rPr>
        <w:t xml:space="preserve">  </w:t>
      </w:r>
    </w:p>
    <w:p w14:paraId="4CE21D38" w14:textId="77777777" w:rsidR="002F6B24" w:rsidRPr="00632F82" w:rsidRDefault="002F6B24">
      <w:r w:rsidRPr="00632F82">
        <w:br w:type="page"/>
      </w:r>
    </w:p>
    <w:p w14:paraId="0A193A6E" w14:textId="77777777" w:rsidR="002F6B24" w:rsidRPr="00632F82" w:rsidRDefault="002F6B24" w:rsidP="00F16B4C">
      <w:pPr>
        <w:sectPr w:rsidR="002F6B24" w:rsidRPr="00632F82" w:rsidSect="002F6B24">
          <w:headerReference w:type="default" r:id="rId8"/>
          <w:pgSz w:w="12240" w:h="15840"/>
          <w:pgMar w:top="720" w:right="720" w:bottom="720" w:left="720" w:header="720" w:footer="720" w:gutter="0"/>
          <w:cols w:space="720"/>
          <w:docGrid w:linePitch="360"/>
        </w:sectPr>
      </w:pPr>
    </w:p>
    <w:p w14:paraId="56F04784" w14:textId="05FE0BDB" w:rsidR="00162D6A" w:rsidRPr="00632F82" w:rsidRDefault="002F6B24" w:rsidP="00F16B4C">
      <w:pPr>
        <w:rPr>
          <w:b/>
        </w:rPr>
      </w:pPr>
      <w:r w:rsidRPr="00632F82">
        <w:rPr>
          <w:b/>
        </w:rPr>
        <w:lastRenderedPageBreak/>
        <w:t xml:space="preserve">Table </w:t>
      </w:r>
      <w:r w:rsidR="009F6072" w:rsidRPr="00632F82">
        <w:rPr>
          <w:b/>
        </w:rPr>
        <w:t>C1</w:t>
      </w:r>
      <w:r w:rsidRPr="00632F82">
        <w:rPr>
          <w:b/>
        </w:rPr>
        <w:t>: Sensitivity Analysis Using Different Instruments: Marginal Effect of LTCH on Probability of 365-day Mortality</w:t>
      </w:r>
    </w:p>
    <w:tbl>
      <w:tblPr>
        <w:tblW w:w="14523" w:type="dxa"/>
        <w:tblInd w:w="93" w:type="dxa"/>
        <w:tblBorders>
          <w:top w:val="single" w:sz="12" w:space="0" w:color="auto"/>
          <w:bottom w:val="single" w:sz="12" w:space="0" w:color="auto"/>
        </w:tblBorders>
        <w:tblLook w:val="04A0" w:firstRow="1" w:lastRow="0" w:firstColumn="1" w:lastColumn="0" w:noHBand="0" w:noVBand="1"/>
      </w:tblPr>
      <w:tblGrid>
        <w:gridCol w:w="4077"/>
        <w:gridCol w:w="1429"/>
        <w:gridCol w:w="222"/>
        <w:gridCol w:w="1427"/>
        <w:gridCol w:w="1428"/>
        <w:gridCol w:w="1419"/>
        <w:gridCol w:w="222"/>
        <w:gridCol w:w="1440"/>
        <w:gridCol w:w="1440"/>
        <w:gridCol w:w="1419"/>
      </w:tblGrid>
      <w:tr w:rsidR="002F6B24" w:rsidRPr="00632F82" w14:paraId="3D42F87E" w14:textId="77777777" w:rsidTr="007422BC">
        <w:trPr>
          <w:trHeight w:val="585"/>
        </w:trPr>
        <w:tc>
          <w:tcPr>
            <w:tcW w:w="4077" w:type="dxa"/>
            <w:tcBorders>
              <w:bottom w:val="nil"/>
            </w:tcBorders>
            <w:shd w:val="clear" w:color="auto" w:fill="auto"/>
            <w:noWrap/>
            <w:vAlign w:val="bottom"/>
            <w:hideMark/>
          </w:tcPr>
          <w:p w14:paraId="180C898B" w14:textId="77777777" w:rsidR="002F6B24" w:rsidRPr="00632F82" w:rsidRDefault="002F6B24"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29" w:type="dxa"/>
            <w:tcBorders>
              <w:top w:val="single" w:sz="12" w:space="0" w:color="auto"/>
              <w:bottom w:val="single" w:sz="4" w:space="0" w:color="auto"/>
            </w:tcBorders>
            <w:shd w:val="clear" w:color="auto" w:fill="auto"/>
            <w:vAlign w:val="center"/>
            <w:hideMark/>
          </w:tcPr>
          <w:p w14:paraId="34056506" w14:textId="77777777" w:rsidR="002F6B24" w:rsidRPr="00632F82" w:rsidRDefault="002F6B24"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Baseline Model</w:t>
            </w:r>
          </w:p>
        </w:tc>
        <w:tc>
          <w:tcPr>
            <w:tcW w:w="222" w:type="dxa"/>
            <w:tcBorders>
              <w:top w:val="single" w:sz="12" w:space="0" w:color="auto"/>
              <w:bottom w:val="nil"/>
            </w:tcBorders>
          </w:tcPr>
          <w:p w14:paraId="4E01749D" w14:textId="77777777" w:rsidR="002F6B24" w:rsidRPr="00632F82" w:rsidRDefault="002F6B24" w:rsidP="00F7292C">
            <w:pPr>
              <w:spacing w:after="0" w:line="240" w:lineRule="auto"/>
              <w:jc w:val="center"/>
              <w:rPr>
                <w:rFonts w:ascii="Calibri" w:eastAsia="Times New Roman" w:hAnsi="Calibri" w:cs="Times New Roman"/>
                <w:bCs/>
                <w:color w:val="000000"/>
                <w:sz w:val="20"/>
                <w:szCs w:val="20"/>
              </w:rPr>
            </w:pPr>
          </w:p>
        </w:tc>
        <w:tc>
          <w:tcPr>
            <w:tcW w:w="4274" w:type="dxa"/>
            <w:gridSpan w:val="3"/>
            <w:tcBorders>
              <w:top w:val="single" w:sz="12" w:space="0" w:color="auto"/>
              <w:bottom w:val="single" w:sz="4" w:space="0" w:color="auto"/>
            </w:tcBorders>
            <w:shd w:val="clear" w:color="auto" w:fill="auto"/>
            <w:vAlign w:val="center"/>
            <w:hideMark/>
          </w:tcPr>
          <w:p w14:paraId="28E39848" w14:textId="77777777" w:rsidR="002F6B24" w:rsidRPr="00632F82" w:rsidRDefault="002F6B24"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Interaction with Organ Failure</w:t>
            </w:r>
          </w:p>
        </w:tc>
        <w:tc>
          <w:tcPr>
            <w:tcW w:w="222" w:type="dxa"/>
            <w:tcBorders>
              <w:top w:val="single" w:sz="12" w:space="0" w:color="auto"/>
              <w:bottom w:val="nil"/>
            </w:tcBorders>
          </w:tcPr>
          <w:p w14:paraId="3E55D58D" w14:textId="77777777" w:rsidR="002F6B24" w:rsidRPr="00632F82" w:rsidRDefault="002F6B24" w:rsidP="00F7292C">
            <w:pPr>
              <w:spacing w:after="0" w:line="240" w:lineRule="auto"/>
              <w:jc w:val="center"/>
              <w:rPr>
                <w:rFonts w:ascii="Calibri" w:eastAsia="Times New Roman" w:hAnsi="Calibri" w:cs="Times New Roman"/>
                <w:bCs/>
                <w:color w:val="000000"/>
                <w:sz w:val="20"/>
                <w:szCs w:val="20"/>
              </w:rPr>
            </w:pPr>
          </w:p>
        </w:tc>
        <w:tc>
          <w:tcPr>
            <w:tcW w:w="4299" w:type="dxa"/>
            <w:gridSpan w:val="3"/>
            <w:tcBorders>
              <w:top w:val="single" w:sz="12" w:space="0" w:color="auto"/>
              <w:bottom w:val="single" w:sz="4" w:space="0" w:color="auto"/>
            </w:tcBorders>
            <w:shd w:val="clear" w:color="auto" w:fill="auto"/>
            <w:vAlign w:val="center"/>
            <w:hideMark/>
          </w:tcPr>
          <w:p w14:paraId="7DEE626D" w14:textId="77777777" w:rsidR="002F6B24" w:rsidRPr="00632F82" w:rsidRDefault="002F6B24"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Interaction with ICU/CCU</w:t>
            </w:r>
          </w:p>
        </w:tc>
      </w:tr>
      <w:tr w:rsidR="002F6B24" w:rsidRPr="00632F82" w14:paraId="4BAD42B7" w14:textId="77777777" w:rsidTr="007422BC">
        <w:trPr>
          <w:trHeight w:val="935"/>
        </w:trPr>
        <w:tc>
          <w:tcPr>
            <w:tcW w:w="4077" w:type="dxa"/>
            <w:tcBorders>
              <w:top w:val="nil"/>
              <w:bottom w:val="single" w:sz="4" w:space="0" w:color="auto"/>
            </w:tcBorders>
            <w:shd w:val="clear" w:color="000000" w:fill="FFFFFF"/>
            <w:vAlign w:val="bottom"/>
            <w:hideMark/>
          </w:tcPr>
          <w:p w14:paraId="4D43CE38" w14:textId="77777777" w:rsidR="002F6B24" w:rsidRPr="00632F82" w:rsidRDefault="002F6B24" w:rsidP="00F7292C">
            <w:pPr>
              <w:spacing w:after="0" w:line="240" w:lineRule="auto"/>
              <w:rPr>
                <w:rFonts w:ascii="Calibri" w:eastAsia="Times New Roman" w:hAnsi="Calibri" w:cs="Times New Roman"/>
                <w:bCs/>
                <w:sz w:val="20"/>
                <w:szCs w:val="20"/>
              </w:rPr>
            </w:pPr>
            <w:r w:rsidRPr="00632F82">
              <w:rPr>
                <w:rFonts w:ascii="Calibri" w:eastAsia="Times New Roman" w:hAnsi="Calibri" w:cs="Times New Roman"/>
                <w:bCs/>
                <w:sz w:val="20"/>
                <w:szCs w:val="20"/>
              </w:rPr>
              <w:t>Condition Group</w:t>
            </w:r>
          </w:p>
        </w:tc>
        <w:tc>
          <w:tcPr>
            <w:tcW w:w="1429" w:type="dxa"/>
            <w:tcBorders>
              <w:top w:val="single" w:sz="4" w:space="0" w:color="auto"/>
              <w:bottom w:val="single" w:sz="4" w:space="0" w:color="auto"/>
            </w:tcBorders>
            <w:shd w:val="clear" w:color="auto" w:fill="auto"/>
            <w:vAlign w:val="bottom"/>
            <w:hideMark/>
          </w:tcPr>
          <w:p w14:paraId="3D4B0905"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Model without interactions  </w:t>
            </w:r>
          </w:p>
          <w:p w14:paraId="02A5D405"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(A)</w:t>
            </w:r>
          </w:p>
        </w:tc>
        <w:tc>
          <w:tcPr>
            <w:tcW w:w="222" w:type="dxa"/>
            <w:tcBorders>
              <w:top w:val="nil"/>
              <w:bottom w:val="single" w:sz="4" w:space="0" w:color="auto"/>
            </w:tcBorders>
          </w:tcPr>
          <w:p w14:paraId="2EC37712"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p>
        </w:tc>
        <w:tc>
          <w:tcPr>
            <w:tcW w:w="1427" w:type="dxa"/>
            <w:tcBorders>
              <w:top w:val="single" w:sz="4" w:space="0" w:color="auto"/>
              <w:bottom w:val="single" w:sz="4" w:space="0" w:color="auto"/>
            </w:tcBorders>
            <w:shd w:val="clear" w:color="auto" w:fill="auto"/>
            <w:vAlign w:val="bottom"/>
            <w:hideMark/>
          </w:tcPr>
          <w:p w14:paraId="1BBBAA50"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Multiple organ failure </w:t>
            </w:r>
          </w:p>
          <w:p w14:paraId="09816F18"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(B1) </w:t>
            </w:r>
          </w:p>
        </w:tc>
        <w:tc>
          <w:tcPr>
            <w:tcW w:w="1428" w:type="dxa"/>
            <w:tcBorders>
              <w:top w:val="single" w:sz="4" w:space="0" w:color="auto"/>
              <w:bottom w:val="single" w:sz="4" w:space="0" w:color="auto"/>
            </w:tcBorders>
            <w:shd w:val="clear" w:color="auto" w:fill="auto"/>
            <w:vAlign w:val="bottom"/>
            <w:hideMark/>
          </w:tcPr>
          <w:p w14:paraId="458FAFC1"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No multiple organ failure  </w:t>
            </w:r>
          </w:p>
          <w:p w14:paraId="34565642"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(B2)</w:t>
            </w:r>
          </w:p>
        </w:tc>
        <w:tc>
          <w:tcPr>
            <w:tcW w:w="1419" w:type="dxa"/>
            <w:tcBorders>
              <w:top w:val="single" w:sz="4" w:space="0" w:color="auto"/>
              <w:bottom w:val="single" w:sz="4" w:space="0" w:color="auto"/>
            </w:tcBorders>
            <w:shd w:val="clear" w:color="auto" w:fill="auto"/>
            <w:vAlign w:val="bottom"/>
            <w:hideMark/>
          </w:tcPr>
          <w:p w14:paraId="6F37DEF7"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Difference in Marginal Effects (B3)</w:t>
            </w:r>
          </w:p>
        </w:tc>
        <w:tc>
          <w:tcPr>
            <w:tcW w:w="222" w:type="dxa"/>
            <w:tcBorders>
              <w:top w:val="nil"/>
              <w:bottom w:val="single" w:sz="4" w:space="0" w:color="auto"/>
            </w:tcBorders>
          </w:tcPr>
          <w:p w14:paraId="4D71A463"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p>
        </w:tc>
        <w:tc>
          <w:tcPr>
            <w:tcW w:w="1440" w:type="dxa"/>
            <w:tcBorders>
              <w:top w:val="single" w:sz="4" w:space="0" w:color="auto"/>
              <w:bottom w:val="single" w:sz="4" w:space="0" w:color="auto"/>
            </w:tcBorders>
            <w:shd w:val="clear" w:color="auto" w:fill="auto"/>
            <w:vAlign w:val="bottom"/>
            <w:hideMark/>
          </w:tcPr>
          <w:p w14:paraId="1BBC5125"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ICU/CCU&gt;=3 (C1) </w:t>
            </w:r>
          </w:p>
        </w:tc>
        <w:tc>
          <w:tcPr>
            <w:tcW w:w="1440" w:type="dxa"/>
            <w:tcBorders>
              <w:top w:val="single" w:sz="4" w:space="0" w:color="auto"/>
              <w:bottom w:val="single" w:sz="4" w:space="0" w:color="auto"/>
            </w:tcBorders>
            <w:shd w:val="clear" w:color="auto" w:fill="auto"/>
            <w:vAlign w:val="bottom"/>
            <w:hideMark/>
          </w:tcPr>
          <w:p w14:paraId="2281B07D"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ICU/CCU&lt;3 (C2)</w:t>
            </w:r>
          </w:p>
        </w:tc>
        <w:tc>
          <w:tcPr>
            <w:tcW w:w="1419" w:type="dxa"/>
            <w:tcBorders>
              <w:top w:val="single" w:sz="4" w:space="0" w:color="auto"/>
              <w:bottom w:val="single" w:sz="4" w:space="0" w:color="auto"/>
            </w:tcBorders>
            <w:shd w:val="clear" w:color="auto" w:fill="auto"/>
            <w:vAlign w:val="bottom"/>
            <w:hideMark/>
          </w:tcPr>
          <w:p w14:paraId="645C8027" w14:textId="77777777" w:rsidR="002F6B24" w:rsidRPr="00632F82" w:rsidRDefault="002F6B24"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Difference in Marginal Effects (C3)</w:t>
            </w:r>
          </w:p>
        </w:tc>
      </w:tr>
      <w:tr w:rsidR="007422BC" w:rsidRPr="00632F82" w14:paraId="3D0A5C87" w14:textId="77777777" w:rsidTr="009E582D">
        <w:trPr>
          <w:trHeight w:hRule="exact" w:val="302"/>
        </w:trPr>
        <w:tc>
          <w:tcPr>
            <w:tcW w:w="4077" w:type="dxa"/>
            <w:shd w:val="clear" w:color="auto" w:fill="auto"/>
            <w:noWrap/>
            <w:vAlign w:val="bottom"/>
            <w:hideMark/>
          </w:tcPr>
          <w:p w14:paraId="371E128F" w14:textId="77777777" w:rsidR="007422BC" w:rsidRPr="00632F82" w:rsidRDefault="007422B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MDC=08 Musculoskeletal &amp; Connective Tissue</w:t>
            </w:r>
          </w:p>
        </w:tc>
        <w:tc>
          <w:tcPr>
            <w:tcW w:w="1429" w:type="dxa"/>
            <w:shd w:val="clear" w:color="auto" w:fill="auto"/>
            <w:noWrap/>
            <w:vAlign w:val="bottom"/>
          </w:tcPr>
          <w:p w14:paraId="17BACB7F" w14:textId="7E198155" w:rsidR="007422BC" w:rsidRPr="00632F82" w:rsidRDefault="007422BC">
            <w:pPr>
              <w:jc w:val="center"/>
              <w:rPr>
                <w:color w:val="000000"/>
                <w:sz w:val="20"/>
                <w:szCs w:val="20"/>
              </w:rPr>
            </w:pPr>
            <w:r w:rsidRPr="00632F82">
              <w:rPr>
                <w:color w:val="000000"/>
                <w:sz w:val="20"/>
                <w:szCs w:val="20"/>
              </w:rPr>
              <w:t>-0.017</w:t>
            </w:r>
          </w:p>
        </w:tc>
        <w:tc>
          <w:tcPr>
            <w:tcW w:w="222" w:type="dxa"/>
            <w:vAlign w:val="bottom"/>
          </w:tcPr>
          <w:p w14:paraId="741D8EEA" w14:textId="77777777" w:rsidR="007422BC" w:rsidRPr="00632F82" w:rsidRDefault="007422BC">
            <w:pPr>
              <w:spacing w:after="0" w:line="240" w:lineRule="auto"/>
              <w:jc w:val="center"/>
              <w:rPr>
                <w:color w:val="000000"/>
                <w:sz w:val="20"/>
                <w:szCs w:val="20"/>
              </w:rPr>
            </w:pPr>
          </w:p>
        </w:tc>
        <w:tc>
          <w:tcPr>
            <w:tcW w:w="1427" w:type="dxa"/>
            <w:shd w:val="clear" w:color="auto" w:fill="auto"/>
            <w:noWrap/>
            <w:vAlign w:val="bottom"/>
          </w:tcPr>
          <w:p w14:paraId="2D00A7A9" w14:textId="3383A399" w:rsidR="007422BC" w:rsidRPr="00632F82" w:rsidRDefault="007422BC">
            <w:pPr>
              <w:jc w:val="center"/>
              <w:rPr>
                <w:color w:val="000000"/>
                <w:sz w:val="20"/>
                <w:szCs w:val="20"/>
              </w:rPr>
            </w:pPr>
            <w:r w:rsidRPr="00632F82">
              <w:rPr>
                <w:color w:val="000000"/>
                <w:sz w:val="20"/>
                <w:szCs w:val="20"/>
              </w:rPr>
              <w:t>-0.094</w:t>
            </w:r>
          </w:p>
        </w:tc>
        <w:tc>
          <w:tcPr>
            <w:tcW w:w="1428" w:type="dxa"/>
            <w:shd w:val="clear" w:color="auto" w:fill="auto"/>
            <w:noWrap/>
            <w:vAlign w:val="bottom"/>
          </w:tcPr>
          <w:p w14:paraId="0D2CD397" w14:textId="5C27F8E0" w:rsidR="007422BC" w:rsidRPr="00632F82" w:rsidRDefault="007422BC">
            <w:pPr>
              <w:jc w:val="center"/>
              <w:rPr>
                <w:color w:val="000000"/>
                <w:sz w:val="20"/>
                <w:szCs w:val="20"/>
              </w:rPr>
            </w:pPr>
            <w:r w:rsidRPr="00632F82">
              <w:rPr>
                <w:color w:val="000000"/>
                <w:sz w:val="20"/>
                <w:szCs w:val="20"/>
              </w:rPr>
              <w:t>0.000</w:t>
            </w:r>
          </w:p>
        </w:tc>
        <w:tc>
          <w:tcPr>
            <w:tcW w:w="1419" w:type="dxa"/>
            <w:shd w:val="clear" w:color="auto" w:fill="auto"/>
            <w:noWrap/>
            <w:vAlign w:val="bottom"/>
          </w:tcPr>
          <w:p w14:paraId="0BBE0F7E" w14:textId="0483907B" w:rsidR="007422BC" w:rsidRPr="00632F82" w:rsidRDefault="007422BC">
            <w:pPr>
              <w:jc w:val="center"/>
              <w:rPr>
                <w:color w:val="000000"/>
                <w:sz w:val="20"/>
                <w:szCs w:val="20"/>
              </w:rPr>
            </w:pPr>
            <w:r w:rsidRPr="00632F82">
              <w:rPr>
                <w:color w:val="000000"/>
                <w:sz w:val="20"/>
                <w:szCs w:val="20"/>
              </w:rPr>
              <w:t>-0.094</w:t>
            </w:r>
          </w:p>
        </w:tc>
        <w:tc>
          <w:tcPr>
            <w:tcW w:w="222" w:type="dxa"/>
            <w:vAlign w:val="bottom"/>
          </w:tcPr>
          <w:p w14:paraId="1564FAC4" w14:textId="77777777" w:rsidR="007422BC" w:rsidRPr="00632F82" w:rsidRDefault="007422BC" w:rsidP="00F7292C">
            <w:pPr>
              <w:spacing w:after="0" w:line="240" w:lineRule="auto"/>
              <w:jc w:val="center"/>
              <w:rPr>
                <w:rFonts w:ascii="Calibri" w:hAnsi="Calibri"/>
                <w:color w:val="000000"/>
                <w:sz w:val="20"/>
                <w:szCs w:val="20"/>
              </w:rPr>
            </w:pPr>
          </w:p>
        </w:tc>
        <w:tc>
          <w:tcPr>
            <w:tcW w:w="1440" w:type="dxa"/>
            <w:shd w:val="clear" w:color="auto" w:fill="auto"/>
            <w:noWrap/>
            <w:vAlign w:val="bottom"/>
          </w:tcPr>
          <w:p w14:paraId="5DF4E833" w14:textId="464A6FC3" w:rsidR="007422BC" w:rsidRPr="00632F82" w:rsidRDefault="007422BC">
            <w:pPr>
              <w:jc w:val="center"/>
              <w:rPr>
                <w:color w:val="000000"/>
                <w:sz w:val="20"/>
                <w:szCs w:val="20"/>
              </w:rPr>
            </w:pPr>
            <w:r w:rsidRPr="00632F82">
              <w:rPr>
                <w:color w:val="000000"/>
                <w:sz w:val="20"/>
                <w:szCs w:val="20"/>
              </w:rPr>
              <w:t>-0.108</w:t>
            </w:r>
          </w:p>
        </w:tc>
        <w:tc>
          <w:tcPr>
            <w:tcW w:w="1440" w:type="dxa"/>
            <w:shd w:val="clear" w:color="auto" w:fill="auto"/>
            <w:noWrap/>
            <w:vAlign w:val="bottom"/>
          </w:tcPr>
          <w:p w14:paraId="177CD2CF" w14:textId="30AE64B5" w:rsidR="007422BC" w:rsidRPr="00632F82" w:rsidRDefault="007422BC">
            <w:pPr>
              <w:jc w:val="center"/>
              <w:rPr>
                <w:color w:val="000000"/>
                <w:sz w:val="20"/>
                <w:szCs w:val="20"/>
              </w:rPr>
            </w:pPr>
            <w:r w:rsidRPr="00632F82">
              <w:rPr>
                <w:color w:val="000000"/>
                <w:sz w:val="20"/>
                <w:szCs w:val="20"/>
              </w:rPr>
              <w:t>0.011</w:t>
            </w:r>
          </w:p>
        </w:tc>
        <w:tc>
          <w:tcPr>
            <w:tcW w:w="1419" w:type="dxa"/>
            <w:shd w:val="clear" w:color="auto" w:fill="auto"/>
            <w:noWrap/>
            <w:vAlign w:val="bottom"/>
          </w:tcPr>
          <w:p w14:paraId="2AB0005B" w14:textId="2D5A3791" w:rsidR="007422BC" w:rsidRPr="00632F82" w:rsidRDefault="007422BC">
            <w:pPr>
              <w:jc w:val="center"/>
              <w:rPr>
                <w:color w:val="000000"/>
                <w:sz w:val="20"/>
                <w:szCs w:val="20"/>
              </w:rPr>
            </w:pPr>
            <w:r w:rsidRPr="00632F82">
              <w:rPr>
                <w:color w:val="000000"/>
                <w:sz w:val="20"/>
                <w:szCs w:val="20"/>
              </w:rPr>
              <w:t>-0.118</w:t>
            </w:r>
          </w:p>
        </w:tc>
      </w:tr>
      <w:tr w:rsidR="007422BC" w:rsidRPr="00632F82" w14:paraId="377C599C" w14:textId="77777777" w:rsidTr="009E582D">
        <w:trPr>
          <w:trHeight w:hRule="exact" w:val="302"/>
        </w:trPr>
        <w:tc>
          <w:tcPr>
            <w:tcW w:w="4077" w:type="dxa"/>
            <w:shd w:val="clear" w:color="auto" w:fill="auto"/>
            <w:noWrap/>
            <w:vAlign w:val="bottom"/>
            <w:hideMark/>
          </w:tcPr>
          <w:p w14:paraId="518C8D18" w14:textId="791277E9" w:rsidR="007422BC" w:rsidRPr="00632F82" w:rsidRDefault="007422BC" w:rsidP="00F7292C">
            <w:pPr>
              <w:spacing w:after="0" w:line="240" w:lineRule="auto"/>
              <w:rPr>
                <w:rFonts w:ascii="Calibri" w:eastAsia="Times New Roman" w:hAnsi="Calibri" w:cs="Times New Roman"/>
                <w:color w:val="000000"/>
                <w:sz w:val="20"/>
                <w:szCs w:val="20"/>
              </w:rPr>
            </w:pPr>
            <w:r w:rsidRPr="00632F82">
              <w:rPr>
                <w:bCs/>
                <w:sz w:val="20"/>
                <w:szCs w:val="20"/>
              </w:rPr>
              <w:t>N = 1,</w:t>
            </w:r>
            <w:r w:rsidR="00D82774" w:rsidRPr="00632F82">
              <w:rPr>
                <w:bCs/>
                <w:sz w:val="20"/>
                <w:szCs w:val="20"/>
              </w:rPr>
              <w:t>675,862</w:t>
            </w:r>
          </w:p>
        </w:tc>
        <w:tc>
          <w:tcPr>
            <w:tcW w:w="1429" w:type="dxa"/>
            <w:shd w:val="clear" w:color="auto" w:fill="auto"/>
            <w:noWrap/>
            <w:vAlign w:val="bottom"/>
          </w:tcPr>
          <w:p w14:paraId="180DBAB2" w14:textId="548F155D" w:rsidR="007422BC" w:rsidRPr="00632F82" w:rsidRDefault="008046E6">
            <w:pPr>
              <w:jc w:val="center"/>
              <w:rPr>
                <w:color w:val="000000"/>
                <w:sz w:val="20"/>
                <w:szCs w:val="20"/>
              </w:rPr>
            </w:pPr>
            <w:r w:rsidRPr="00632F82">
              <w:rPr>
                <w:color w:val="000000"/>
                <w:sz w:val="20"/>
                <w:szCs w:val="20"/>
              </w:rPr>
              <w:t>P=</w:t>
            </w:r>
            <w:r w:rsidR="007422BC" w:rsidRPr="00632F82">
              <w:rPr>
                <w:color w:val="000000"/>
                <w:sz w:val="20"/>
                <w:szCs w:val="20"/>
              </w:rPr>
              <w:t>0.075</w:t>
            </w:r>
            <w:r w:rsidRPr="00632F82" w:rsidDel="006E672B">
              <w:rPr>
                <w:color w:val="000000"/>
                <w:sz w:val="20"/>
                <w:szCs w:val="20"/>
              </w:rPr>
              <w:t xml:space="preserve"> </w:t>
            </w:r>
          </w:p>
        </w:tc>
        <w:tc>
          <w:tcPr>
            <w:tcW w:w="222" w:type="dxa"/>
            <w:vAlign w:val="bottom"/>
          </w:tcPr>
          <w:p w14:paraId="61C0047F" w14:textId="77777777" w:rsidR="007422BC" w:rsidRPr="00632F82" w:rsidRDefault="007422BC">
            <w:pPr>
              <w:spacing w:after="0" w:line="240" w:lineRule="auto"/>
              <w:jc w:val="center"/>
              <w:rPr>
                <w:color w:val="000000"/>
                <w:sz w:val="20"/>
                <w:szCs w:val="20"/>
              </w:rPr>
            </w:pPr>
          </w:p>
        </w:tc>
        <w:tc>
          <w:tcPr>
            <w:tcW w:w="1427" w:type="dxa"/>
            <w:shd w:val="clear" w:color="auto" w:fill="auto"/>
            <w:noWrap/>
            <w:vAlign w:val="bottom"/>
          </w:tcPr>
          <w:p w14:paraId="1E796111" w14:textId="10336409" w:rsidR="007422BC" w:rsidRPr="00632F82" w:rsidRDefault="008046E6">
            <w:pPr>
              <w:jc w:val="center"/>
              <w:rPr>
                <w:color w:val="000000"/>
                <w:sz w:val="20"/>
                <w:szCs w:val="20"/>
              </w:rPr>
            </w:pPr>
            <w:r w:rsidRPr="00632F82">
              <w:rPr>
                <w:rFonts w:ascii="Calibri" w:hAnsi="Calibri"/>
                <w:color w:val="000000"/>
                <w:sz w:val="20"/>
                <w:szCs w:val="20"/>
              </w:rPr>
              <w:t>P&lt;0.001</w:t>
            </w:r>
            <w:r w:rsidRPr="00632F82" w:rsidDel="00536A47">
              <w:rPr>
                <w:color w:val="000000"/>
                <w:sz w:val="20"/>
                <w:szCs w:val="20"/>
              </w:rPr>
              <w:t xml:space="preserve"> </w:t>
            </w:r>
          </w:p>
        </w:tc>
        <w:tc>
          <w:tcPr>
            <w:tcW w:w="1428" w:type="dxa"/>
            <w:shd w:val="clear" w:color="auto" w:fill="auto"/>
            <w:noWrap/>
            <w:vAlign w:val="bottom"/>
          </w:tcPr>
          <w:p w14:paraId="318D965A" w14:textId="1E91592E" w:rsidR="007422BC" w:rsidRPr="00632F82" w:rsidRDefault="008046E6">
            <w:pPr>
              <w:jc w:val="center"/>
              <w:rPr>
                <w:color w:val="000000"/>
                <w:sz w:val="20"/>
                <w:szCs w:val="20"/>
              </w:rPr>
            </w:pPr>
            <w:r w:rsidRPr="00632F82">
              <w:rPr>
                <w:color w:val="000000"/>
                <w:sz w:val="20"/>
                <w:szCs w:val="20"/>
              </w:rPr>
              <w:t>P=</w:t>
            </w:r>
            <w:r w:rsidR="007422BC" w:rsidRPr="00632F82">
              <w:rPr>
                <w:color w:val="000000"/>
                <w:sz w:val="20"/>
                <w:szCs w:val="20"/>
              </w:rPr>
              <w:t>0.997</w:t>
            </w:r>
          </w:p>
        </w:tc>
        <w:tc>
          <w:tcPr>
            <w:tcW w:w="1419" w:type="dxa"/>
            <w:shd w:val="clear" w:color="auto" w:fill="auto"/>
            <w:noWrap/>
            <w:vAlign w:val="bottom"/>
          </w:tcPr>
          <w:p w14:paraId="1FCDD7FC" w14:textId="4916FE1F" w:rsidR="007422BC" w:rsidRPr="00632F82" w:rsidRDefault="008046E6">
            <w:pPr>
              <w:jc w:val="center"/>
              <w:rPr>
                <w:color w:val="000000"/>
                <w:sz w:val="20"/>
                <w:szCs w:val="20"/>
              </w:rPr>
            </w:pPr>
            <w:r w:rsidRPr="00632F82">
              <w:rPr>
                <w:rFonts w:ascii="Calibri" w:hAnsi="Calibri"/>
                <w:color w:val="000000"/>
                <w:sz w:val="20"/>
                <w:szCs w:val="20"/>
              </w:rPr>
              <w:t>P&lt;0.001</w:t>
            </w:r>
            <w:r w:rsidRPr="00632F82" w:rsidDel="00536A47">
              <w:rPr>
                <w:color w:val="000000"/>
                <w:sz w:val="20"/>
                <w:szCs w:val="20"/>
              </w:rPr>
              <w:t xml:space="preserve"> </w:t>
            </w:r>
          </w:p>
        </w:tc>
        <w:tc>
          <w:tcPr>
            <w:tcW w:w="222" w:type="dxa"/>
            <w:vAlign w:val="bottom"/>
          </w:tcPr>
          <w:p w14:paraId="36E3977E" w14:textId="77777777" w:rsidR="007422BC" w:rsidRPr="00632F82" w:rsidRDefault="007422BC" w:rsidP="00F7292C">
            <w:pPr>
              <w:spacing w:after="0" w:line="240" w:lineRule="auto"/>
              <w:jc w:val="center"/>
              <w:rPr>
                <w:rFonts w:ascii="Calibri" w:hAnsi="Calibri"/>
                <w:color w:val="000000"/>
                <w:sz w:val="20"/>
                <w:szCs w:val="20"/>
              </w:rPr>
            </w:pPr>
          </w:p>
        </w:tc>
        <w:tc>
          <w:tcPr>
            <w:tcW w:w="1440" w:type="dxa"/>
            <w:shd w:val="clear" w:color="auto" w:fill="auto"/>
            <w:noWrap/>
            <w:vAlign w:val="bottom"/>
          </w:tcPr>
          <w:p w14:paraId="54379869" w14:textId="121FBEE3" w:rsidR="007422BC" w:rsidRPr="00632F82" w:rsidRDefault="008046E6">
            <w:pPr>
              <w:jc w:val="center"/>
              <w:rPr>
                <w:color w:val="000000"/>
                <w:sz w:val="20"/>
                <w:szCs w:val="20"/>
              </w:rPr>
            </w:pPr>
            <w:r w:rsidRPr="00632F82">
              <w:rPr>
                <w:rFonts w:ascii="Calibri" w:hAnsi="Calibri"/>
                <w:color w:val="000000"/>
                <w:sz w:val="20"/>
                <w:szCs w:val="20"/>
              </w:rPr>
              <w:t>P&lt;0.001</w:t>
            </w:r>
            <w:r w:rsidRPr="00632F82" w:rsidDel="008A5E10">
              <w:rPr>
                <w:color w:val="000000"/>
                <w:sz w:val="20"/>
                <w:szCs w:val="20"/>
              </w:rPr>
              <w:t xml:space="preserve"> </w:t>
            </w:r>
          </w:p>
        </w:tc>
        <w:tc>
          <w:tcPr>
            <w:tcW w:w="1440" w:type="dxa"/>
            <w:shd w:val="clear" w:color="auto" w:fill="auto"/>
            <w:noWrap/>
            <w:vAlign w:val="bottom"/>
          </w:tcPr>
          <w:p w14:paraId="73DED39A" w14:textId="66EAB2D9" w:rsidR="007422BC" w:rsidRPr="00632F82" w:rsidRDefault="008046E6">
            <w:pPr>
              <w:jc w:val="center"/>
              <w:rPr>
                <w:color w:val="000000"/>
                <w:sz w:val="20"/>
                <w:szCs w:val="20"/>
              </w:rPr>
            </w:pPr>
            <w:r w:rsidRPr="00632F82">
              <w:rPr>
                <w:color w:val="000000"/>
                <w:sz w:val="20"/>
                <w:szCs w:val="20"/>
              </w:rPr>
              <w:t>P=</w:t>
            </w:r>
            <w:r w:rsidR="007422BC" w:rsidRPr="00632F82">
              <w:rPr>
                <w:color w:val="000000"/>
                <w:sz w:val="20"/>
                <w:szCs w:val="20"/>
              </w:rPr>
              <w:t>0.412</w:t>
            </w:r>
          </w:p>
        </w:tc>
        <w:tc>
          <w:tcPr>
            <w:tcW w:w="1419" w:type="dxa"/>
            <w:shd w:val="clear" w:color="auto" w:fill="auto"/>
            <w:noWrap/>
            <w:vAlign w:val="bottom"/>
          </w:tcPr>
          <w:p w14:paraId="4668A485" w14:textId="54DC2B5D" w:rsidR="007422BC" w:rsidRPr="00632F82" w:rsidRDefault="008046E6">
            <w:pPr>
              <w:jc w:val="center"/>
              <w:rPr>
                <w:color w:val="000000"/>
                <w:sz w:val="20"/>
                <w:szCs w:val="20"/>
              </w:rPr>
            </w:pPr>
            <w:r w:rsidRPr="00632F82">
              <w:rPr>
                <w:rFonts w:ascii="Calibri" w:hAnsi="Calibri"/>
                <w:color w:val="000000"/>
                <w:sz w:val="20"/>
                <w:szCs w:val="20"/>
              </w:rPr>
              <w:t>P&lt;0.001</w:t>
            </w:r>
          </w:p>
        </w:tc>
      </w:tr>
    </w:tbl>
    <w:p w14:paraId="099520EF" w14:textId="77777777" w:rsidR="002F6B24" w:rsidRPr="00632F82" w:rsidRDefault="002F6B24" w:rsidP="002F6B24">
      <w:pPr>
        <w:rPr>
          <w:sz w:val="20"/>
          <w:szCs w:val="20"/>
        </w:rPr>
      </w:pPr>
      <w:r w:rsidRPr="00632F82">
        <w:rPr>
          <w:sz w:val="20"/>
          <w:szCs w:val="20"/>
        </w:rPr>
        <w:t xml:space="preserve">Notes: P-values are in parentheses. Marginal LTCH effect is calculated as the average of individual marginal effects that are computed for each observation using the results of the two-stage residual inclusion regression and the individual observation’s covariate values, while varying LTCH indicator between 0 and 1.  The baseline model includes the LTCH transfer indicator, patient-level controls and index ACH-level controls listed in Appendix A as explanatory variables.  The model with interaction with organ failure includes an interaction term between LTCH transfer indicator and a multiple organ failure indicator as an additional explanatory variable.  The model with interaction with ICU/CCU includes an interaction term between LTCH transfer indicator and indicator for minimum 3-day ICU/CCU stay as an additional explanatory variable. Columns B1 and C1 present marginal effect of LTCH on the outcome among patients with multiple organ failure and minimum 3-day ICU/CCU stay, respectively.  Columns B2 and C2 present the marginal effect of LTCH among other patients.  Columns B3 and C3 present the differential treatment effect between patients with and without the specified characteristics.  </w:t>
      </w:r>
    </w:p>
    <w:p w14:paraId="11C22C33" w14:textId="2FD83AE1" w:rsidR="002F6B24" w:rsidRPr="00632F82" w:rsidRDefault="002F6B24"/>
    <w:p w14:paraId="1CE21C68" w14:textId="77777777" w:rsidR="002F6B24" w:rsidRPr="00632F82" w:rsidRDefault="002F6B24">
      <w:pPr>
        <w:autoSpaceDE w:val="0"/>
        <w:autoSpaceDN w:val="0"/>
        <w:adjustRightInd w:val="0"/>
        <w:sectPr w:rsidR="002F6B24" w:rsidRPr="00632F82" w:rsidSect="002F6B24">
          <w:pgSz w:w="15840" w:h="12240" w:orient="landscape"/>
          <w:pgMar w:top="720" w:right="720" w:bottom="720" w:left="720" w:header="720" w:footer="720" w:gutter="0"/>
          <w:cols w:space="720"/>
          <w:docGrid w:linePitch="360"/>
        </w:sectPr>
      </w:pPr>
    </w:p>
    <w:p w14:paraId="00248C51" w14:textId="4F7F5396" w:rsidR="006B49EC" w:rsidRPr="00632F82" w:rsidRDefault="006B49EC" w:rsidP="007422BC">
      <w:pPr>
        <w:pStyle w:val="ListParagraph"/>
        <w:numPr>
          <w:ilvl w:val="0"/>
          <w:numId w:val="1"/>
        </w:numPr>
        <w:autoSpaceDE w:val="0"/>
        <w:autoSpaceDN w:val="0"/>
        <w:adjustRightInd w:val="0"/>
        <w:rPr>
          <w:b/>
          <w:i/>
        </w:rPr>
      </w:pPr>
      <w:r w:rsidRPr="00632F82">
        <w:rPr>
          <w:b/>
          <w:i/>
        </w:rPr>
        <w:lastRenderedPageBreak/>
        <w:t>Excluding Cases with Low Propensity to Transfer to an LTCH</w:t>
      </w:r>
    </w:p>
    <w:p w14:paraId="2E3469A7" w14:textId="46ACE501" w:rsidR="00F7292C" w:rsidRPr="00632F82" w:rsidRDefault="00B134E6" w:rsidP="007422BC">
      <w:pPr>
        <w:autoSpaceDE w:val="0"/>
        <w:autoSpaceDN w:val="0"/>
        <w:adjustRightInd w:val="0"/>
      </w:pPr>
      <w:r w:rsidRPr="00632F82">
        <w:t xml:space="preserve">The incidence of LTCH transfer among patients without prolonged mechanical ventilation is very low, raising a concern </w:t>
      </w:r>
      <w:r w:rsidR="00083626" w:rsidRPr="00632F82">
        <w:t xml:space="preserve">regarding the comparability of our comparison group to LTCH cases.  </w:t>
      </w:r>
      <w:r w:rsidRPr="00632F82">
        <w:t xml:space="preserve">To examine the robustness of our findings to an alternative approach to developing a comparison group, we conducted a sensitivity analysis, excluding from our study sample those with relatively low predicted probability of LTCH transfer.  </w:t>
      </w:r>
      <w:r w:rsidR="00202D73" w:rsidRPr="00632F82">
        <w:t>Specifically</w:t>
      </w:r>
      <w:r w:rsidRPr="00632F82">
        <w:t xml:space="preserve">, we </w:t>
      </w:r>
      <w:r w:rsidR="007C4F48" w:rsidRPr="00632F82">
        <w:t xml:space="preserve">first </w:t>
      </w:r>
      <w:r w:rsidRPr="00632F82">
        <w:t>estimated the probability of LTCH transfer based on a model of demographic and clinical patient characteristics</w:t>
      </w:r>
      <w:r w:rsidR="007C4F48" w:rsidRPr="00632F82">
        <w:t>. Then, we</w:t>
      </w:r>
      <w:r w:rsidRPr="00632F82">
        <w:t xml:space="preserve"> </w:t>
      </w:r>
      <w:r w:rsidR="007C0060" w:rsidRPr="00632F82">
        <w:t xml:space="preserve">excluded from </w:t>
      </w:r>
      <w:r w:rsidRPr="00632F82">
        <w:t xml:space="preserve">our analysis dataset those cases with a predicted probability that is </w:t>
      </w:r>
      <w:r w:rsidR="007C0060" w:rsidRPr="00632F82">
        <w:t>less</w:t>
      </w:r>
      <w:r w:rsidRPr="00632F82">
        <w:t xml:space="preserve"> than the </w:t>
      </w:r>
      <w:r w:rsidR="007C4F48" w:rsidRPr="00632F82">
        <w:t>5th</w:t>
      </w:r>
      <w:r w:rsidRPr="00632F82">
        <w:t xml:space="preserve"> percentile of LTCH patients’ predicted LTCH transfer probability distribution</w:t>
      </w:r>
      <w:r w:rsidR="007C4F48" w:rsidRPr="00632F82">
        <w:t xml:space="preserve"> with</w:t>
      </w:r>
      <w:r w:rsidR="009E582D" w:rsidRPr="00632F82">
        <w:t>in</w:t>
      </w:r>
      <w:r w:rsidR="007C4F48" w:rsidRPr="00632F82">
        <w:t xml:space="preserve"> a given MS-DRG</w:t>
      </w:r>
      <w:r w:rsidRPr="00632F82">
        <w:t xml:space="preserve">.  The implementation of this criterion led to the exclusion of </w:t>
      </w:r>
      <w:r w:rsidR="007C0060" w:rsidRPr="00632F82">
        <w:t>up to 5</w:t>
      </w:r>
      <w:r w:rsidRPr="00632F82">
        <w:t xml:space="preserve">% of the treatment group (LTCH cases) and up to </w:t>
      </w:r>
      <w:r w:rsidR="007C0060" w:rsidRPr="00632F82">
        <w:t>29.7</w:t>
      </w:r>
      <w:r w:rsidRPr="00632F82">
        <w:t xml:space="preserve">% of the control group (non-LTCH cases) from the analysis dataset </w:t>
      </w:r>
      <w:r w:rsidR="00B44586" w:rsidRPr="00632F82">
        <w:t xml:space="preserve">(Table </w:t>
      </w:r>
      <w:r w:rsidR="009F6072" w:rsidRPr="00632F82">
        <w:t>C2</w:t>
      </w:r>
      <w:r w:rsidR="00B44586" w:rsidRPr="00632F82">
        <w:t xml:space="preserve">).  </w:t>
      </w:r>
    </w:p>
    <w:p w14:paraId="4702BCD8" w14:textId="555A067A" w:rsidR="00A01622" w:rsidRPr="00632F82" w:rsidRDefault="00F16B4C" w:rsidP="007422BC">
      <w:pPr>
        <w:autoSpaceDE w:val="0"/>
        <w:autoSpaceDN w:val="0"/>
        <w:adjustRightInd w:val="0"/>
      </w:pPr>
      <w:r w:rsidRPr="00632F82">
        <w:t xml:space="preserve">Table </w:t>
      </w:r>
      <w:r w:rsidR="009F6072" w:rsidRPr="00632F82">
        <w:t xml:space="preserve">C3 </w:t>
      </w:r>
      <w:r w:rsidRPr="00632F82">
        <w:t xml:space="preserve">presents the estimation results of the mortality model, and Table </w:t>
      </w:r>
      <w:r w:rsidR="009F6072" w:rsidRPr="00632F82">
        <w:t xml:space="preserve">C4 </w:t>
      </w:r>
      <w:r w:rsidRPr="00632F82">
        <w:t>presents the estimation results of</w:t>
      </w:r>
      <w:r w:rsidR="00A01622" w:rsidRPr="00632F82">
        <w:t xml:space="preserve"> the Medicare payment model.  </w:t>
      </w:r>
      <w:r w:rsidR="00F22DC6" w:rsidRPr="00632F82">
        <w:t xml:space="preserve">The sensitivity analysis results are similar to our findings reported in the paper for many of the MDCs.  In the baseline mortality model, the estimate for the marginal LTCH effect remains insignificant in 4 MDCs and becomes statistically insignificant in </w:t>
      </w:r>
      <w:r w:rsidR="00083626" w:rsidRPr="00632F82">
        <w:t>the Digestive category</w:t>
      </w:r>
      <w:r w:rsidR="00F22DC6" w:rsidRPr="00632F82">
        <w:t xml:space="preserve">, which had a negative and statistically significant estimate of LTCH effect in our main model.  For patients with three or more days in an ICU/CCU and multiple organ failure, the LTCH care </w:t>
      </w:r>
      <w:r w:rsidR="00685D1F" w:rsidRPr="00632F82">
        <w:rPr>
          <w:b/>
        </w:rPr>
        <w:t>is associated with</w:t>
      </w:r>
      <w:r w:rsidR="00685D1F" w:rsidRPr="00632F82">
        <w:t xml:space="preserve"> lower </w:t>
      </w:r>
      <w:r w:rsidR="00F22DC6" w:rsidRPr="00632F82">
        <w:t xml:space="preserve">365-day mortality </w:t>
      </w:r>
      <w:r w:rsidR="007C616A" w:rsidRPr="00632F82">
        <w:t xml:space="preserve">(P&lt;0.05) </w:t>
      </w:r>
      <w:r w:rsidR="00F22DC6" w:rsidRPr="00632F82">
        <w:t>in 4 MDCs and 2 MDCs, respectively.  These results are similar to our main</w:t>
      </w:r>
      <w:r w:rsidR="007C616A" w:rsidRPr="00632F82">
        <w:t xml:space="preserve"> findings with the exception that the </w:t>
      </w:r>
      <w:r w:rsidR="00685D1F" w:rsidRPr="00D92F31">
        <w:rPr>
          <w:b/>
        </w:rPr>
        <w:t>marginal</w:t>
      </w:r>
      <w:r w:rsidR="00685D1F" w:rsidRPr="00632F82">
        <w:t xml:space="preserve"> </w:t>
      </w:r>
      <w:r w:rsidR="007C616A" w:rsidRPr="00632F82">
        <w:t>LTCH effect for patient</w:t>
      </w:r>
      <w:bookmarkStart w:id="0" w:name="_GoBack"/>
      <w:r w:rsidR="00685D1F" w:rsidRPr="00D92F31">
        <w:rPr>
          <w:b/>
        </w:rPr>
        <w:t>s</w:t>
      </w:r>
      <w:bookmarkEnd w:id="0"/>
      <w:r w:rsidR="007C616A" w:rsidRPr="00632F82">
        <w:t xml:space="preserve"> with multiple organ failure is not statistically significant in </w:t>
      </w:r>
      <w:r w:rsidR="00083626" w:rsidRPr="00632F82">
        <w:t>Musculoskeletal &amp; Connective Tissue Category</w:t>
      </w:r>
      <w:r w:rsidR="007C616A" w:rsidRPr="00632F82">
        <w:t>.</w:t>
      </w:r>
      <w:r w:rsidR="00F22DC6" w:rsidRPr="00632F82">
        <w:t xml:space="preserve">  </w:t>
      </w:r>
      <w:r w:rsidR="00E8146E" w:rsidRPr="00632F82">
        <w:t>We found our payment model estimates to be robust to the changes in the analysis sample implemented in the sensitivity analysis.</w:t>
      </w:r>
      <w:r w:rsidR="00A01622" w:rsidRPr="00632F82">
        <w:t xml:space="preserve"> </w:t>
      </w:r>
    </w:p>
    <w:p w14:paraId="3AC4BC80" w14:textId="77777777" w:rsidR="00A01622" w:rsidRPr="00632F82" w:rsidRDefault="00A01622" w:rsidP="006B288B">
      <w:pPr>
        <w:spacing w:after="0"/>
        <w:contextualSpacing/>
      </w:pPr>
    </w:p>
    <w:p w14:paraId="38511C61" w14:textId="1B3DA63B" w:rsidR="00A01622" w:rsidRPr="00632F82" w:rsidRDefault="00A01622" w:rsidP="006B288B">
      <w:pPr>
        <w:spacing w:after="0"/>
        <w:contextualSpacing/>
        <w:rPr>
          <w:b/>
        </w:rPr>
      </w:pPr>
      <w:r w:rsidRPr="00632F82">
        <w:rPr>
          <w:b/>
        </w:rPr>
        <w:t xml:space="preserve">Table </w:t>
      </w:r>
      <w:r w:rsidR="009F6072" w:rsidRPr="00632F82">
        <w:rPr>
          <w:b/>
        </w:rPr>
        <w:t>C2</w:t>
      </w:r>
      <w:r w:rsidRPr="00632F82">
        <w:rPr>
          <w:b/>
        </w:rPr>
        <w:t>: Number of Observations Excluded Due to Low Propensity for LTCH Transfer</w:t>
      </w:r>
    </w:p>
    <w:p w14:paraId="7FF91BFD" w14:textId="77777777" w:rsidR="00A01622" w:rsidRPr="00632F82" w:rsidRDefault="00A01622" w:rsidP="006B288B">
      <w:pPr>
        <w:spacing w:after="0"/>
        <w:contextualSpacing/>
      </w:pP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0"/>
        <w:gridCol w:w="1126"/>
        <w:gridCol w:w="1126"/>
        <w:gridCol w:w="1127"/>
        <w:gridCol w:w="1127"/>
        <w:gridCol w:w="1127"/>
        <w:gridCol w:w="1127"/>
      </w:tblGrid>
      <w:tr w:rsidR="00480EE4" w:rsidRPr="00632F82" w14:paraId="27912756" w14:textId="7E870894" w:rsidTr="00083626">
        <w:tc>
          <w:tcPr>
            <w:tcW w:w="4130" w:type="dxa"/>
          </w:tcPr>
          <w:p w14:paraId="104DA839" w14:textId="77777777" w:rsidR="00480EE4" w:rsidRPr="00632F82" w:rsidRDefault="00480EE4" w:rsidP="006B288B">
            <w:pPr>
              <w:contextualSpacing/>
              <w:rPr>
                <w:sz w:val="20"/>
                <w:szCs w:val="20"/>
              </w:rPr>
            </w:pPr>
          </w:p>
        </w:tc>
        <w:tc>
          <w:tcPr>
            <w:tcW w:w="2294" w:type="dxa"/>
            <w:gridSpan w:val="2"/>
            <w:tcBorders>
              <w:bottom w:val="single" w:sz="4" w:space="0" w:color="auto"/>
            </w:tcBorders>
            <w:vAlign w:val="center"/>
          </w:tcPr>
          <w:p w14:paraId="151412D3" w14:textId="2335FFE1" w:rsidR="00480EE4" w:rsidRPr="00632F82" w:rsidRDefault="00480EE4" w:rsidP="00377753">
            <w:pPr>
              <w:contextualSpacing/>
              <w:jc w:val="center"/>
              <w:rPr>
                <w:sz w:val="20"/>
                <w:szCs w:val="20"/>
              </w:rPr>
            </w:pPr>
            <w:r w:rsidRPr="00632F82">
              <w:rPr>
                <w:sz w:val="20"/>
                <w:szCs w:val="20"/>
              </w:rPr>
              <w:t>Non-LTCH Cases Excluded</w:t>
            </w:r>
          </w:p>
        </w:tc>
        <w:tc>
          <w:tcPr>
            <w:tcW w:w="2296" w:type="dxa"/>
            <w:gridSpan w:val="2"/>
            <w:tcBorders>
              <w:bottom w:val="single" w:sz="4" w:space="0" w:color="auto"/>
            </w:tcBorders>
            <w:vAlign w:val="center"/>
          </w:tcPr>
          <w:p w14:paraId="5B0D4807" w14:textId="48B084BD" w:rsidR="00480EE4" w:rsidRPr="00632F82" w:rsidRDefault="00480EE4" w:rsidP="00377753">
            <w:pPr>
              <w:contextualSpacing/>
              <w:jc w:val="center"/>
              <w:rPr>
                <w:sz w:val="20"/>
                <w:szCs w:val="20"/>
              </w:rPr>
            </w:pPr>
            <w:r w:rsidRPr="00632F82">
              <w:rPr>
                <w:sz w:val="20"/>
                <w:szCs w:val="20"/>
              </w:rPr>
              <w:t>LTCH Cases Excluded</w:t>
            </w:r>
          </w:p>
        </w:tc>
        <w:tc>
          <w:tcPr>
            <w:tcW w:w="2296" w:type="dxa"/>
            <w:gridSpan w:val="2"/>
            <w:tcBorders>
              <w:bottom w:val="single" w:sz="4" w:space="0" w:color="auto"/>
            </w:tcBorders>
          </w:tcPr>
          <w:p w14:paraId="1D61178B" w14:textId="025A6FA2" w:rsidR="00480EE4" w:rsidRPr="00632F82" w:rsidRDefault="00480EE4" w:rsidP="00377753">
            <w:pPr>
              <w:contextualSpacing/>
              <w:jc w:val="center"/>
              <w:rPr>
                <w:sz w:val="20"/>
                <w:szCs w:val="20"/>
              </w:rPr>
            </w:pPr>
            <w:r w:rsidRPr="00632F82">
              <w:rPr>
                <w:sz w:val="20"/>
                <w:szCs w:val="20"/>
              </w:rPr>
              <w:t>Sample Size</w:t>
            </w:r>
          </w:p>
        </w:tc>
      </w:tr>
      <w:tr w:rsidR="00480EE4" w:rsidRPr="00632F82" w14:paraId="0F950341" w14:textId="30D0FA0D" w:rsidTr="00083626">
        <w:tc>
          <w:tcPr>
            <w:tcW w:w="4130" w:type="dxa"/>
          </w:tcPr>
          <w:p w14:paraId="069ECC36" w14:textId="6EDFD3F3" w:rsidR="003A72A0" w:rsidRPr="00632F82" w:rsidRDefault="003A72A0" w:rsidP="006B288B">
            <w:pPr>
              <w:contextualSpacing/>
              <w:rPr>
                <w:sz w:val="20"/>
                <w:szCs w:val="20"/>
              </w:rPr>
            </w:pPr>
          </w:p>
        </w:tc>
        <w:tc>
          <w:tcPr>
            <w:tcW w:w="1147" w:type="dxa"/>
            <w:tcBorders>
              <w:top w:val="single" w:sz="4" w:space="0" w:color="auto"/>
              <w:bottom w:val="single" w:sz="4" w:space="0" w:color="auto"/>
            </w:tcBorders>
            <w:vAlign w:val="bottom"/>
          </w:tcPr>
          <w:p w14:paraId="150CEF6A" w14:textId="6DDC441C" w:rsidR="003A72A0" w:rsidRPr="00632F82" w:rsidRDefault="003A72A0" w:rsidP="00480EE4">
            <w:pPr>
              <w:contextualSpacing/>
              <w:jc w:val="center"/>
              <w:rPr>
                <w:sz w:val="20"/>
                <w:szCs w:val="20"/>
              </w:rPr>
            </w:pPr>
            <w:r w:rsidRPr="00632F82">
              <w:rPr>
                <w:sz w:val="20"/>
                <w:szCs w:val="20"/>
              </w:rPr>
              <w:t>Count</w:t>
            </w:r>
          </w:p>
        </w:tc>
        <w:tc>
          <w:tcPr>
            <w:tcW w:w="1147" w:type="dxa"/>
            <w:tcBorders>
              <w:top w:val="single" w:sz="4" w:space="0" w:color="auto"/>
              <w:bottom w:val="single" w:sz="4" w:space="0" w:color="auto"/>
            </w:tcBorders>
            <w:vAlign w:val="bottom"/>
          </w:tcPr>
          <w:p w14:paraId="2C496709" w14:textId="551A88A5" w:rsidR="003A72A0" w:rsidRPr="00632F82" w:rsidRDefault="003A72A0" w:rsidP="00480EE4">
            <w:pPr>
              <w:contextualSpacing/>
              <w:jc w:val="center"/>
              <w:rPr>
                <w:sz w:val="20"/>
                <w:szCs w:val="20"/>
              </w:rPr>
            </w:pPr>
            <w:r w:rsidRPr="00632F82">
              <w:rPr>
                <w:sz w:val="20"/>
                <w:szCs w:val="20"/>
              </w:rPr>
              <w:t>Percent of non-LTCH Cases</w:t>
            </w:r>
          </w:p>
        </w:tc>
        <w:tc>
          <w:tcPr>
            <w:tcW w:w="1148" w:type="dxa"/>
            <w:tcBorders>
              <w:top w:val="single" w:sz="4" w:space="0" w:color="auto"/>
              <w:bottom w:val="single" w:sz="4" w:space="0" w:color="auto"/>
            </w:tcBorders>
            <w:vAlign w:val="bottom"/>
          </w:tcPr>
          <w:p w14:paraId="1702A096" w14:textId="2682AD78" w:rsidR="003A72A0" w:rsidRPr="00632F82" w:rsidRDefault="003A72A0" w:rsidP="00480EE4">
            <w:pPr>
              <w:contextualSpacing/>
              <w:jc w:val="center"/>
              <w:rPr>
                <w:sz w:val="20"/>
                <w:szCs w:val="20"/>
              </w:rPr>
            </w:pPr>
            <w:r w:rsidRPr="00632F82">
              <w:rPr>
                <w:sz w:val="20"/>
                <w:szCs w:val="20"/>
              </w:rPr>
              <w:t>Count</w:t>
            </w:r>
          </w:p>
        </w:tc>
        <w:tc>
          <w:tcPr>
            <w:tcW w:w="1148" w:type="dxa"/>
            <w:tcBorders>
              <w:top w:val="single" w:sz="4" w:space="0" w:color="auto"/>
              <w:bottom w:val="single" w:sz="4" w:space="0" w:color="auto"/>
            </w:tcBorders>
            <w:vAlign w:val="bottom"/>
          </w:tcPr>
          <w:p w14:paraId="5AD74593" w14:textId="458C8DB7" w:rsidR="003A72A0" w:rsidRPr="00632F82" w:rsidRDefault="003A72A0" w:rsidP="00480EE4">
            <w:pPr>
              <w:contextualSpacing/>
              <w:jc w:val="center"/>
              <w:rPr>
                <w:sz w:val="20"/>
                <w:szCs w:val="20"/>
              </w:rPr>
            </w:pPr>
            <w:r w:rsidRPr="00632F82">
              <w:rPr>
                <w:sz w:val="20"/>
                <w:szCs w:val="20"/>
              </w:rPr>
              <w:t>Percent of LTCH Cases</w:t>
            </w:r>
          </w:p>
        </w:tc>
        <w:tc>
          <w:tcPr>
            <w:tcW w:w="1148" w:type="dxa"/>
            <w:tcBorders>
              <w:top w:val="single" w:sz="4" w:space="0" w:color="auto"/>
              <w:bottom w:val="single" w:sz="4" w:space="0" w:color="auto"/>
            </w:tcBorders>
            <w:vAlign w:val="bottom"/>
          </w:tcPr>
          <w:p w14:paraId="248EC6A5" w14:textId="037B9685" w:rsidR="003A72A0" w:rsidRPr="00632F82" w:rsidRDefault="003A72A0" w:rsidP="00480EE4">
            <w:pPr>
              <w:contextualSpacing/>
              <w:jc w:val="center"/>
              <w:rPr>
                <w:sz w:val="20"/>
                <w:szCs w:val="20"/>
              </w:rPr>
            </w:pPr>
            <w:r w:rsidRPr="00632F82">
              <w:rPr>
                <w:sz w:val="20"/>
                <w:szCs w:val="20"/>
              </w:rPr>
              <w:t xml:space="preserve">Before Excluding Cases with </w:t>
            </w:r>
            <w:r w:rsidR="00480EE4" w:rsidRPr="00632F82">
              <w:rPr>
                <w:sz w:val="20"/>
                <w:szCs w:val="20"/>
              </w:rPr>
              <w:t>L</w:t>
            </w:r>
            <w:r w:rsidRPr="00632F82">
              <w:rPr>
                <w:sz w:val="20"/>
                <w:szCs w:val="20"/>
              </w:rPr>
              <w:t>ow LTCH Transfer Propensity</w:t>
            </w:r>
          </w:p>
        </w:tc>
        <w:tc>
          <w:tcPr>
            <w:tcW w:w="1148" w:type="dxa"/>
            <w:tcBorders>
              <w:top w:val="single" w:sz="4" w:space="0" w:color="auto"/>
              <w:bottom w:val="single" w:sz="4" w:space="0" w:color="auto"/>
            </w:tcBorders>
            <w:vAlign w:val="bottom"/>
          </w:tcPr>
          <w:p w14:paraId="482D4D90" w14:textId="05DDE724" w:rsidR="003A72A0" w:rsidRPr="00632F82" w:rsidRDefault="003A72A0" w:rsidP="00480EE4">
            <w:pPr>
              <w:contextualSpacing/>
              <w:jc w:val="center"/>
              <w:rPr>
                <w:sz w:val="20"/>
                <w:szCs w:val="20"/>
              </w:rPr>
            </w:pPr>
            <w:r w:rsidRPr="00632F82">
              <w:rPr>
                <w:sz w:val="20"/>
                <w:szCs w:val="20"/>
              </w:rPr>
              <w:t>After</w:t>
            </w:r>
          </w:p>
          <w:p w14:paraId="5C15944C" w14:textId="3184827D" w:rsidR="003A72A0" w:rsidRPr="00632F82" w:rsidRDefault="003A72A0" w:rsidP="00480EE4">
            <w:pPr>
              <w:contextualSpacing/>
              <w:jc w:val="center"/>
              <w:rPr>
                <w:sz w:val="20"/>
                <w:szCs w:val="20"/>
              </w:rPr>
            </w:pPr>
            <w:r w:rsidRPr="00632F82">
              <w:rPr>
                <w:sz w:val="20"/>
                <w:szCs w:val="20"/>
              </w:rPr>
              <w:t xml:space="preserve">Excluding Cases with </w:t>
            </w:r>
            <w:r w:rsidR="00480EE4" w:rsidRPr="00632F82">
              <w:rPr>
                <w:sz w:val="20"/>
                <w:szCs w:val="20"/>
              </w:rPr>
              <w:t>L</w:t>
            </w:r>
            <w:r w:rsidRPr="00632F82">
              <w:rPr>
                <w:sz w:val="20"/>
                <w:szCs w:val="20"/>
              </w:rPr>
              <w:t>ow LTCH Transfer Propensity</w:t>
            </w:r>
          </w:p>
        </w:tc>
      </w:tr>
      <w:tr w:rsidR="00083626" w:rsidRPr="00632F82" w14:paraId="1BD3331B" w14:textId="42E6FDB4" w:rsidTr="009E582D">
        <w:tc>
          <w:tcPr>
            <w:tcW w:w="4130" w:type="dxa"/>
            <w:vAlign w:val="center"/>
          </w:tcPr>
          <w:p w14:paraId="62AA88D6" w14:textId="0D055852" w:rsidR="00083626" w:rsidRPr="00632F82" w:rsidRDefault="00083626" w:rsidP="00F03439">
            <w:pPr>
              <w:contextualSpacing/>
              <w:rPr>
                <w:sz w:val="20"/>
                <w:szCs w:val="20"/>
              </w:rPr>
            </w:pPr>
            <w:r w:rsidRPr="00632F82">
              <w:rPr>
                <w:rFonts w:eastAsia="Times New Roman" w:cs="Times New Roman"/>
                <w:color w:val="000000"/>
                <w:sz w:val="20"/>
                <w:szCs w:val="20"/>
              </w:rPr>
              <w:t>MDC=04 Respiratory</w:t>
            </w:r>
          </w:p>
        </w:tc>
        <w:tc>
          <w:tcPr>
            <w:tcW w:w="1147" w:type="dxa"/>
            <w:tcBorders>
              <w:top w:val="single" w:sz="4" w:space="0" w:color="auto"/>
            </w:tcBorders>
            <w:vAlign w:val="center"/>
          </w:tcPr>
          <w:p w14:paraId="43506ABC" w14:textId="7B472153" w:rsidR="00083626" w:rsidRPr="00632F82" w:rsidRDefault="00083626" w:rsidP="00F03439">
            <w:pPr>
              <w:contextualSpacing/>
              <w:jc w:val="center"/>
              <w:rPr>
                <w:sz w:val="20"/>
                <w:szCs w:val="20"/>
              </w:rPr>
            </w:pPr>
            <w:r w:rsidRPr="00632F82">
              <w:rPr>
                <w:sz w:val="20"/>
                <w:szCs w:val="20"/>
              </w:rPr>
              <w:t>256,263</w:t>
            </w:r>
          </w:p>
        </w:tc>
        <w:tc>
          <w:tcPr>
            <w:tcW w:w="1147" w:type="dxa"/>
            <w:tcBorders>
              <w:top w:val="single" w:sz="4" w:space="0" w:color="auto"/>
            </w:tcBorders>
            <w:vAlign w:val="center"/>
          </w:tcPr>
          <w:p w14:paraId="7F1B84D6" w14:textId="24624DEF" w:rsidR="00083626" w:rsidRPr="00632F82" w:rsidRDefault="00083626" w:rsidP="00F03439">
            <w:pPr>
              <w:contextualSpacing/>
              <w:jc w:val="center"/>
              <w:rPr>
                <w:sz w:val="20"/>
                <w:szCs w:val="20"/>
              </w:rPr>
            </w:pPr>
            <w:r w:rsidRPr="00632F82">
              <w:rPr>
                <w:sz w:val="20"/>
                <w:szCs w:val="20"/>
              </w:rPr>
              <w:t>15.5</w:t>
            </w:r>
          </w:p>
        </w:tc>
        <w:tc>
          <w:tcPr>
            <w:tcW w:w="1148" w:type="dxa"/>
            <w:tcBorders>
              <w:top w:val="single" w:sz="4" w:space="0" w:color="auto"/>
            </w:tcBorders>
            <w:vAlign w:val="center"/>
          </w:tcPr>
          <w:p w14:paraId="5DC3FE13" w14:textId="6A54999F" w:rsidR="00083626" w:rsidRPr="00632F82" w:rsidRDefault="00083626" w:rsidP="00F03439">
            <w:pPr>
              <w:contextualSpacing/>
              <w:jc w:val="center"/>
              <w:rPr>
                <w:sz w:val="20"/>
                <w:szCs w:val="20"/>
              </w:rPr>
            </w:pPr>
            <w:r w:rsidRPr="00632F82">
              <w:rPr>
                <w:sz w:val="20"/>
                <w:szCs w:val="20"/>
              </w:rPr>
              <w:t>859</w:t>
            </w:r>
          </w:p>
        </w:tc>
        <w:tc>
          <w:tcPr>
            <w:tcW w:w="1148" w:type="dxa"/>
            <w:tcBorders>
              <w:top w:val="single" w:sz="4" w:space="0" w:color="auto"/>
            </w:tcBorders>
            <w:vAlign w:val="center"/>
          </w:tcPr>
          <w:p w14:paraId="42F71451" w14:textId="4A9653C2" w:rsidR="00083626" w:rsidRPr="00632F82" w:rsidRDefault="00083626" w:rsidP="00F03439">
            <w:pPr>
              <w:contextualSpacing/>
              <w:jc w:val="center"/>
              <w:rPr>
                <w:sz w:val="20"/>
                <w:szCs w:val="20"/>
              </w:rPr>
            </w:pPr>
            <w:r w:rsidRPr="00632F82">
              <w:rPr>
                <w:sz w:val="20"/>
                <w:szCs w:val="20"/>
              </w:rPr>
              <w:t>4.9</w:t>
            </w:r>
          </w:p>
        </w:tc>
        <w:tc>
          <w:tcPr>
            <w:tcW w:w="1148" w:type="dxa"/>
            <w:tcBorders>
              <w:top w:val="single" w:sz="4" w:space="0" w:color="auto"/>
            </w:tcBorders>
            <w:vAlign w:val="center"/>
          </w:tcPr>
          <w:p w14:paraId="5D8F5981" w14:textId="271EEC9E" w:rsidR="00083626" w:rsidRPr="00632F82" w:rsidRDefault="00083626">
            <w:pPr>
              <w:contextualSpacing/>
              <w:jc w:val="center"/>
              <w:rPr>
                <w:sz w:val="20"/>
                <w:szCs w:val="20"/>
              </w:rPr>
            </w:pPr>
            <w:r w:rsidRPr="00632F82">
              <w:rPr>
                <w:sz w:val="20"/>
                <w:szCs w:val="20"/>
              </w:rPr>
              <w:t>1,675,862</w:t>
            </w:r>
          </w:p>
        </w:tc>
        <w:tc>
          <w:tcPr>
            <w:tcW w:w="1148" w:type="dxa"/>
            <w:tcBorders>
              <w:top w:val="single" w:sz="4" w:space="0" w:color="auto"/>
            </w:tcBorders>
            <w:vAlign w:val="center"/>
          </w:tcPr>
          <w:p w14:paraId="329FB0EB" w14:textId="6868324D" w:rsidR="00083626" w:rsidRPr="00632F82" w:rsidRDefault="00083626">
            <w:pPr>
              <w:contextualSpacing/>
              <w:jc w:val="center"/>
              <w:rPr>
                <w:sz w:val="20"/>
                <w:szCs w:val="20"/>
              </w:rPr>
            </w:pPr>
            <w:r w:rsidRPr="00632F82">
              <w:rPr>
                <w:sz w:val="20"/>
                <w:szCs w:val="20"/>
              </w:rPr>
              <w:t>1,418,740</w:t>
            </w:r>
          </w:p>
        </w:tc>
      </w:tr>
      <w:tr w:rsidR="00083626" w:rsidRPr="00632F82" w14:paraId="42838A6F" w14:textId="3352E8A2" w:rsidTr="009E582D">
        <w:tc>
          <w:tcPr>
            <w:tcW w:w="4130" w:type="dxa"/>
            <w:vAlign w:val="center"/>
          </w:tcPr>
          <w:p w14:paraId="105C57D2" w14:textId="7C462971" w:rsidR="00083626" w:rsidRPr="00632F82" w:rsidRDefault="00083626" w:rsidP="00F03439">
            <w:pPr>
              <w:contextualSpacing/>
              <w:rPr>
                <w:sz w:val="20"/>
                <w:szCs w:val="20"/>
              </w:rPr>
            </w:pPr>
          </w:p>
        </w:tc>
        <w:tc>
          <w:tcPr>
            <w:tcW w:w="1147" w:type="dxa"/>
            <w:vAlign w:val="center"/>
          </w:tcPr>
          <w:p w14:paraId="41A1D1EE" w14:textId="77777777" w:rsidR="00083626" w:rsidRPr="00632F82" w:rsidRDefault="00083626" w:rsidP="00F03439">
            <w:pPr>
              <w:contextualSpacing/>
              <w:jc w:val="center"/>
              <w:rPr>
                <w:sz w:val="20"/>
                <w:szCs w:val="20"/>
              </w:rPr>
            </w:pPr>
          </w:p>
        </w:tc>
        <w:tc>
          <w:tcPr>
            <w:tcW w:w="1147" w:type="dxa"/>
            <w:vAlign w:val="center"/>
          </w:tcPr>
          <w:p w14:paraId="77FF6B9A" w14:textId="77777777" w:rsidR="00083626" w:rsidRPr="00632F82" w:rsidRDefault="00083626" w:rsidP="00F03439">
            <w:pPr>
              <w:contextualSpacing/>
              <w:jc w:val="center"/>
              <w:rPr>
                <w:sz w:val="20"/>
                <w:szCs w:val="20"/>
              </w:rPr>
            </w:pPr>
          </w:p>
        </w:tc>
        <w:tc>
          <w:tcPr>
            <w:tcW w:w="1148" w:type="dxa"/>
            <w:vAlign w:val="center"/>
          </w:tcPr>
          <w:p w14:paraId="1CCFF27A" w14:textId="77777777" w:rsidR="00083626" w:rsidRPr="00632F82" w:rsidRDefault="00083626" w:rsidP="00F03439">
            <w:pPr>
              <w:contextualSpacing/>
              <w:jc w:val="center"/>
              <w:rPr>
                <w:sz w:val="20"/>
                <w:szCs w:val="20"/>
              </w:rPr>
            </w:pPr>
          </w:p>
        </w:tc>
        <w:tc>
          <w:tcPr>
            <w:tcW w:w="1148" w:type="dxa"/>
            <w:vAlign w:val="center"/>
          </w:tcPr>
          <w:p w14:paraId="7095EBCA" w14:textId="1B76BA3D" w:rsidR="00083626" w:rsidRPr="00632F82" w:rsidRDefault="00083626" w:rsidP="00F03439">
            <w:pPr>
              <w:contextualSpacing/>
              <w:jc w:val="center"/>
              <w:rPr>
                <w:sz w:val="20"/>
                <w:szCs w:val="20"/>
              </w:rPr>
            </w:pPr>
          </w:p>
        </w:tc>
        <w:tc>
          <w:tcPr>
            <w:tcW w:w="1148" w:type="dxa"/>
            <w:vAlign w:val="center"/>
          </w:tcPr>
          <w:p w14:paraId="71C575D5" w14:textId="77777777" w:rsidR="00083626" w:rsidRPr="00632F82" w:rsidRDefault="00083626">
            <w:pPr>
              <w:contextualSpacing/>
              <w:jc w:val="center"/>
              <w:rPr>
                <w:sz w:val="20"/>
                <w:szCs w:val="20"/>
              </w:rPr>
            </w:pPr>
          </w:p>
        </w:tc>
        <w:tc>
          <w:tcPr>
            <w:tcW w:w="1148" w:type="dxa"/>
            <w:vAlign w:val="center"/>
          </w:tcPr>
          <w:p w14:paraId="0EB370B6" w14:textId="77777777" w:rsidR="00083626" w:rsidRPr="00632F82" w:rsidRDefault="00083626">
            <w:pPr>
              <w:contextualSpacing/>
              <w:jc w:val="center"/>
              <w:rPr>
                <w:sz w:val="20"/>
                <w:szCs w:val="20"/>
              </w:rPr>
            </w:pPr>
          </w:p>
        </w:tc>
      </w:tr>
      <w:tr w:rsidR="00083626" w:rsidRPr="00632F82" w14:paraId="6FD88ACC" w14:textId="14F7B223" w:rsidTr="009E582D">
        <w:tc>
          <w:tcPr>
            <w:tcW w:w="4130" w:type="dxa"/>
            <w:vAlign w:val="center"/>
          </w:tcPr>
          <w:p w14:paraId="4B62AD73" w14:textId="2AB0D082" w:rsidR="00083626" w:rsidRPr="00632F82" w:rsidRDefault="00083626" w:rsidP="00F03439">
            <w:pPr>
              <w:contextualSpacing/>
              <w:rPr>
                <w:sz w:val="20"/>
                <w:szCs w:val="20"/>
              </w:rPr>
            </w:pPr>
            <w:r w:rsidRPr="00632F82">
              <w:rPr>
                <w:rFonts w:eastAsia="Times New Roman" w:cs="Times New Roman"/>
                <w:color w:val="000000"/>
                <w:sz w:val="20"/>
                <w:szCs w:val="20"/>
              </w:rPr>
              <w:t>MDC=05 Circulatory</w:t>
            </w:r>
          </w:p>
        </w:tc>
        <w:tc>
          <w:tcPr>
            <w:tcW w:w="1147" w:type="dxa"/>
            <w:vAlign w:val="center"/>
          </w:tcPr>
          <w:p w14:paraId="23A4E88D" w14:textId="04182201" w:rsidR="00083626" w:rsidRPr="00632F82" w:rsidRDefault="00083626" w:rsidP="00F03439">
            <w:pPr>
              <w:contextualSpacing/>
              <w:jc w:val="center"/>
              <w:rPr>
                <w:sz w:val="20"/>
                <w:szCs w:val="20"/>
              </w:rPr>
            </w:pPr>
            <w:r w:rsidRPr="00632F82">
              <w:rPr>
                <w:sz w:val="20"/>
                <w:szCs w:val="20"/>
              </w:rPr>
              <w:t>723,714</w:t>
            </w:r>
          </w:p>
        </w:tc>
        <w:tc>
          <w:tcPr>
            <w:tcW w:w="1147" w:type="dxa"/>
            <w:vAlign w:val="center"/>
          </w:tcPr>
          <w:p w14:paraId="087A1F8D" w14:textId="2CDD42C0" w:rsidR="00083626" w:rsidRPr="00632F82" w:rsidRDefault="00083626" w:rsidP="00F03439">
            <w:pPr>
              <w:contextualSpacing/>
              <w:jc w:val="center"/>
              <w:rPr>
                <w:sz w:val="20"/>
                <w:szCs w:val="20"/>
              </w:rPr>
            </w:pPr>
            <w:r w:rsidRPr="00632F82">
              <w:rPr>
                <w:sz w:val="20"/>
                <w:szCs w:val="20"/>
              </w:rPr>
              <w:t>25.9</w:t>
            </w:r>
          </w:p>
        </w:tc>
        <w:tc>
          <w:tcPr>
            <w:tcW w:w="1148" w:type="dxa"/>
            <w:vAlign w:val="center"/>
          </w:tcPr>
          <w:p w14:paraId="50190BC9" w14:textId="3F56970B" w:rsidR="00083626" w:rsidRPr="00632F82" w:rsidRDefault="00083626" w:rsidP="00F03439">
            <w:pPr>
              <w:contextualSpacing/>
              <w:jc w:val="center"/>
              <w:rPr>
                <w:sz w:val="20"/>
                <w:szCs w:val="20"/>
              </w:rPr>
            </w:pPr>
            <w:r w:rsidRPr="00632F82">
              <w:rPr>
                <w:sz w:val="20"/>
                <w:szCs w:val="20"/>
              </w:rPr>
              <w:t>731</w:t>
            </w:r>
          </w:p>
        </w:tc>
        <w:tc>
          <w:tcPr>
            <w:tcW w:w="1148" w:type="dxa"/>
            <w:vAlign w:val="center"/>
          </w:tcPr>
          <w:p w14:paraId="6BE5F442" w14:textId="77ED4BEC" w:rsidR="00083626" w:rsidRPr="00632F82" w:rsidRDefault="00083626" w:rsidP="00F03439">
            <w:pPr>
              <w:contextualSpacing/>
              <w:jc w:val="center"/>
              <w:rPr>
                <w:sz w:val="20"/>
                <w:szCs w:val="20"/>
              </w:rPr>
            </w:pPr>
            <w:r w:rsidRPr="00632F82">
              <w:rPr>
                <w:sz w:val="20"/>
                <w:szCs w:val="20"/>
              </w:rPr>
              <w:t>4.8</w:t>
            </w:r>
          </w:p>
        </w:tc>
        <w:tc>
          <w:tcPr>
            <w:tcW w:w="1148" w:type="dxa"/>
            <w:vAlign w:val="center"/>
          </w:tcPr>
          <w:p w14:paraId="0770938A" w14:textId="005EAA10" w:rsidR="00083626" w:rsidRPr="00632F82" w:rsidRDefault="00083626">
            <w:pPr>
              <w:contextualSpacing/>
              <w:jc w:val="center"/>
              <w:rPr>
                <w:sz w:val="20"/>
                <w:szCs w:val="20"/>
              </w:rPr>
            </w:pPr>
            <w:r w:rsidRPr="00632F82">
              <w:rPr>
                <w:sz w:val="20"/>
                <w:szCs w:val="20"/>
              </w:rPr>
              <w:t>2,805,553</w:t>
            </w:r>
          </w:p>
        </w:tc>
        <w:tc>
          <w:tcPr>
            <w:tcW w:w="1148" w:type="dxa"/>
            <w:vAlign w:val="center"/>
          </w:tcPr>
          <w:p w14:paraId="7D79AF25" w14:textId="4AAEE57A" w:rsidR="00083626" w:rsidRPr="00632F82" w:rsidRDefault="00083626">
            <w:pPr>
              <w:contextualSpacing/>
              <w:jc w:val="center"/>
              <w:rPr>
                <w:sz w:val="20"/>
                <w:szCs w:val="20"/>
              </w:rPr>
            </w:pPr>
            <w:r w:rsidRPr="00632F82">
              <w:rPr>
                <w:sz w:val="20"/>
                <w:szCs w:val="20"/>
              </w:rPr>
              <w:t>2,081,108</w:t>
            </w:r>
          </w:p>
        </w:tc>
      </w:tr>
      <w:tr w:rsidR="00083626" w:rsidRPr="00632F82" w14:paraId="59C75753" w14:textId="404114C1" w:rsidTr="009E582D">
        <w:tc>
          <w:tcPr>
            <w:tcW w:w="4130" w:type="dxa"/>
            <w:vAlign w:val="center"/>
          </w:tcPr>
          <w:p w14:paraId="6151BA01" w14:textId="66C8D719" w:rsidR="00083626" w:rsidRPr="00632F82" w:rsidRDefault="00083626" w:rsidP="00F03439">
            <w:pPr>
              <w:contextualSpacing/>
              <w:rPr>
                <w:sz w:val="20"/>
                <w:szCs w:val="20"/>
              </w:rPr>
            </w:pPr>
          </w:p>
        </w:tc>
        <w:tc>
          <w:tcPr>
            <w:tcW w:w="1147" w:type="dxa"/>
            <w:vAlign w:val="center"/>
          </w:tcPr>
          <w:p w14:paraId="1759A8FC" w14:textId="77777777" w:rsidR="00083626" w:rsidRPr="00632F82" w:rsidRDefault="00083626" w:rsidP="00F03439">
            <w:pPr>
              <w:contextualSpacing/>
              <w:jc w:val="center"/>
              <w:rPr>
                <w:sz w:val="20"/>
                <w:szCs w:val="20"/>
              </w:rPr>
            </w:pPr>
          </w:p>
        </w:tc>
        <w:tc>
          <w:tcPr>
            <w:tcW w:w="1147" w:type="dxa"/>
            <w:vAlign w:val="center"/>
          </w:tcPr>
          <w:p w14:paraId="65B47F3F" w14:textId="77777777" w:rsidR="00083626" w:rsidRPr="00632F82" w:rsidRDefault="00083626" w:rsidP="00F03439">
            <w:pPr>
              <w:contextualSpacing/>
              <w:jc w:val="center"/>
              <w:rPr>
                <w:sz w:val="20"/>
                <w:szCs w:val="20"/>
              </w:rPr>
            </w:pPr>
          </w:p>
        </w:tc>
        <w:tc>
          <w:tcPr>
            <w:tcW w:w="1148" w:type="dxa"/>
            <w:vAlign w:val="center"/>
          </w:tcPr>
          <w:p w14:paraId="58827A76" w14:textId="77777777" w:rsidR="00083626" w:rsidRPr="00632F82" w:rsidRDefault="00083626" w:rsidP="00F03439">
            <w:pPr>
              <w:contextualSpacing/>
              <w:jc w:val="center"/>
              <w:rPr>
                <w:sz w:val="20"/>
                <w:szCs w:val="20"/>
              </w:rPr>
            </w:pPr>
          </w:p>
        </w:tc>
        <w:tc>
          <w:tcPr>
            <w:tcW w:w="1148" w:type="dxa"/>
            <w:vAlign w:val="center"/>
          </w:tcPr>
          <w:p w14:paraId="20A0F442" w14:textId="77777777" w:rsidR="00083626" w:rsidRPr="00632F82" w:rsidRDefault="00083626" w:rsidP="00F03439">
            <w:pPr>
              <w:contextualSpacing/>
              <w:jc w:val="center"/>
              <w:rPr>
                <w:sz w:val="20"/>
                <w:szCs w:val="20"/>
              </w:rPr>
            </w:pPr>
          </w:p>
        </w:tc>
        <w:tc>
          <w:tcPr>
            <w:tcW w:w="1148" w:type="dxa"/>
            <w:vAlign w:val="center"/>
          </w:tcPr>
          <w:p w14:paraId="0DFEDE8B" w14:textId="77777777" w:rsidR="00083626" w:rsidRPr="00632F82" w:rsidRDefault="00083626">
            <w:pPr>
              <w:contextualSpacing/>
              <w:jc w:val="center"/>
              <w:rPr>
                <w:sz w:val="20"/>
                <w:szCs w:val="20"/>
              </w:rPr>
            </w:pPr>
          </w:p>
        </w:tc>
        <w:tc>
          <w:tcPr>
            <w:tcW w:w="1148" w:type="dxa"/>
            <w:vAlign w:val="center"/>
          </w:tcPr>
          <w:p w14:paraId="1BC602C3" w14:textId="77777777" w:rsidR="00083626" w:rsidRPr="00632F82" w:rsidRDefault="00083626">
            <w:pPr>
              <w:contextualSpacing/>
              <w:jc w:val="center"/>
              <w:rPr>
                <w:sz w:val="20"/>
                <w:szCs w:val="20"/>
              </w:rPr>
            </w:pPr>
          </w:p>
        </w:tc>
      </w:tr>
      <w:tr w:rsidR="00083626" w:rsidRPr="00632F82" w14:paraId="7E042FE6" w14:textId="1664B3BB" w:rsidTr="009E582D">
        <w:tc>
          <w:tcPr>
            <w:tcW w:w="4130" w:type="dxa"/>
            <w:vAlign w:val="center"/>
          </w:tcPr>
          <w:p w14:paraId="4F6DF2B4" w14:textId="2D2536D2" w:rsidR="00083626" w:rsidRPr="00632F82" w:rsidRDefault="00083626" w:rsidP="00F03439">
            <w:pPr>
              <w:contextualSpacing/>
              <w:rPr>
                <w:sz w:val="20"/>
                <w:szCs w:val="20"/>
              </w:rPr>
            </w:pPr>
            <w:r w:rsidRPr="00632F82">
              <w:rPr>
                <w:rFonts w:eastAsia="Times New Roman" w:cs="Times New Roman"/>
                <w:color w:val="000000"/>
                <w:sz w:val="20"/>
                <w:szCs w:val="20"/>
              </w:rPr>
              <w:t>MDC=06 Digestive</w:t>
            </w:r>
          </w:p>
        </w:tc>
        <w:tc>
          <w:tcPr>
            <w:tcW w:w="1147" w:type="dxa"/>
            <w:vAlign w:val="center"/>
          </w:tcPr>
          <w:p w14:paraId="4804BE47" w14:textId="65868F26" w:rsidR="00083626" w:rsidRPr="00632F82" w:rsidRDefault="00083626" w:rsidP="00F03439">
            <w:pPr>
              <w:contextualSpacing/>
              <w:jc w:val="center"/>
              <w:rPr>
                <w:sz w:val="20"/>
                <w:szCs w:val="20"/>
              </w:rPr>
            </w:pPr>
            <w:r w:rsidRPr="00632F82">
              <w:rPr>
                <w:sz w:val="20"/>
                <w:szCs w:val="20"/>
              </w:rPr>
              <w:t>394,233</w:t>
            </w:r>
          </w:p>
        </w:tc>
        <w:tc>
          <w:tcPr>
            <w:tcW w:w="1147" w:type="dxa"/>
            <w:vAlign w:val="center"/>
          </w:tcPr>
          <w:p w14:paraId="7904904B" w14:textId="762E8CBA" w:rsidR="00083626" w:rsidRPr="00632F82" w:rsidRDefault="00083626" w:rsidP="00F03439">
            <w:pPr>
              <w:contextualSpacing/>
              <w:jc w:val="center"/>
              <w:rPr>
                <w:sz w:val="20"/>
                <w:szCs w:val="20"/>
              </w:rPr>
            </w:pPr>
            <w:r w:rsidRPr="00632F82">
              <w:rPr>
                <w:sz w:val="20"/>
                <w:szCs w:val="20"/>
              </w:rPr>
              <w:t>29.7</w:t>
            </w:r>
          </w:p>
        </w:tc>
        <w:tc>
          <w:tcPr>
            <w:tcW w:w="1148" w:type="dxa"/>
            <w:vAlign w:val="center"/>
          </w:tcPr>
          <w:p w14:paraId="3F2079AB" w14:textId="72D9B94C" w:rsidR="00083626" w:rsidRPr="00632F82" w:rsidRDefault="00083626" w:rsidP="00F03439">
            <w:pPr>
              <w:contextualSpacing/>
              <w:jc w:val="center"/>
              <w:rPr>
                <w:sz w:val="20"/>
                <w:szCs w:val="20"/>
              </w:rPr>
            </w:pPr>
            <w:r w:rsidRPr="00632F82">
              <w:rPr>
                <w:sz w:val="20"/>
                <w:szCs w:val="20"/>
              </w:rPr>
              <w:t>466</w:t>
            </w:r>
          </w:p>
        </w:tc>
        <w:tc>
          <w:tcPr>
            <w:tcW w:w="1148" w:type="dxa"/>
            <w:vAlign w:val="center"/>
          </w:tcPr>
          <w:p w14:paraId="5BE868AA" w14:textId="25A690DF" w:rsidR="00083626" w:rsidRPr="00632F82" w:rsidRDefault="00083626" w:rsidP="00F03439">
            <w:pPr>
              <w:contextualSpacing/>
              <w:jc w:val="center"/>
              <w:rPr>
                <w:sz w:val="20"/>
                <w:szCs w:val="20"/>
              </w:rPr>
            </w:pPr>
            <w:r w:rsidRPr="00632F82">
              <w:rPr>
                <w:sz w:val="20"/>
                <w:szCs w:val="20"/>
              </w:rPr>
              <w:t>4.8</w:t>
            </w:r>
          </w:p>
        </w:tc>
        <w:tc>
          <w:tcPr>
            <w:tcW w:w="1148" w:type="dxa"/>
            <w:vAlign w:val="center"/>
          </w:tcPr>
          <w:p w14:paraId="38CE623E" w14:textId="32A665F8" w:rsidR="00083626" w:rsidRPr="00632F82" w:rsidRDefault="00083626">
            <w:pPr>
              <w:contextualSpacing/>
              <w:jc w:val="center"/>
              <w:rPr>
                <w:sz w:val="20"/>
                <w:szCs w:val="20"/>
              </w:rPr>
            </w:pPr>
            <w:r w:rsidRPr="00632F82">
              <w:rPr>
                <w:sz w:val="20"/>
                <w:szCs w:val="20"/>
              </w:rPr>
              <w:t>1,336,060</w:t>
            </w:r>
          </w:p>
        </w:tc>
        <w:tc>
          <w:tcPr>
            <w:tcW w:w="1148" w:type="dxa"/>
            <w:vAlign w:val="center"/>
          </w:tcPr>
          <w:p w14:paraId="304FCBF3" w14:textId="34A2AB7E" w:rsidR="00083626" w:rsidRPr="00632F82" w:rsidRDefault="00083626">
            <w:pPr>
              <w:contextualSpacing/>
              <w:jc w:val="center"/>
              <w:rPr>
                <w:sz w:val="20"/>
                <w:szCs w:val="20"/>
              </w:rPr>
            </w:pPr>
            <w:r w:rsidRPr="00632F82">
              <w:rPr>
                <w:sz w:val="20"/>
                <w:szCs w:val="20"/>
              </w:rPr>
              <w:t>941,361</w:t>
            </w:r>
          </w:p>
        </w:tc>
      </w:tr>
      <w:tr w:rsidR="00083626" w:rsidRPr="00632F82" w14:paraId="232C47D9" w14:textId="004FF9E8" w:rsidTr="009E582D">
        <w:tc>
          <w:tcPr>
            <w:tcW w:w="4130" w:type="dxa"/>
            <w:vAlign w:val="center"/>
          </w:tcPr>
          <w:p w14:paraId="01AE8B36" w14:textId="422DE204" w:rsidR="00083626" w:rsidRPr="00632F82" w:rsidRDefault="00083626" w:rsidP="00F03439">
            <w:pPr>
              <w:contextualSpacing/>
              <w:rPr>
                <w:sz w:val="20"/>
                <w:szCs w:val="20"/>
              </w:rPr>
            </w:pPr>
          </w:p>
        </w:tc>
        <w:tc>
          <w:tcPr>
            <w:tcW w:w="1147" w:type="dxa"/>
            <w:vAlign w:val="center"/>
          </w:tcPr>
          <w:p w14:paraId="201F4573" w14:textId="77777777" w:rsidR="00083626" w:rsidRPr="00632F82" w:rsidRDefault="00083626" w:rsidP="00F03439">
            <w:pPr>
              <w:contextualSpacing/>
              <w:jc w:val="center"/>
              <w:rPr>
                <w:sz w:val="20"/>
                <w:szCs w:val="20"/>
              </w:rPr>
            </w:pPr>
          </w:p>
        </w:tc>
        <w:tc>
          <w:tcPr>
            <w:tcW w:w="1147" w:type="dxa"/>
            <w:vAlign w:val="center"/>
          </w:tcPr>
          <w:p w14:paraId="6AB81469" w14:textId="77777777" w:rsidR="00083626" w:rsidRPr="00632F82" w:rsidRDefault="00083626" w:rsidP="00F03439">
            <w:pPr>
              <w:contextualSpacing/>
              <w:jc w:val="center"/>
              <w:rPr>
                <w:sz w:val="20"/>
                <w:szCs w:val="20"/>
              </w:rPr>
            </w:pPr>
          </w:p>
        </w:tc>
        <w:tc>
          <w:tcPr>
            <w:tcW w:w="1148" w:type="dxa"/>
            <w:vAlign w:val="center"/>
          </w:tcPr>
          <w:p w14:paraId="32F3E380" w14:textId="77777777" w:rsidR="00083626" w:rsidRPr="00632F82" w:rsidRDefault="00083626" w:rsidP="00F03439">
            <w:pPr>
              <w:contextualSpacing/>
              <w:jc w:val="center"/>
              <w:rPr>
                <w:sz w:val="20"/>
                <w:szCs w:val="20"/>
              </w:rPr>
            </w:pPr>
          </w:p>
        </w:tc>
        <w:tc>
          <w:tcPr>
            <w:tcW w:w="1148" w:type="dxa"/>
            <w:vAlign w:val="center"/>
          </w:tcPr>
          <w:p w14:paraId="516B79CB" w14:textId="77777777" w:rsidR="00083626" w:rsidRPr="00632F82" w:rsidRDefault="00083626" w:rsidP="00F03439">
            <w:pPr>
              <w:contextualSpacing/>
              <w:jc w:val="center"/>
              <w:rPr>
                <w:sz w:val="20"/>
                <w:szCs w:val="20"/>
              </w:rPr>
            </w:pPr>
          </w:p>
        </w:tc>
        <w:tc>
          <w:tcPr>
            <w:tcW w:w="1148" w:type="dxa"/>
            <w:vAlign w:val="center"/>
          </w:tcPr>
          <w:p w14:paraId="514A6E4F" w14:textId="77777777" w:rsidR="00083626" w:rsidRPr="00632F82" w:rsidRDefault="00083626">
            <w:pPr>
              <w:contextualSpacing/>
              <w:jc w:val="center"/>
              <w:rPr>
                <w:sz w:val="20"/>
                <w:szCs w:val="20"/>
              </w:rPr>
            </w:pPr>
          </w:p>
        </w:tc>
        <w:tc>
          <w:tcPr>
            <w:tcW w:w="1148" w:type="dxa"/>
            <w:vAlign w:val="center"/>
          </w:tcPr>
          <w:p w14:paraId="1732D77B" w14:textId="77777777" w:rsidR="00083626" w:rsidRPr="00632F82" w:rsidRDefault="00083626">
            <w:pPr>
              <w:contextualSpacing/>
              <w:jc w:val="center"/>
              <w:rPr>
                <w:sz w:val="20"/>
                <w:szCs w:val="20"/>
              </w:rPr>
            </w:pPr>
          </w:p>
        </w:tc>
      </w:tr>
      <w:tr w:rsidR="00083626" w:rsidRPr="00632F82" w14:paraId="10E48688" w14:textId="148144E2" w:rsidTr="009E582D">
        <w:tc>
          <w:tcPr>
            <w:tcW w:w="4130" w:type="dxa"/>
            <w:vAlign w:val="center"/>
          </w:tcPr>
          <w:p w14:paraId="74CD2745" w14:textId="754489EB" w:rsidR="00083626" w:rsidRPr="00632F82" w:rsidRDefault="00083626" w:rsidP="00F03439">
            <w:pPr>
              <w:contextualSpacing/>
              <w:rPr>
                <w:sz w:val="20"/>
                <w:szCs w:val="20"/>
              </w:rPr>
            </w:pPr>
            <w:r w:rsidRPr="00632F82">
              <w:rPr>
                <w:rFonts w:eastAsia="Times New Roman" w:cs="Times New Roman"/>
                <w:color w:val="000000"/>
                <w:sz w:val="20"/>
                <w:szCs w:val="20"/>
              </w:rPr>
              <w:t>MDC=08 Musculoskeletal &amp; Connective Tissue</w:t>
            </w:r>
          </w:p>
        </w:tc>
        <w:tc>
          <w:tcPr>
            <w:tcW w:w="1147" w:type="dxa"/>
            <w:vAlign w:val="center"/>
          </w:tcPr>
          <w:p w14:paraId="7D68814B" w14:textId="02108306" w:rsidR="00083626" w:rsidRPr="00632F82" w:rsidRDefault="00083626" w:rsidP="00F03439">
            <w:pPr>
              <w:contextualSpacing/>
              <w:jc w:val="center"/>
              <w:rPr>
                <w:sz w:val="20"/>
                <w:szCs w:val="20"/>
              </w:rPr>
            </w:pPr>
            <w:r w:rsidRPr="00632F82">
              <w:rPr>
                <w:sz w:val="20"/>
                <w:szCs w:val="20"/>
              </w:rPr>
              <w:t>467,343</w:t>
            </w:r>
          </w:p>
        </w:tc>
        <w:tc>
          <w:tcPr>
            <w:tcW w:w="1147" w:type="dxa"/>
            <w:vAlign w:val="center"/>
          </w:tcPr>
          <w:p w14:paraId="2D350492" w14:textId="4E7F1FA5" w:rsidR="00083626" w:rsidRPr="00632F82" w:rsidRDefault="00083626" w:rsidP="00F03439">
            <w:pPr>
              <w:contextualSpacing/>
              <w:jc w:val="center"/>
              <w:rPr>
                <w:sz w:val="20"/>
                <w:szCs w:val="20"/>
              </w:rPr>
            </w:pPr>
            <w:r w:rsidRPr="00632F82">
              <w:rPr>
                <w:sz w:val="20"/>
                <w:szCs w:val="20"/>
              </w:rPr>
              <w:t>27.4</w:t>
            </w:r>
          </w:p>
        </w:tc>
        <w:tc>
          <w:tcPr>
            <w:tcW w:w="1148" w:type="dxa"/>
            <w:vAlign w:val="center"/>
          </w:tcPr>
          <w:p w14:paraId="65FD2549" w14:textId="7DEDEC0F" w:rsidR="00083626" w:rsidRPr="00632F82" w:rsidRDefault="00083626" w:rsidP="00F03439">
            <w:pPr>
              <w:contextualSpacing/>
              <w:jc w:val="center"/>
              <w:rPr>
                <w:sz w:val="20"/>
                <w:szCs w:val="20"/>
              </w:rPr>
            </w:pPr>
            <w:r w:rsidRPr="00632F82">
              <w:rPr>
                <w:sz w:val="20"/>
                <w:szCs w:val="20"/>
              </w:rPr>
              <w:t>425</w:t>
            </w:r>
          </w:p>
        </w:tc>
        <w:tc>
          <w:tcPr>
            <w:tcW w:w="1148" w:type="dxa"/>
            <w:vAlign w:val="center"/>
          </w:tcPr>
          <w:p w14:paraId="3B8C4FF7" w14:textId="2B85FA9B" w:rsidR="00083626" w:rsidRPr="00632F82" w:rsidRDefault="00083626" w:rsidP="00F03439">
            <w:pPr>
              <w:contextualSpacing/>
              <w:jc w:val="center"/>
              <w:rPr>
                <w:sz w:val="20"/>
                <w:szCs w:val="20"/>
              </w:rPr>
            </w:pPr>
            <w:r w:rsidRPr="00632F82">
              <w:rPr>
                <w:sz w:val="20"/>
                <w:szCs w:val="20"/>
              </w:rPr>
              <w:t>4.6</w:t>
            </w:r>
          </w:p>
        </w:tc>
        <w:tc>
          <w:tcPr>
            <w:tcW w:w="1148" w:type="dxa"/>
            <w:vAlign w:val="center"/>
          </w:tcPr>
          <w:p w14:paraId="79CB00AB" w14:textId="5F99D6CA" w:rsidR="00083626" w:rsidRPr="00632F82" w:rsidRDefault="00083626">
            <w:pPr>
              <w:contextualSpacing/>
              <w:jc w:val="center"/>
              <w:rPr>
                <w:sz w:val="20"/>
                <w:szCs w:val="20"/>
              </w:rPr>
            </w:pPr>
            <w:r w:rsidRPr="00632F82">
              <w:rPr>
                <w:sz w:val="20"/>
                <w:szCs w:val="20"/>
              </w:rPr>
              <w:t>1,717,671</w:t>
            </w:r>
          </w:p>
        </w:tc>
        <w:tc>
          <w:tcPr>
            <w:tcW w:w="1148" w:type="dxa"/>
            <w:vAlign w:val="center"/>
          </w:tcPr>
          <w:p w14:paraId="3E3C409D" w14:textId="2BD1F14E" w:rsidR="00083626" w:rsidRPr="00632F82" w:rsidRDefault="00083626">
            <w:pPr>
              <w:contextualSpacing/>
              <w:jc w:val="center"/>
              <w:rPr>
                <w:sz w:val="20"/>
                <w:szCs w:val="20"/>
              </w:rPr>
            </w:pPr>
            <w:r w:rsidRPr="00632F82">
              <w:rPr>
                <w:sz w:val="20"/>
                <w:szCs w:val="20"/>
              </w:rPr>
              <w:t>1,249,903</w:t>
            </w:r>
          </w:p>
        </w:tc>
      </w:tr>
      <w:tr w:rsidR="00083626" w:rsidRPr="00632F82" w14:paraId="0E9948E3" w14:textId="2887A102" w:rsidTr="009E582D">
        <w:tc>
          <w:tcPr>
            <w:tcW w:w="4130" w:type="dxa"/>
            <w:vAlign w:val="center"/>
          </w:tcPr>
          <w:p w14:paraId="2A09D40B" w14:textId="6EA010BD" w:rsidR="00083626" w:rsidRPr="00632F82" w:rsidRDefault="00083626" w:rsidP="00F03439">
            <w:pPr>
              <w:contextualSpacing/>
              <w:rPr>
                <w:sz w:val="20"/>
                <w:szCs w:val="20"/>
              </w:rPr>
            </w:pPr>
          </w:p>
        </w:tc>
        <w:tc>
          <w:tcPr>
            <w:tcW w:w="1147" w:type="dxa"/>
            <w:vAlign w:val="center"/>
          </w:tcPr>
          <w:p w14:paraId="56186C28" w14:textId="77777777" w:rsidR="00083626" w:rsidRPr="00632F82" w:rsidRDefault="00083626" w:rsidP="00F03439">
            <w:pPr>
              <w:contextualSpacing/>
              <w:jc w:val="center"/>
              <w:rPr>
                <w:sz w:val="20"/>
                <w:szCs w:val="20"/>
              </w:rPr>
            </w:pPr>
          </w:p>
        </w:tc>
        <w:tc>
          <w:tcPr>
            <w:tcW w:w="1147" w:type="dxa"/>
            <w:vAlign w:val="center"/>
          </w:tcPr>
          <w:p w14:paraId="01FA2349" w14:textId="77777777" w:rsidR="00083626" w:rsidRPr="00632F82" w:rsidRDefault="00083626" w:rsidP="00F03439">
            <w:pPr>
              <w:contextualSpacing/>
              <w:jc w:val="center"/>
              <w:rPr>
                <w:sz w:val="20"/>
                <w:szCs w:val="20"/>
              </w:rPr>
            </w:pPr>
          </w:p>
        </w:tc>
        <w:tc>
          <w:tcPr>
            <w:tcW w:w="1148" w:type="dxa"/>
            <w:vAlign w:val="center"/>
          </w:tcPr>
          <w:p w14:paraId="74285872" w14:textId="77777777" w:rsidR="00083626" w:rsidRPr="00632F82" w:rsidRDefault="00083626" w:rsidP="00F03439">
            <w:pPr>
              <w:contextualSpacing/>
              <w:jc w:val="center"/>
              <w:rPr>
                <w:sz w:val="20"/>
                <w:szCs w:val="20"/>
              </w:rPr>
            </w:pPr>
          </w:p>
        </w:tc>
        <w:tc>
          <w:tcPr>
            <w:tcW w:w="1148" w:type="dxa"/>
            <w:vAlign w:val="center"/>
          </w:tcPr>
          <w:p w14:paraId="4AD5FEB5" w14:textId="77777777" w:rsidR="00083626" w:rsidRPr="00632F82" w:rsidRDefault="00083626" w:rsidP="00F03439">
            <w:pPr>
              <w:contextualSpacing/>
              <w:jc w:val="center"/>
              <w:rPr>
                <w:sz w:val="20"/>
                <w:szCs w:val="20"/>
              </w:rPr>
            </w:pPr>
          </w:p>
        </w:tc>
        <w:tc>
          <w:tcPr>
            <w:tcW w:w="1148" w:type="dxa"/>
            <w:vAlign w:val="center"/>
          </w:tcPr>
          <w:p w14:paraId="3061A336" w14:textId="77777777" w:rsidR="00083626" w:rsidRPr="00632F82" w:rsidRDefault="00083626">
            <w:pPr>
              <w:contextualSpacing/>
              <w:jc w:val="center"/>
              <w:rPr>
                <w:sz w:val="20"/>
                <w:szCs w:val="20"/>
              </w:rPr>
            </w:pPr>
          </w:p>
        </w:tc>
        <w:tc>
          <w:tcPr>
            <w:tcW w:w="1148" w:type="dxa"/>
            <w:vAlign w:val="center"/>
          </w:tcPr>
          <w:p w14:paraId="76388AD6" w14:textId="77777777" w:rsidR="00083626" w:rsidRPr="00632F82" w:rsidRDefault="00083626">
            <w:pPr>
              <w:contextualSpacing/>
              <w:jc w:val="center"/>
              <w:rPr>
                <w:sz w:val="20"/>
                <w:szCs w:val="20"/>
              </w:rPr>
            </w:pPr>
          </w:p>
        </w:tc>
      </w:tr>
      <w:tr w:rsidR="00083626" w:rsidRPr="00632F82" w14:paraId="31202122" w14:textId="72332E06" w:rsidTr="009E582D">
        <w:tc>
          <w:tcPr>
            <w:tcW w:w="4130" w:type="dxa"/>
            <w:vAlign w:val="center"/>
          </w:tcPr>
          <w:p w14:paraId="6243D4FD" w14:textId="0DAF0A37" w:rsidR="00083626" w:rsidRPr="00632F82" w:rsidRDefault="00083626" w:rsidP="00F03439">
            <w:pPr>
              <w:contextualSpacing/>
              <w:rPr>
                <w:rFonts w:eastAsia="Times New Roman" w:cs="Times New Roman"/>
                <w:color w:val="000000"/>
                <w:sz w:val="20"/>
                <w:szCs w:val="20"/>
              </w:rPr>
            </w:pPr>
            <w:r w:rsidRPr="00632F82">
              <w:rPr>
                <w:rFonts w:eastAsia="Times New Roman" w:cs="Times New Roman"/>
                <w:color w:val="000000"/>
                <w:sz w:val="20"/>
                <w:szCs w:val="20"/>
              </w:rPr>
              <w:t>MDC=18 Infectious &amp; Parasitic DDs</w:t>
            </w:r>
          </w:p>
        </w:tc>
        <w:tc>
          <w:tcPr>
            <w:tcW w:w="1147" w:type="dxa"/>
            <w:vAlign w:val="center"/>
          </w:tcPr>
          <w:p w14:paraId="5F4EC6EC" w14:textId="4DEBC93A" w:rsidR="00083626" w:rsidRPr="00632F82" w:rsidRDefault="00083626" w:rsidP="00F03439">
            <w:pPr>
              <w:contextualSpacing/>
              <w:jc w:val="center"/>
              <w:rPr>
                <w:sz w:val="20"/>
                <w:szCs w:val="20"/>
              </w:rPr>
            </w:pPr>
            <w:r w:rsidRPr="00632F82">
              <w:rPr>
                <w:sz w:val="20"/>
                <w:szCs w:val="20"/>
              </w:rPr>
              <w:t>115,972</w:t>
            </w:r>
          </w:p>
        </w:tc>
        <w:tc>
          <w:tcPr>
            <w:tcW w:w="1147" w:type="dxa"/>
            <w:vAlign w:val="center"/>
          </w:tcPr>
          <w:p w14:paraId="6C3243D8" w14:textId="69938365" w:rsidR="00083626" w:rsidRPr="00632F82" w:rsidRDefault="00083626" w:rsidP="00F03439">
            <w:pPr>
              <w:contextualSpacing/>
              <w:jc w:val="center"/>
              <w:rPr>
                <w:sz w:val="20"/>
                <w:szCs w:val="20"/>
              </w:rPr>
            </w:pPr>
            <w:r w:rsidRPr="00632F82">
              <w:rPr>
                <w:sz w:val="20"/>
                <w:szCs w:val="20"/>
              </w:rPr>
              <w:t>20.7</w:t>
            </w:r>
          </w:p>
        </w:tc>
        <w:tc>
          <w:tcPr>
            <w:tcW w:w="1148" w:type="dxa"/>
            <w:vAlign w:val="center"/>
          </w:tcPr>
          <w:p w14:paraId="5F6195D3" w14:textId="5B24A4EA" w:rsidR="00083626" w:rsidRPr="00632F82" w:rsidRDefault="00083626" w:rsidP="00F03439">
            <w:pPr>
              <w:contextualSpacing/>
              <w:jc w:val="center"/>
              <w:rPr>
                <w:sz w:val="20"/>
                <w:szCs w:val="20"/>
              </w:rPr>
            </w:pPr>
            <w:r w:rsidRPr="00632F82">
              <w:rPr>
                <w:sz w:val="20"/>
                <w:szCs w:val="20"/>
              </w:rPr>
              <w:t>960</w:t>
            </w:r>
          </w:p>
        </w:tc>
        <w:tc>
          <w:tcPr>
            <w:tcW w:w="1148" w:type="dxa"/>
            <w:vAlign w:val="center"/>
          </w:tcPr>
          <w:p w14:paraId="3DBDB045" w14:textId="27D77C14" w:rsidR="00083626" w:rsidRPr="00632F82" w:rsidRDefault="00083626" w:rsidP="00F03439">
            <w:pPr>
              <w:contextualSpacing/>
              <w:jc w:val="center"/>
              <w:rPr>
                <w:sz w:val="20"/>
                <w:szCs w:val="20"/>
              </w:rPr>
            </w:pPr>
            <w:r w:rsidRPr="00632F82">
              <w:rPr>
                <w:sz w:val="20"/>
                <w:szCs w:val="20"/>
              </w:rPr>
              <w:t>5.0</w:t>
            </w:r>
          </w:p>
        </w:tc>
        <w:tc>
          <w:tcPr>
            <w:tcW w:w="1148" w:type="dxa"/>
            <w:vAlign w:val="center"/>
          </w:tcPr>
          <w:p w14:paraId="3C4664C3" w14:textId="302302B9" w:rsidR="00083626" w:rsidRPr="00632F82" w:rsidRDefault="00083626">
            <w:pPr>
              <w:contextualSpacing/>
              <w:jc w:val="center"/>
              <w:rPr>
                <w:sz w:val="20"/>
                <w:szCs w:val="20"/>
              </w:rPr>
            </w:pPr>
            <w:r w:rsidRPr="00632F82">
              <w:rPr>
                <w:sz w:val="20"/>
                <w:szCs w:val="20"/>
              </w:rPr>
              <w:t>579,335</w:t>
            </w:r>
          </w:p>
        </w:tc>
        <w:tc>
          <w:tcPr>
            <w:tcW w:w="1148" w:type="dxa"/>
            <w:vAlign w:val="center"/>
          </w:tcPr>
          <w:p w14:paraId="307986CE" w14:textId="4A2C2E53" w:rsidR="00083626" w:rsidRPr="00632F82" w:rsidRDefault="00083626">
            <w:pPr>
              <w:contextualSpacing/>
              <w:jc w:val="center"/>
              <w:rPr>
                <w:sz w:val="20"/>
                <w:szCs w:val="20"/>
              </w:rPr>
            </w:pPr>
            <w:r w:rsidRPr="00632F82">
              <w:rPr>
                <w:sz w:val="20"/>
                <w:szCs w:val="20"/>
              </w:rPr>
              <w:t>462,403</w:t>
            </w:r>
          </w:p>
        </w:tc>
      </w:tr>
    </w:tbl>
    <w:p w14:paraId="6C899CAD" w14:textId="1ABA8125" w:rsidR="00A01622" w:rsidRPr="00632F82" w:rsidRDefault="00A01622" w:rsidP="006B288B">
      <w:pPr>
        <w:spacing w:after="0"/>
        <w:contextualSpacing/>
      </w:pPr>
      <w:r w:rsidRPr="00632F82">
        <w:t xml:space="preserve"> </w:t>
      </w:r>
    </w:p>
    <w:p w14:paraId="03DCC1C8" w14:textId="77777777" w:rsidR="00A01622" w:rsidRPr="00632F82" w:rsidRDefault="00A01622" w:rsidP="006B288B">
      <w:pPr>
        <w:spacing w:after="0"/>
        <w:contextualSpacing/>
        <w:sectPr w:rsidR="00A01622" w:rsidRPr="00632F82" w:rsidSect="002F6B24">
          <w:pgSz w:w="12240" w:h="15840"/>
          <w:pgMar w:top="720" w:right="720" w:bottom="720" w:left="720" w:header="720" w:footer="720" w:gutter="0"/>
          <w:cols w:space="720"/>
          <w:docGrid w:linePitch="360"/>
        </w:sectPr>
      </w:pPr>
    </w:p>
    <w:p w14:paraId="19114743" w14:textId="62AD501F" w:rsidR="006B288B" w:rsidRPr="00632F82" w:rsidRDefault="006B288B" w:rsidP="006B288B">
      <w:pPr>
        <w:spacing w:after="0"/>
        <w:contextualSpacing/>
        <w:rPr>
          <w:b/>
        </w:rPr>
      </w:pPr>
      <w:r w:rsidRPr="00632F82">
        <w:rPr>
          <w:b/>
        </w:rPr>
        <w:lastRenderedPageBreak/>
        <w:t xml:space="preserve">Table </w:t>
      </w:r>
      <w:r w:rsidR="009F6072" w:rsidRPr="00632F82">
        <w:rPr>
          <w:b/>
        </w:rPr>
        <w:t>C3</w:t>
      </w:r>
      <w:r w:rsidRPr="00632F82">
        <w:rPr>
          <w:b/>
        </w:rPr>
        <w:t xml:space="preserve">. </w:t>
      </w:r>
      <w:r w:rsidR="003E7B98" w:rsidRPr="00632F82">
        <w:rPr>
          <w:b/>
        </w:rPr>
        <w:t xml:space="preserve">Sensitivity Analysis Results: </w:t>
      </w:r>
      <w:r w:rsidRPr="00632F82">
        <w:rPr>
          <w:b/>
        </w:rPr>
        <w:t xml:space="preserve">Marginal Effect of LTCH on Probability of </w:t>
      </w:r>
      <w:r w:rsidR="00F7292C" w:rsidRPr="00632F82">
        <w:rPr>
          <w:b/>
        </w:rPr>
        <w:t>365</w:t>
      </w:r>
      <w:r w:rsidRPr="00632F82">
        <w:rPr>
          <w:b/>
        </w:rPr>
        <w:t>-day Mortality</w:t>
      </w:r>
    </w:p>
    <w:tbl>
      <w:tblPr>
        <w:tblW w:w="14297" w:type="dxa"/>
        <w:tblInd w:w="93" w:type="dxa"/>
        <w:tblBorders>
          <w:top w:val="single" w:sz="12" w:space="0" w:color="auto"/>
          <w:bottom w:val="single" w:sz="12" w:space="0" w:color="auto"/>
        </w:tblBorders>
        <w:tblLook w:val="04A0" w:firstRow="1" w:lastRow="0" w:firstColumn="1" w:lastColumn="0" w:noHBand="0" w:noVBand="1"/>
      </w:tblPr>
      <w:tblGrid>
        <w:gridCol w:w="3952"/>
        <w:gridCol w:w="1463"/>
        <w:gridCol w:w="222"/>
        <w:gridCol w:w="1408"/>
        <w:gridCol w:w="1408"/>
        <w:gridCol w:w="1408"/>
        <w:gridCol w:w="222"/>
        <w:gridCol w:w="1408"/>
        <w:gridCol w:w="1408"/>
        <w:gridCol w:w="1408"/>
      </w:tblGrid>
      <w:tr w:rsidR="00E058AB" w:rsidRPr="00632F82" w14:paraId="3A3CA585" w14:textId="77777777" w:rsidTr="007422BC">
        <w:trPr>
          <w:trHeight w:val="596"/>
        </w:trPr>
        <w:tc>
          <w:tcPr>
            <w:tcW w:w="3954" w:type="dxa"/>
            <w:tcBorders>
              <w:bottom w:val="nil"/>
            </w:tcBorders>
            <w:shd w:val="clear" w:color="auto" w:fill="auto"/>
            <w:noWrap/>
            <w:vAlign w:val="bottom"/>
            <w:hideMark/>
          </w:tcPr>
          <w:p w14:paraId="46E78179" w14:textId="77777777" w:rsidR="00E058AB" w:rsidRPr="00632F82" w:rsidRDefault="00E058AB"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63" w:type="dxa"/>
            <w:tcBorders>
              <w:top w:val="single" w:sz="12" w:space="0" w:color="auto"/>
              <w:bottom w:val="single" w:sz="4" w:space="0" w:color="auto"/>
            </w:tcBorders>
            <w:shd w:val="clear" w:color="auto" w:fill="auto"/>
            <w:vAlign w:val="center"/>
            <w:hideMark/>
          </w:tcPr>
          <w:p w14:paraId="3A5ED846" w14:textId="77777777" w:rsidR="00E058AB" w:rsidRPr="00632F82" w:rsidRDefault="00E058AB"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Baseline Model</w:t>
            </w:r>
          </w:p>
        </w:tc>
        <w:tc>
          <w:tcPr>
            <w:tcW w:w="215" w:type="dxa"/>
            <w:tcBorders>
              <w:top w:val="single" w:sz="12" w:space="0" w:color="auto"/>
              <w:bottom w:val="nil"/>
            </w:tcBorders>
          </w:tcPr>
          <w:p w14:paraId="639BBCAF" w14:textId="77777777" w:rsidR="00E058AB" w:rsidRPr="00632F82" w:rsidRDefault="00E058AB" w:rsidP="00F7292C">
            <w:pPr>
              <w:spacing w:after="0" w:line="240" w:lineRule="auto"/>
              <w:jc w:val="center"/>
              <w:rPr>
                <w:rFonts w:ascii="Calibri" w:eastAsia="Times New Roman" w:hAnsi="Calibri" w:cs="Times New Roman"/>
                <w:bCs/>
                <w:color w:val="000000"/>
                <w:sz w:val="20"/>
                <w:szCs w:val="20"/>
              </w:rPr>
            </w:pPr>
          </w:p>
        </w:tc>
        <w:tc>
          <w:tcPr>
            <w:tcW w:w="4225" w:type="dxa"/>
            <w:gridSpan w:val="3"/>
            <w:tcBorders>
              <w:top w:val="single" w:sz="12" w:space="0" w:color="auto"/>
              <w:bottom w:val="single" w:sz="4" w:space="0" w:color="auto"/>
            </w:tcBorders>
            <w:shd w:val="clear" w:color="auto" w:fill="auto"/>
            <w:vAlign w:val="center"/>
            <w:hideMark/>
          </w:tcPr>
          <w:p w14:paraId="68A27BCF" w14:textId="77777777" w:rsidR="00E058AB" w:rsidRPr="00632F82" w:rsidRDefault="00E058AB"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Interaction with Organ Failure</w:t>
            </w:r>
          </w:p>
        </w:tc>
        <w:tc>
          <w:tcPr>
            <w:tcW w:w="215" w:type="dxa"/>
            <w:tcBorders>
              <w:top w:val="single" w:sz="12" w:space="0" w:color="auto"/>
              <w:bottom w:val="nil"/>
            </w:tcBorders>
          </w:tcPr>
          <w:p w14:paraId="3C74A62A" w14:textId="77777777" w:rsidR="00E058AB" w:rsidRPr="00632F82" w:rsidRDefault="00E058AB" w:rsidP="00F7292C">
            <w:pPr>
              <w:spacing w:after="0" w:line="240" w:lineRule="auto"/>
              <w:jc w:val="center"/>
              <w:rPr>
                <w:rFonts w:ascii="Calibri" w:eastAsia="Times New Roman" w:hAnsi="Calibri" w:cs="Times New Roman"/>
                <w:bCs/>
                <w:color w:val="000000"/>
                <w:sz w:val="20"/>
                <w:szCs w:val="20"/>
              </w:rPr>
            </w:pPr>
          </w:p>
        </w:tc>
        <w:tc>
          <w:tcPr>
            <w:tcW w:w="4225" w:type="dxa"/>
            <w:gridSpan w:val="3"/>
            <w:tcBorders>
              <w:top w:val="single" w:sz="12" w:space="0" w:color="auto"/>
              <w:bottom w:val="single" w:sz="4" w:space="0" w:color="auto"/>
            </w:tcBorders>
            <w:shd w:val="clear" w:color="auto" w:fill="auto"/>
            <w:vAlign w:val="center"/>
            <w:hideMark/>
          </w:tcPr>
          <w:p w14:paraId="62177DA9" w14:textId="77777777" w:rsidR="00E058AB" w:rsidRPr="00632F82" w:rsidRDefault="00E058AB"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Interaction with ICU/CCU</w:t>
            </w:r>
          </w:p>
        </w:tc>
      </w:tr>
      <w:tr w:rsidR="00E058AB" w:rsidRPr="00632F82" w14:paraId="44C59AA8" w14:textId="77777777" w:rsidTr="007422BC">
        <w:trPr>
          <w:trHeight w:val="953"/>
        </w:trPr>
        <w:tc>
          <w:tcPr>
            <w:tcW w:w="3954" w:type="dxa"/>
            <w:tcBorders>
              <w:top w:val="nil"/>
              <w:bottom w:val="single" w:sz="4" w:space="0" w:color="auto"/>
            </w:tcBorders>
            <w:shd w:val="clear" w:color="000000" w:fill="FFFFFF"/>
            <w:vAlign w:val="bottom"/>
            <w:hideMark/>
          </w:tcPr>
          <w:p w14:paraId="43A6B316" w14:textId="77777777" w:rsidR="00E058AB" w:rsidRPr="00632F82" w:rsidRDefault="00E058AB" w:rsidP="00F7292C">
            <w:pPr>
              <w:spacing w:after="0" w:line="240" w:lineRule="auto"/>
              <w:rPr>
                <w:rFonts w:ascii="Calibri" w:eastAsia="Times New Roman" w:hAnsi="Calibri" w:cs="Times New Roman"/>
                <w:bCs/>
                <w:sz w:val="20"/>
                <w:szCs w:val="20"/>
              </w:rPr>
            </w:pPr>
            <w:r w:rsidRPr="00632F82">
              <w:rPr>
                <w:rFonts w:ascii="Calibri" w:eastAsia="Times New Roman" w:hAnsi="Calibri" w:cs="Times New Roman"/>
                <w:bCs/>
                <w:sz w:val="20"/>
                <w:szCs w:val="20"/>
              </w:rPr>
              <w:t>Condition Group</w:t>
            </w:r>
          </w:p>
        </w:tc>
        <w:tc>
          <w:tcPr>
            <w:tcW w:w="1463" w:type="dxa"/>
            <w:tcBorders>
              <w:top w:val="single" w:sz="4" w:space="0" w:color="auto"/>
              <w:bottom w:val="single" w:sz="4" w:space="0" w:color="auto"/>
            </w:tcBorders>
            <w:shd w:val="clear" w:color="auto" w:fill="auto"/>
            <w:vAlign w:val="bottom"/>
            <w:hideMark/>
          </w:tcPr>
          <w:p w14:paraId="6D312FAD"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Model without interactions  </w:t>
            </w:r>
          </w:p>
          <w:p w14:paraId="12FEF424"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(A</w:t>
            </w:r>
            <w:r w:rsidR="00BF1D33" w:rsidRPr="00632F82">
              <w:rPr>
                <w:rFonts w:ascii="Calibri" w:eastAsia="Times New Roman" w:hAnsi="Calibri" w:cs="Times New Roman"/>
                <w:color w:val="000000"/>
                <w:sz w:val="20"/>
                <w:szCs w:val="20"/>
              </w:rPr>
              <w:t>)</w:t>
            </w:r>
          </w:p>
        </w:tc>
        <w:tc>
          <w:tcPr>
            <w:tcW w:w="215" w:type="dxa"/>
            <w:tcBorders>
              <w:top w:val="nil"/>
              <w:bottom w:val="single" w:sz="4" w:space="0" w:color="auto"/>
            </w:tcBorders>
          </w:tcPr>
          <w:p w14:paraId="59E8B8F5"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p>
        </w:tc>
        <w:tc>
          <w:tcPr>
            <w:tcW w:w="1408" w:type="dxa"/>
            <w:tcBorders>
              <w:top w:val="single" w:sz="4" w:space="0" w:color="auto"/>
              <w:bottom w:val="single" w:sz="4" w:space="0" w:color="auto"/>
            </w:tcBorders>
            <w:shd w:val="clear" w:color="auto" w:fill="auto"/>
            <w:vAlign w:val="bottom"/>
            <w:hideMark/>
          </w:tcPr>
          <w:p w14:paraId="500C6B77" w14:textId="77777777" w:rsidR="00E058AB" w:rsidRPr="00632F82" w:rsidRDefault="00BF1D33"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w:t>
            </w:r>
            <w:r w:rsidR="00E058AB" w:rsidRPr="00632F82">
              <w:rPr>
                <w:rFonts w:ascii="Calibri" w:eastAsia="Times New Roman" w:hAnsi="Calibri" w:cs="Times New Roman"/>
                <w:color w:val="000000"/>
                <w:sz w:val="20"/>
                <w:szCs w:val="20"/>
              </w:rPr>
              <w:t xml:space="preserve">ultiple organ failure </w:t>
            </w:r>
          </w:p>
          <w:p w14:paraId="0783939E"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(B1</w:t>
            </w:r>
            <w:r w:rsidR="00BF1D33" w:rsidRPr="00632F82">
              <w:rPr>
                <w:rFonts w:ascii="Calibri" w:eastAsia="Times New Roman" w:hAnsi="Calibri" w:cs="Times New Roman"/>
                <w:color w:val="000000"/>
                <w:sz w:val="20"/>
                <w:szCs w:val="20"/>
              </w:rPr>
              <w:t>)</w:t>
            </w:r>
            <w:r w:rsidRPr="00632F82">
              <w:rPr>
                <w:rFonts w:ascii="Calibri" w:eastAsia="Times New Roman" w:hAnsi="Calibri" w:cs="Times New Roman"/>
                <w:color w:val="000000"/>
                <w:sz w:val="20"/>
                <w:szCs w:val="20"/>
              </w:rPr>
              <w:t xml:space="preserve"> </w:t>
            </w:r>
          </w:p>
        </w:tc>
        <w:tc>
          <w:tcPr>
            <w:tcW w:w="1408" w:type="dxa"/>
            <w:tcBorders>
              <w:top w:val="single" w:sz="4" w:space="0" w:color="auto"/>
              <w:bottom w:val="single" w:sz="4" w:space="0" w:color="auto"/>
            </w:tcBorders>
            <w:shd w:val="clear" w:color="auto" w:fill="auto"/>
            <w:vAlign w:val="bottom"/>
            <w:hideMark/>
          </w:tcPr>
          <w:p w14:paraId="5DC2D0A4" w14:textId="77777777" w:rsidR="00E058AB" w:rsidRPr="00632F82" w:rsidRDefault="00BF1D33"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No</w:t>
            </w:r>
            <w:r w:rsidR="00E058AB" w:rsidRPr="00632F82">
              <w:rPr>
                <w:rFonts w:ascii="Calibri" w:eastAsia="Times New Roman" w:hAnsi="Calibri" w:cs="Times New Roman"/>
                <w:color w:val="000000"/>
                <w:sz w:val="20"/>
                <w:szCs w:val="20"/>
              </w:rPr>
              <w:t xml:space="preserve"> multiple organ failure  </w:t>
            </w:r>
          </w:p>
          <w:p w14:paraId="15CAFEEB"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(B2</w:t>
            </w:r>
            <w:r w:rsidR="00BF1D33" w:rsidRPr="00632F82">
              <w:rPr>
                <w:rFonts w:ascii="Calibri" w:eastAsia="Times New Roman" w:hAnsi="Calibri" w:cs="Times New Roman"/>
                <w:color w:val="000000"/>
                <w:sz w:val="20"/>
                <w:szCs w:val="20"/>
              </w:rPr>
              <w:t>)</w:t>
            </w:r>
          </w:p>
        </w:tc>
        <w:tc>
          <w:tcPr>
            <w:tcW w:w="1408" w:type="dxa"/>
            <w:tcBorders>
              <w:top w:val="single" w:sz="4" w:space="0" w:color="auto"/>
              <w:bottom w:val="single" w:sz="4" w:space="0" w:color="auto"/>
            </w:tcBorders>
            <w:shd w:val="clear" w:color="auto" w:fill="auto"/>
            <w:vAlign w:val="bottom"/>
            <w:hideMark/>
          </w:tcPr>
          <w:p w14:paraId="27A240F5"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Difference in Marginal Effects (B3</w:t>
            </w:r>
            <w:r w:rsidR="00BF1D33" w:rsidRPr="00632F82">
              <w:rPr>
                <w:rFonts w:ascii="Calibri" w:eastAsia="Times New Roman" w:hAnsi="Calibri" w:cs="Times New Roman"/>
                <w:color w:val="000000"/>
                <w:sz w:val="20"/>
                <w:szCs w:val="20"/>
              </w:rPr>
              <w:t>)</w:t>
            </w:r>
          </w:p>
        </w:tc>
        <w:tc>
          <w:tcPr>
            <w:tcW w:w="215" w:type="dxa"/>
            <w:tcBorders>
              <w:top w:val="nil"/>
              <w:bottom w:val="single" w:sz="4" w:space="0" w:color="auto"/>
            </w:tcBorders>
          </w:tcPr>
          <w:p w14:paraId="16A2CAB4"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p>
        </w:tc>
        <w:tc>
          <w:tcPr>
            <w:tcW w:w="1408" w:type="dxa"/>
            <w:tcBorders>
              <w:top w:val="single" w:sz="4" w:space="0" w:color="auto"/>
              <w:bottom w:val="single" w:sz="4" w:space="0" w:color="auto"/>
            </w:tcBorders>
            <w:shd w:val="clear" w:color="auto" w:fill="auto"/>
            <w:vAlign w:val="bottom"/>
            <w:hideMark/>
          </w:tcPr>
          <w:p w14:paraId="7E470ABE"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ICU</w:t>
            </w:r>
            <w:r w:rsidR="00BF1D33" w:rsidRPr="00632F82">
              <w:rPr>
                <w:rFonts w:ascii="Calibri" w:eastAsia="Times New Roman" w:hAnsi="Calibri" w:cs="Times New Roman"/>
                <w:color w:val="000000"/>
                <w:sz w:val="20"/>
                <w:szCs w:val="20"/>
              </w:rPr>
              <w:t>/CCU</w:t>
            </w:r>
            <w:r w:rsidRPr="00632F82">
              <w:rPr>
                <w:rFonts w:ascii="Calibri" w:eastAsia="Times New Roman" w:hAnsi="Calibri" w:cs="Times New Roman"/>
                <w:color w:val="000000"/>
                <w:sz w:val="20"/>
                <w:szCs w:val="20"/>
              </w:rPr>
              <w:t>&gt;=3 (C1</w:t>
            </w:r>
            <w:r w:rsidR="00BF1D33" w:rsidRPr="00632F82">
              <w:rPr>
                <w:rFonts w:ascii="Calibri" w:eastAsia="Times New Roman" w:hAnsi="Calibri" w:cs="Times New Roman"/>
                <w:color w:val="000000"/>
                <w:sz w:val="20"/>
                <w:szCs w:val="20"/>
              </w:rPr>
              <w:t>)</w:t>
            </w:r>
            <w:r w:rsidRPr="00632F82">
              <w:rPr>
                <w:rFonts w:ascii="Calibri" w:eastAsia="Times New Roman" w:hAnsi="Calibri" w:cs="Times New Roman"/>
                <w:color w:val="000000"/>
                <w:sz w:val="20"/>
                <w:szCs w:val="20"/>
              </w:rPr>
              <w:t xml:space="preserve"> </w:t>
            </w:r>
          </w:p>
        </w:tc>
        <w:tc>
          <w:tcPr>
            <w:tcW w:w="1408" w:type="dxa"/>
            <w:tcBorders>
              <w:top w:val="single" w:sz="4" w:space="0" w:color="auto"/>
              <w:bottom w:val="single" w:sz="4" w:space="0" w:color="auto"/>
            </w:tcBorders>
            <w:shd w:val="clear" w:color="auto" w:fill="auto"/>
            <w:vAlign w:val="bottom"/>
            <w:hideMark/>
          </w:tcPr>
          <w:p w14:paraId="06741370"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ICU</w:t>
            </w:r>
            <w:r w:rsidR="00BF1D33" w:rsidRPr="00632F82">
              <w:rPr>
                <w:rFonts w:ascii="Calibri" w:eastAsia="Times New Roman" w:hAnsi="Calibri" w:cs="Times New Roman"/>
                <w:color w:val="000000"/>
                <w:sz w:val="20"/>
                <w:szCs w:val="20"/>
              </w:rPr>
              <w:t>/CCU</w:t>
            </w:r>
            <w:r w:rsidRPr="00632F82">
              <w:rPr>
                <w:rFonts w:ascii="Calibri" w:eastAsia="Times New Roman" w:hAnsi="Calibri" w:cs="Times New Roman"/>
                <w:color w:val="000000"/>
                <w:sz w:val="20"/>
                <w:szCs w:val="20"/>
              </w:rPr>
              <w:t>&lt;3 (C2</w:t>
            </w:r>
            <w:r w:rsidR="00BF1D33" w:rsidRPr="00632F82">
              <w:rPr>
                <w:rFonts w:ascii="Calibri" w:eastAsia="Times New Roman" w:hAnsi="Calibri" w:cs="Times New Roman"/>
                <w:color w:val="000000"/>
                <w:sz w:val="20"/>
                <w:szCs w:val="20"/>
              </w:rPr>
              <w:t>)</w:t>
            </w:r>
          </w:p>
        </w:tc>
        <w:tc>
          <w:tcPr>
            <w:tcW w:w="1408" w:type="dxa"/>
            <w:tcBorders>
              <w:top w:val="single" w:sz="4" w:space="0" w:color="auto"/>
              <w:bottom w:val="single" w:sz="4" w:space="0" w:color="auto"/>
            </w:tcBorders>
            <w:shd w:val="clear" w:color="auto" w:fill="auto"/>
            <w:vAlign w:val="bottom"/>
            <w:hideMark/>
          </w:tcPr>
          <w:p w14:paraId="2E1A5F45" w14:textId="77777777" w:rsidR="00E058AB" w:rsidRPr="00632F82" w:rsidRDefault="00E058AB"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Difference in Marginal Effects (C3</w:t>
            </w:r>
            <w:r w:rsidR="00BF1D33" w:rsidRPr="00632F82">
              <w:rPr>
                <w:rFonts w:ascii="Calibri" w:eastAsia="Times New Roman" w:hAnsi="Calibri" w:cs="Times New Roman"/>
                <w:color w:val="000000"/>
                <w:sz w:val="20"/>
                <w:szCs w:val="20"/>
              </w:rPr>
              <w:t>)</w:t>
            </w:r>
          </w:p>
        </w:tc>
      </w:tr>
      <w:tr w:rsidR="00023912" w:rsidRPr="00632F82" w14:paraId="7EF6C045" w14:textId="77777777" w:rsidTr="007422BC">
        <w:trPr>
          <w:trHeight w:hRule="exact" w:val="307"/>
        </w:trPr>
        <w:tc>
          <w:tcPr>
            <w:tcW w:w="3954" w:type="dxa"/>
            <w:tcBorders>
              <w:top w:val="single" w:sz="4" w:space="0" w:color="auto"/>
            </w:tcBorders>
            <w:shd w:val="clear" w:color="auto" w:fill="auto"/>
            <w:noWrap/>
            <w:vAlign w:val="bottom"/>
            <w:hideMark/>
          </w:tcPr>
          <w:p w14:paraId="6BCAE889"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MDC=04 Respiratory</w:t>
            </w:r>
          </w:p>
        </w:tc>
        <w:tc>
          <w:tcPr>
            <w:tcW w:w="1463" w:type="dxa"/>
            <w:tcBorders>
              <w:top w:val="single" w:sz="4" w:space="0" w:color="auto"/>
            </w:tcBorders>
            <w:shd w:val="clear" w:color="auto" w:fill="auto"/>
            <w:noWrap/>
            <w:vAlign w:val="bottom"/>
          </w:tcPr>
          <w:p w14:paraId="6247B0E0" w14:textId="27670C4D"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-0.005</w:t>
            </w:r>
          </w:p>
        </w:tc>
        <w:tc>
          <w:tcPr>
            <w:tcW w:w="215" w:type="dxa"/>
            <w:tcBorders>
              <w:top w:val="single" w:sz="4" w:space="0" w:color="auto"/>
            </w:tcBorders>
            <w:vAlign w:val="bottom"/>
          </w:tcPr>
          <w:p w14:paraId="73596ACC" w14:textId="77777777" w:rsidR="00023912" w:rsidRPr="00632F82" w:rsidRDefault="00023912">
            <w:pPr>
              <w:spacing w:after="0" w:line="240" w:lineRule="auto"/>
              <w:jc w:val="center"/>
              <w:rPr>
                <w:rFonts w:ascii="Calibri" w:hAnsi="Calibri"/>
                <w:color w:val="000000"/>
                <w:sz w:val="20"/>
                <w:szCs w:val="20"/>
              </w:rPr>
            </w:pPr>
          </w:p>
        </w:tc>
        <w:tc>
          <w:tcPr>
            <w:tcW w:w="1408" w:type="dxa"/>
            <w:tcBorders>
              <w:top w:val="single" w:sz="4" w:space="0" w:color="auto"/>
            </w:tcBorders>
            <w:shd w:val="clear" w:color="auto" w:fill="auto"/>
            <w:noWrap/>
            <w:vAlign w:val="bottom"/>
          </w:tcPr>
          <w:p w14:paraId="486303C1" w14:textId="374FA656"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-0.104</w:t>
            </w:r>
          </w:p>
        </w:tc>
        <w:tc>
          <w:tcPr>
            <w:tcW w:w="1408" w:type="dxa"/>
            <w:tcBorders>
              <w:top w:val="single" w:sz="4" w:space="0" w:color="auto"/>
            </w:tcBorders>
            <w:shd w:val="clear" w:color="auto" w:fill="auto"/>
            <w:noWrap/>
            <w:vAlign w:val="bottom"/>
          </w:tcPr>
          <w:p w14:paraId="1993CF78" w14:textId="05AD0C36"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0.11</w:t>
            </w:r>
          </w:p>
        </w:tc>
        <w:tc>
          <w:tcPr>
            <w:tcW w:w="1408" w:type="dxa"/>
            <w:tcBorders>
              <w:top w:val="single" w:sz="4" w:space="0" w:color="auto"/>
            </w:tcBorders>
            <w:shd w:val="clear" w:color="auto" w:fill="auto"/>
            <w:noWrap/>
            <w:vAlign w:val="bottom"/>
          </w:tcPr>
          <w:p w14:paraId="568AE597" w14:textId="5ABA145C" w:rsidR="00023912" w:rsidRPr="00632F82" w:rsidRDefault="00023912">
            <w:pPr>
              <w:jc w:val="center"/>
              <w:rPr>
                <w:rFonts w:ascii="Calibri" w:hAnsi="Calibri"/>
                <w:color w:val="000000"/>
                <w:sz w:val="20"/>
                <w:szCs w:val="20"/>
              </w:rPr>
            </w:pPr>
            <w:r w:rsidRPr="00632F82">
              <w:rPr>
                <w:rFonts w:ascii="Calibri" w:hAnsi="Calibri"/>
                <w:color w:val="000000"/>
                <w:sz w:val="20"/>
                <w:szCs w:val="20"/>
              </w:rPr>
              <w:t>-0.214</w:t>
            </w:r>
          </w:p>
        </w:tc>
        <w:tc>
          <w:tcPr>
            <w:tcW w:w="215" w:type="dxa"/>
            <w:tcBorders>
              <w:top w:val="single" w:sz="4" w:space="0" w:color="auto"/>
            </w:tcBorders>
            <w:vAlign w:val="bottom"/>
          </w:tcPr>
          <w:p w14:paraId="2996B822"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tcBorders>
              <w:top w:val="single" w:sz="4" w:space="0" w:color="auto"/>
            </w:tcBorders>
            <w:shd w:val="clear" w:color="auto" w:fill="auto"/>
            <w:noWrap/>
            <w:vAlign w:val="bottom"/>
          </w:tcPr>
          <w:p w14:paraId="1622C7DF" w14:textId="2FABF5B9"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-0.126</w:t>
            </w:r>
          </w:p>
        </w:tc>
        <w:tc>
          <w:tcPr>
            <w:tcW w:w="1408" w:type="dxa"/>
            <w:tcBorders>
              <w:top w:val="single" w:sz="4" w:space="0" w:color="auto"/>
            </w:tcBorders>
            <w:shd w:val="clear" w:color="auto" w:fill="auto"/>
            <w:noWrap/>
            <w:vAlign w:val="bottom"/>
          </w:tcPr>
          <w:p w14:paraId="4F5A6F7B" w14:textId="72FE8E0D"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0.116</w:t>
            </w:r>
          </w:p>
        </w:tc>
        <w:tc>
          <w:tcPr>
            <w:tcW w:w="1408" w:type="dxa"/>
            <w:tcBorders>
              <w:top w:val="single" w:sz="4" w:space="0" w:color="auto"/>
            </w:tcBorders>
            <w:shd w:val="clear" w:color="auto" w:fill="auto"/>
            <w:noWrap/>
            <w:vAlign w:val="bottom"/>
          </w:tcPr>
          <w:p w14:paraId="5B73A7BC" w14:textId="2A9C6C61" w:rsidR="00023912" w:rsidRPr="00632F82" w:rsidRDefault="00023912">
            <w:pPr>
              <w:jc w:val="center"/>
              <w:rPr>
                <w:rFonts w:ascii="Calibri" w:hAnsi="Calibri"/>
                <w:color w:val="000000"/>
                <w:sz w:val="20"/>
                <w:szCs w:val="20"/>
              </w:rPr>
            </w:pPr>
            <w:r w:rsidRPr="00632F82">
              <w:rPr>
                <w:rFonts w:ascii="Calibri" w:hAnsi="Calibri"/>
                <w:color w:val="000000"/>
                <w:sz w:val="20"/>
                <w:szCs w:val="20"/>
              </w:rPr>
              <w:t>-0.242</w:t>
            </w:r>
          </w:p>
        </w:tc>
      </w:tr>
      <w:tr w:rsidR="00023912" w:rsidRPr="00632F82" w14:paraId="47877E87" w14:textId="77777777" w:rsidTr="007422BC">
        <w:trPr>
          <w:trHeight w:hRule="exact" w:val="307"/>
        </w:trPr>
        <w:tc>
          <w:tcPr>
            <w:tcW w:w="3954" w:type="dxa"/>
            <w:shd w:val="clear" w:color="auto" w:fill="auto"/>
            <w:noWrap/>
            <w:vAlign w:val="bottom"/>
            <w:hideMark/>
          </w:tcPr>
          <w:p w14:paraId="4822D1FB" w14:textId="42B93110" w:rsidR="00023912" w:rsidRPr="00632F82" w:rsidRDefault="00023912" w:rsidP="00023912">
            <w:pPr>
              <w:spacing w:after="0" w:line="240" w:lineRule="auto"/>
              <w:rPr>
                <w:rFonts w:ascii="Calibri" w:hAnsi="Calibri"/>
                <w:color w:val="000000"/>
              </w:rPr>
            </w:pPr>
            <w:r w:rsidRPr="00632F82">
              <w:rPr>
                <w:bCs/>
                <w:sz w:val="20"/>
                <w:szCs w:val="20"/>
              </w:rPr>
              <w:t xml:space="preserve">N = </w:t>
            </w:r>
            <w:r w:rsidRPr="00632F82">
              <w:rPr>
                <w:rFonts w:ascii="Calibri" w:hAnsi="Calibri"/>
                <w:color w:val="000000"/>
                <w:sz w:val="20"/>
                <w:szCs w:val="20"/>
              </w:rPr>
              <w:t>1,418,740</w:t>
            </w:r>
          </w:p>
          <w:p w14:paraId="5B3B0343" w14:textId="401BF702" w:rsidR="00023912" w:rsidRPr="00632F82" w:rsidRDefault="00023912" w:rsidP="00023912">
            <w:pPr>
              <w:spacing w:after="0" w:line="240" w:lineRule="auto"/>
              <w:rPr>
                <w:rFonts w:ascii="Calibri" w:eastAsia="Times New Roman" w:hAnsi="Calibri" w:cs="Times New Roman"/>
                <w:color w:val="000000"/>
                <w:sz w:val="20"/>
                <w:szCs w:val="20"/>
              </w:rPr>
            </w:pPr>
          </w:p>
        </w:tc>
        <w:tc>
          <w:tcPr>
            <w:tcW w:w="1463" w:type="dxa"/>
            <w:shd w:val="clear" w:color="auto" w:fill="auto"/>
            <w:noWrap/>
            <w:vAlign w:val="bottom"/>
          </w:tcPr>
          <w:p w14:paraId="01F90646" w14:textId="2B661C35"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0.864</w:t>
            </w:r>
          </w:p>
        </w:tc>
        <w:tc>
          <w:tcPr>
            <w:tcW w:w="215" w:type="dxa"/>
            <w:vAlign w:val="bottom"/>
          </w:tcPr>
          <w:p w14:paraId="4972523E"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41C9F1D0" w14:textId="60C08F17"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0.001</w:t>
            </w:r>
          </w:p>
        </w:tc>
        <w:tc>
          <w:tcPr>
            <w:tcW w:w="1408" w:type="dxa"/>
            <w:shd w:val="clear" w:color="auto" w:fill="auto"/>
            <w:noWrap/>
            <w:vAlign w:val="bottom"/>
          </w:tcPr>
          <w:p w14:paraId="7B4E8882" w14:textId="2D4D4FDD"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0.003</w:t>
            </w:r>
          </w:p>
        </w:tc>
        <w:tc>
          <w:tcPr>
            <w:tcW w:w="1408" w:type="dxa"/>
            <w:shd w:val="clear" w:color="auto" w:fill="auto"/>
            <w:noWrap/>
            <w:vAlign w:val="bottom"/>
          </w:tcPr>
          <w:p w14:paraId="0ED7DC2A" w14:textId="09FD989F"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215" w:type="dxa"/>
            <w:vAlign w:val="bottom"/>
          </w:tcPr>
          <w:p w14:paraId="0A25F155"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6CA7F496" w14:textId="60D4BC3D"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1408" w:type="dxa"/>
            <w:shd w:val="clear" w:color="auto" w:fill="auto"/>
            <w:noWrap/>
            <w:vAlign w:val="bottom"/>
          </w:tcPr>
          <w:p w14:paraId="025F0CDE" w14:textId="12913125"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0.018</w:t>
            </w:r>
          </w:p>
        </w:tc>
        <w:tc>
          <w:tcPr>
            <w:tcW w:w="1408" w:type="dxa"/>
            <w:shd w:val="clear" w:color="auto" w:fill="auto"/>
            <w:noWrap/>
            <w:vAlign w:val="bottom"/>
          </w:tcPr>
          <w:p w14:paraId="137D4332" w14:textId="671717AE"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r>
      <w:tr w:rsidR="00023912" w:rsidRPr="00632F82" w14:paraId="4B845A43" w14:textId="77777777" w:rsidTr="007422BC">
        <w:trPr>
          <w:trHeight w:hRule="exact" w:val="307"/>
        </w:trPr>
        <w:tc>
          <w:tcPr>
            <w:tcW w:w="3954" w:type="dxa"/>
            <w:shd w:val="clear" w:color="auto" w:fill="auto"/>
            <w:noWrap/>
            <w:vAlign w:val="bottom"/>
            <w:hideMark/>
          </w:tcPr>
          <w:p w14:paraId="340DD5B7"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63" w:type="dxa"/>
            <w:shd w:val="clear" w:color="auto" w:fill="auto"/>
            <w:noWrap/>
            <w:vAlign w:val="bottom"/>
          </w:tcPr>
          <w:p w14:paraId="11CC8AB3" w14:textId="024C98A7" w:rsidR="00023912" w:rsidRPr="00632F82" w:rsidRDefault="00023912">
            <w:pPr>
              <w:jc w:val="center"/>
              <w:rPr>
                <w:rFonts w:ascii="Calibri" w:hAnsi="Calibri"/>
                <w:color w:val="000000"/>
                <w:sz w:val="20"/>
                <w:szCs w:val="20"/>
              </w:rPr>
            </w:pPr>
          </w:p>
        </w:tc>
        <w:tc>
          <w:tcPr>
            <w:tcW w:w="215" w:type="dxa"/>
            <w:vAlign w:val="bottom"/>
          </w:tcPr>
          <w:p w14:paraId="6EF1B7DC"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4A277406" w14:textId="4F88F56F"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669AE2D1" w14:textId="543C87F0"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5EFC678E" w14:textId="3137D25D" w:rsidR="00023912" w:rsidRPr="00632F82" w:rsidRDefault="00023912">
            <w:pPr>
              <w:jc w:val="center"/>
              <w:rPr>
                <w:rFonts w:ascii="Calibri" w:hAnsi="Calibri"/>
                <w:color w:val="000000"/>
                <w:sz w:val="20"/>
                <w:szCs w:val="20"/>
              </w:rPr>
            </w:pPr>
          </w:p>
        </w:tc>
        <w:tc>
          <w:tcPr>
            <w:tcW w:w="215" w:type="dxa"/>
            <w:vAlign w:val="bottom"/>
          </w:tcPr>
          <w:p w14:paraId="141DA78D"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50B19474" w14:textId="61DB0197"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479903E0" w14:textId="29D8EF86"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54368B21" w14:textId="0269B037" w:rsidR="00023912" w:rsidRPr="00632F82" w:rsidRDefault="00023912">
            <w:pPr>
              <w:jc w:val="center"/>
              <w:rPr>
                <w:rFonts w:ascii="Calibri" w:hAnsi="Calibri"/>
                <w:color w:val="000000"/>
                <w:sz w:val="20"/>
                <w:szCs w:val="20"/>
              </w:rPr>
            </w:pPr>
          </w:p>
        </w:tc>
      </w:tr>
      <w:tr w:rsidR="00023912" w:rsidRPr="00632F82" w14:paraId="7E23AA31" w14:textId="77777777" w:rsidTr="007422BC">
        <w:trPr>
          <w:trHeight w:hRule="exact" w:val="307"/>
        </w:trPr>
        <w:tc>
          <w:tcPr>
            <w:tcW w:w="3954" w:type="dxa"/>
            <w:shd w:val="clear" w:color="auto" w:fill="auto"/>
            <w:noWrap/>
            <w:vAlign w:val="bottom"/>
            <w:hideMark/>
          </w:tcPr>
          <w:p w14:paraId="2F879E0C"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MDC=05 Circulatory</w:t>
            </w:r>
          </w:p>
        </w:tc>
        <w:tc>
          <w:tcPr>
            <w:tcW w:w="1463" w:type="dxa"/>
            <w:shd w:val="clear" w:color="auto" w:fill="auto"/>
            <w:noWrap/>
            <w:vAlign w:val="bottom"/>
          </w:tcPr>
          <w:p w14:paraId="00C706CF" w14:textId="18E5A2EC"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-0.006</w:t>
            </w:r>
          </w:p>
        </w:tc>
        <w:tc>
          <w:tcPr>
            <w:tcW w:w="215" w:type="dxa"/>
            <w:vAlign w:val="bottom"/>
          </w:tcPr>
          <w:p w14:paraId="6E5CDB82"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7B5DFFC9" w14:textId="3CA7F002"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-0.068</w:t>
            </w:r>
          </w:p>
        </w:tc>
        <w:tc>
          <w:tcPr>
            <w:tcW w:w="1408" w:type="dxa"/>
            <w:shd w:val="clear" w:color="auto" w:fill="auto"/>
            <w:noWrap/>
            <w:vAlign w:val="bottom"/>
          </w:tcPr>
          <w:p w14:paraId="602ACD9C" w14:textId="11AF4004"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0.068</w:t>
            </w:r>
          </w:p>
        </w:tc>
        <w:tc>
          <w:tcPr>
            <w:tcW w:w="1408" w:type="dxa"/>
            <w:shd w:val="clear" w:color="auto" w:fill="auto"/>
            <w:noWrap/>
            <w:vAlign w:val="bottom"/>
          </w:tcPr>
          <w:p w14:paraId="651EC2CB" w14:textId="0B379147"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-0.135</w:t>
            </w:r>
          </w:p>
        </w:tc>
        <w:tc>
          <w:tcPr>
            <w:tcW w:w="215" w:type="dxa"/>
            <w:vAlign w:val="bottom"/>
          </w:tcPr>
          <w:p w14:paraId="6823DFE1"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4350976D" w14:textId="6DCD10A1"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-0.068</w:t>
            </w:r>
          </w:p>
        </w:tc>
        <w:tc>
          <w:tcPr>
            <w:tcW w:w="1408" w:type="dxa"/>
            <w:shd w:val="clear" w:color="auto" w:fill="auto"/>
            <w:noWrap/>
            <w:vAlign w:val="bottom"/>
          </w:tcPr>
          <w:p w14:paraId="05CDFE87" w14:textId="6F03E766"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0.036</w:t>
            </w:r>
          </w:p>
        </w:tc>
        <w:tc>
          <w:tcPr>
            <w:tcW w:w="1408" w:type="dxa"/>
            <w:shd w:val="clear" w:color="auto" w:fill="auto"/>
            <w:noWrap/>
            <w:vAlign w:val="bottom"/>
          </w:tcPr>
          <w:p w14:paraId="4AAA30EC" w14:textId="03D11817"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-0.104</w:t>
            </w:r>
          </w:p>
        </w:tc>
      </w:tr>
      <w:tr w:rsidR="00023912" w:rsidRPr="00632F82" w14:paraId="570742FA" w14:textId="77777777" w:rsidTr="007422BC">
        <w:trPr>
          <w:trHeight w:hRule="exact" w:val="307"/>
        </w:trPr>
        <w:tc>
          <w:tcPr>
            <w:tcW w:w="3954" w:type="dxa"/>
            <w:shd w:val="clear" w:color="auto" w:fill="auto"/>
            <w:noWrap/>
            <w:vAlign w:val="bottom"/>
            <w:hideMark/>
          </w:tcPr>
          <w:p w14:paraId="36908D27" w14:textId="7FB460A6" w:rsidR="00023912" w:rsidRPr="00632F82" w:rsidRDefault="00023912" w:rsidP="00023912">
            <w:pPr>
              <w:spacing w:after="0" w:line="240" w:lineRule="auto"/>
              <w:rPr>
                <w:rFonts w:ascii="Calibri" w:hAnsi="Calibri"/>
                <w:color w:val="000000"/>
              </w:rPr>
            </w:pPr>
            <w:r w:rsidRPr="00632F82">
              <w:rPr>
                <w:bCs/>
                <w:sz w:val="20"/>
                <w:szCs w:val="20"/>
              </w:rPr>
              <w:t xml:space="preserve">N = </w:t>
            </w:r>
            <w:r w:rsidRPr="00632F82">
              <w:rPr>
                <w:rFonts w:ascii="Calibri" w:hAnsi="Calibri"/>
                <w:color w:val="000000"/>
                <w:sz w:val="20"/>
                <w:szCs w:val="20"/>
              </w:rPr>
              <w:t>2,081,108</w:t>
            </w:r>
          </w:p>
          <w:p w14:paraId="3D974E1B" w14:textId="75E7CDFB" w:rsidR="00023912" w:rsidRPr="00632F82" w:rsidRDefault="00023912" w:rsidP="00023912">
            <w:pPr>
              <w:spacing w:after="0" w:line="240" w:lineRule="auto"/>
              <w:rPr>
                <w:rFonts w:ascii="Calibri" w:hAnsi="Calibri"/>
                <w:color w:val="000000"/>
              </w:rPr>
            </w:pPr>
          </w:p>
          <w:p w14:paraId="39451F8C" w14:textId="0D103807" w:rsidR="00023912" w:rsidRPr="00632F82" w:rsidRDefault="00023912" w:rsidP="00023912">
            <w:pPr>
              <w:spacing w:after="0" w:line="240" w:lineRule="auto"/>
              <w:rPr>
                <w:rFonts w:ascii="Calibri" w:eastAsia="Times New Roman" w:hAnsi="Calibri" w:cs="Times New Roman"/>
                <w:color w:val="000000"/>
                <w:sz w:val="20"/>
                <w:szCs w:val="20"/>
              </w:rPr>
            </w:pPr>
          </w:p>
        </w:tc>
        <w:tc>
          <w:tcPr>
            <w:tcW w:w="1463" w:type="dxa"/>
            <w:shd w:val="clear" w:color="auto" w:fill="auto"/>
            <w:noWrap/>
            <w:vAlign w:val="bottom"/>
          </w:tcPr>
          <w:p w14:paraId="2BD8208B" w14:textId="673D5838"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0.689</w:t>
            </w:r>
          </w:p>
        </w:tc>
        <w:tc>
          <w:tcPr>
            <w:tcW w:w="215" w:type="dxa"/>
            <w:vAlign w:val="bottom"/>
          </w:tcPr>
          <w:p w14:paraId="1D653071"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4E001E84" w14:textId="1B74AB7D"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0.006</w:t>
            </w:r>
          </w:p>
        </w:tc>
        <w:tc>
          <w:tcPr>
            <w:tcW w:w="1408" w:type="dxa"/>
            <w:shd w:val="clear" w:color="auto" w:fill="auto"/>
            <w:noWrap/>
            <w:vAlign w:val="bottom"/>
          </w:tcPr>
          <w:p w14:paraId="759F8205" w14:textId="6792FA71"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0.003</w:t>
            </w:r>
          </w:p>
        </w:tc>
        <w:tc>
          <w:tcPr>
            <w:tcW w:w="1408" w:type="dxa"/>
            <w:shd w:val="clear" w:color="auto" w:fill="auto"/>
            <w:noWrap/>
            <w:vAlign w:val="bottom"/>
          </w:tcPr>
          <w:p w14:paraId="034BF261" w14:textId="0C9EB99D"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215" w:type="dxa"/>
            <w:vAlign w:val="bottom"/>
          </w:tcPr>
          <w:p w14:paraId="139E30C2"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36C13AD3" w14:textId="4043797A"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1408" w:type="dxa"/>
            <w:shd w:val="clear" w:color="auto" w:fill="auto"/>
            <w:noWrap/>
            <w:vAlign w:val="bottom"/>
          </w:tcPr>
          <w:p w14:paraId="2DFA91E9" w14:textId="206CD531"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0.246</w:t>
            </w:r>
          </w:p>
        </w:tc>
        <w:tc>
          <w:tcPr>
            <w:tcW w:w="1408" w:type="dxa"/>
            <w:shd w:val="clear" w:color="auto" w:fill="auto"/>
            <w:noWrap/>
            <w:vAlign w:val="bottom"/>
          </w:tcPr>
          <w:p w14:paraId="00BC68A5" w14:textId="24AFF1BA"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0.002</w:t>
            </w:r>
          </w:p>
        </w:tc>
      </w:tr>
      <w:tr w:rsidR="00023912" w:rsidRPr="00632F82" w14:paraId="0690BFFC" w14:textId="77777777" w:rsidTr="007422BC">
        <w:trPr>
          <w:trHeight w:hRule="exact" w:val="307"/>
        </w:trPr>
        <w:tc>
          <w:tcPr>
            <w:tcW w:w="3954" w:type="dxa"/>
            <w:shd w:val="clear" w:color="auto" w:fill="auto"/>
            <w:noWrap/>
            <w:vAlign w:val="bottom"/>
            <w:hideMark/>
          </w:tcPr>
          <w:p w14:paraId="4CA16423"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63" w:type="dxa"/>
            <w:shd w:val="clear" w:color="auto" w:fill="auto"/>
            <w:noWrap/>
            <w:vAlign w:val="bottom"/>
          </w:tcPr>
          <w:p w14:paraId="668B668F" w14:textId="458DFAE6" w:rsidR="00023912" w:rsidRPr="00632F82" w:rsidRDefault="00023912">
            <w:pPr>
              <w:jc w:val="center"/>
              <w:rPr>
                <w:rFonts w:ascii="Calibri" w:hAnsi="Calibri"/>
                <w:color w:val="000000"/>
                <w:sz w:val="20"/>
                <w:szCs w:val="20"/>
              </w:rPr>
            </w:pPr>
          </w:p>
        </w:tc>
        <w:tc>
          <w:tcPr>
            <w:tcW w:w="215" w:type="dxa"/>
            <w:vAlign w:val="bottom"/>
          </w:tcPr>
          <w:p w14:paraId="0CEA5F9B"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1662871E" w14:textId="72DF1D79"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5CE63A27" w14:textId="747A9594"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0751C31D" w14:textId="1DC93AE4" w:rsidR="00023912" w:rsidRPr="00632F82" w:rsidRDefault="00023912">
            <w:pPr>
              <w:jc w:val="center"/>
              <w:rPr>
                <w:rFonts w:ascii="Calibri" w:hAnsi="Calibri"/>
                <w:color w:val="000000"/>
                <w:sz w:val="20"/>
                <w:szCs w:val="20"/>
              </w:rPr>
            </w:pPr>
          </w:p>
        </w:tc>
        <w:tc>
          <w:tcPr>
            <w:tcW w:w="215" w:type="dxa"/>
            <w:vAlign w:val="bottom"/>
          </w:tcPr>
          <w:p w14:paraId="66B6D3F3"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0EEDF5C2" w14:textId="2B99DADD"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59F9DD34" w14:textId="486E228F"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61A809E7" w14:textId="4430A35D" w:rsidR="00023912" w:rsidRPr="00632F82" w:rsidRDefault="00023912">
            <w:pPr>
              <w:jc w:val="center"/>
              <w:rPr>
                <w:rFonts w:ascii="Calibri" w:hAnsi="Calibri"/>
                <w:color w:val="000000"/>
                <w:sz w:val="20"/>
                <w:szCs w:val="20"/>
              </w:rPr>
            </w:pPr>
          </w:p>
        </w:tc>
      </w:tr>
      <w:tr w:rsidR="00023912" w:rsidRPr="00632F82" w14:paraId="2B34D424" w14:textId="77777777" w:rsidTr="007422BC">
        <w:trPr>
          <w:trHeight w:hRule="exact" w:val="307"/>
        </w:trPr>
        <w:tc>
          <w:tcPr>
            <w:tcW w:w="3954" w:type="dxa"/>
            <w:shd w:val="clear" w:color="auto" w:fill="auto"/>
            <w:noWrap/>
            <w:vAlign w:val="bottom"/>
            <w:hideMark/>
          </w:tcPr>
          <w:p w14:paraId="7A21CA96"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MDC=06 Digestive</w:t>
            </w:r>
          </w:p>
        </w:tc>
        <w:tc>
          <w:tcPr>
            <w:tcW w:w="1463" w:type="dxa"/>
            <w:shd w:val="clear" w:color="auto" w:fill="auto"/>
            <w:noWrap/>
            <w:vAlign w:val="bottom"/>
          </w:tcPr>
          <w:p w14:paraId="7D65C47D" w14:textId="52E77A76"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-0.011</w:t>
            </w:r>
          </w:p>
        </w:tc>
        <w:tc>
          <w:tcPr>
            <w:tcW w:w="215" w:type="dxa"/>
            <w:vAlign w:val="bottom"/>
          </w:tcPr>
          <w:p w14:paraId="442FF41C"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7EB4A405" w14:textId="1551EE0A"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-0.004</w:t>
            </w:r>
          </w:p>
        </w:tc>
        <w:tc>
          <w:tcPr>
            <w:tcW w:w="1408" w:type="dxa"/>
            <w:shd w:val="clear" w:color="auto" w:fill="auto"/>
            <w:noWrap/>
            <w:vAlign w:val="bottom"/>
          </w:tcPr>
          <w:p w14:paraId="73054973" w14:textId="0325C210"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-0.017</w:t>
            </w:r>
          </w:p>
        </w:tc>
        <w:tc>
          <w:tcPr>
            <w:tcW w:w="1408" w:type="dxa"/>
            <w:shd w:val="clear" w:color="auto" w:fill="auto"/>
            <w:noWrap/>
            <w:vAlign w:val="bottom"/>
          </w:tcPr>
          <w:p w14:paraId="2CDFC7E0" w14:textId="5A929DC7"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0.013</w:t>
            </w:r>
          </w:p>
        </w:tc>
        <w:tc>
          <w:tcPr>
            <w:tcW w:w="215" w:type="dxa"/>
            <w:vAlign w:val="bottom"/>
          </w:tcPr>
          <w:p w14:paraId="2003A309"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46924EC2" w14:textId="45BBBD74"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0.020</w:t>
            </w:r>
          </w:p>
        </w:tc>
        <w:tc>
          <w:tcPr>
            <w:tcW w:w="1408" w:type="dxa"/>
            <w:shd w:val="clear" w:color="auto" w:fill="auto"/>
            <w:noWrap/>
            <w:vAlign w:val="bottom"/>
          </w:tcPr>
          <w:p w14:paraId="75E4550B" w14:textId="4E5FD3AC"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-0.149</w:t>
            </w:r>
          </w:p>
        </w:tc>
        <w:tc>
          <w:tcPr>
            <w:tcW w:w="1408" w:type="dxa"/>
            <w:shd w:val="clear" w:color="auto" w:fill="auto"/>
            <w:noWrap/>
            <w:vAlign w:val="bottom"/>
          </w:tcPr>
          <w:p w14:paraId="539F8EC4" w14:textId="4D4840BB"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0.169</w:t>
            </w:r>
          </w:p>
        </w:tc>
      </w:tr>
      <w:tr w:rsidR="00023912" w:rsidRPr="00632F82" w14:paraId="5A221A8A" w14:textId="77777777" w:rsidTr="007422BC">
        <w:trPr>
          <w:trHeight w:hRule="exact" w:val="307"/>
        </w:trPr>
        <w:tc>
          <w:tcPr>
            <w:tcW w:w="3954" w:type="dxa"/>
            <w:shd w:val="clear" w:color="auto" w:fill="auto"/>
            <w:noWrap/>
            <w:vAlign w:val="bottom"/>
            <w:hideMark/>
          </w:tcPr>
          <w:p w14:paraId="0AE2C48F" w14:textId="5B7CE660" w:rsidR="00023912" w:rsidRPr="00632F82" w:rsidRDefault="00023912" w:rsidP="00023912">
            <w:pPr>
              <w:spacing w:after="0" w:line="240" w:lineRule="auto"/>
              <w:rPr>
                <w:rFonts w:ascii="Calibri" w:hAnsi="Calibri"/>
                <w:color w:val="000000"/>
              </w:rPr>
            </w:pPr>
            <w:r w:rsidRPr="00632F82">
              <w:rPr>
                <w:bCs/>
                <w:sz w:val="20"/>
                <w:szCs w:val="20"/>
              </w:rPr>
              <w:t xml:space="preserve">N = </w:t>
            </w:r>
            <w:r w:rsidRPr="00632F82">
              <w:rPr>
                <w:rFonts w:ascii="Calibri" w:hAnsi="Calibri"/>
                <w:color w:val="000000"/>
                <w:sz w:val="20"/>
                <w:szCs w:val="20"/>
              </w:rPr>
              <w:t>941,361</w:t>
            </w:r>
          </w:p>
          <w:p w14:paraId="24BB21E0" w14:textId="5BDEA59A" w:rsidR="00023912" w:rsidRPr="00632F82" w:rsidRDefault="00023912" w:rsidP="00023912">
            <w:pPr>
              <w:spacing w:after="0" w:line="240" w:lineRule="auto"/>
              <w:rPr>
                <w:rFonts w:ascii="Calibri" w:eastAsia="Times New Roman" w:hAnsi="Calibri" w:cs="Times New Roman"/>
                <w:color w:val="000000"/>
                <w:sz w:val="20"/>
                <w:szCs w:val="20"/>
              </w:rPr>
            </w:pPr>
          </w:p>
        </w:tc>
        <w:tc>
          <w:tcPr>
            <w:tcW w:w="1463" w:type="dxa"/>
            <w:shd w:val="clear" w:color="auto" w:fill="auto"/>
            <w:noWrap/>
            <w:vAlign w:val="bottom"/>
          </w:tcPr>
          <w:p w14:paraId="3A0F5C14" w14:textId="01DA3096"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0.464</w:t>
            </w:r>
          </w:p>
        </w:tc>
        <w:tc>
          <w:tcPr>
            <w:tcW w:w="215" w:type="dxa"/>
            <w:vAlign w:val="bottom"/>
          </w:tcPr>
          <w:p w14:paraId="7A4C2C9A"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5757F8C5" w14:textId="0858D0EE"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0.889</w:t>
            </w:r>
          </w:p>
        </w:tc>
        <w:tc>
          <w:tcPr>
            <w:tcW w:w="1408" w:type="dxa"/>
            <w:shd w:val="clear" w:color="auto" w:fill="auto"/>
            <w:noWrap/>
            <w:vAlign w:val="bottom"/>
          </w:tcPr>
          <w:p w14:paraId="64EF7BE6" w14:textId="770D16AE"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0.326</w:t>
            </w:r>
          </w:p>
        </w:tc>
        <w:tc>
          <w:tcPr>
            <w:tcW w:w="1408" w:type="dxa"/>
            <w:shd w:val="clear" w:color="auto" w:fill="auto"/>
            <w:noWrap/>
            <w:vAlign w:val="bottom"/>
          </w:tcPr>
          <w:p w14:paraId="52711AB1" w14:textId="4D85F0A4"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0.634</w:t>
            </w:r>
          </w:p>
        </w:tc>
        <w:tc>
          <w:tcPr>
            <w:tcW w:w="215" w:type="dxa"/>
            <w:vAlign w:val="bottom"/>
          </w:tcPr>
          <w:p w14:paraId="5819E6F8"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74BE9CCB" w14:textId="589B6841"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0.332</w:t>
            </w:r>
          </w:p>
        </w:tc>
        <w:tc>
          <w:tcPr>
            <w:tcW w:w="1408" w:type="dxa"/>
            <w:shd w:val="clear" w:color="auto" w:fill="auto"/>
            <w:noWrap/>
            <w:vAlign w:val="bottom"/>
          </w:tcPr>
          <w:p w14:paraId="4F921CBE" w14:textId="5CFB6BD0"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1408" w:type="dxa"/>
            <w:shd w:val="clear" w:color="auto" w:fill="auto"/>
            <w:noWrap/>
            <w:vAlign w:val="bottom"/>
          </w:tcPr>
          <w:p w14:paraId="33658EC0" w14:textId="3464017A"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r>
      <w:tr w:rsidR="00023912" w:rsidRPr="00632F82" w14:paraId="5BC2EBF3" w14:textId="77777777" w:rsidTr="007422BC">
        <w:trPr>
          <w:trHeight w:hRule="exact" w:val="307"/>
        </w:trPr>
        <w:tc>
          <w:tcPr>
            <w:tcW w:w="3954" w:type="dxa"/>
            <w:shd w:val="clear" w:color="auto" w:fill="auto"/>
            <w:noWrap/>
            <w:vAlign w:val="bottom"/>
            <w:hideMark/>
          </w:tcPr>
          <w:p w14:paraId="69610236"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63" w:type="dxa"/>
            <w:shd w:val="clear" w:color="auto" w:fill="auto"/>
            <w:noWrap/>
            <w:vAlign w:val="bottom"/>
          </w:tcPr>
          <w:p w14:paraId="499EC8E7" w14:textId="4BE4F480" w:rsidR="00023912" w:rsidRPr="00632F82" w:rsidRDefault="00023912">
            <w:pPr>
              <w:jc w:val="center"/>
              <w:rPr>
                <w:rFonts w:ascii="Calibri" w:hAnsi="Calibri"/>
                <w:color w:val="000000"/>
                <w:sz w:val="20"/>
                <w:szCs w:val="20"/>
              </w:rPr>
            </w:pPr>
          </w:p>
        </w:tc>
        <w:tc>
          <w:tcPr>
            <w:tcW w:w="215" w:type="dxa"/>
            <w:vAlign w:val="bottom"/>
          </w:tcPr>
          <w:p w14:paraId="6B8E2659"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47621BC5" w14:textId="2984AAC4"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19D01CBA" w14:textId="6197F9FE"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5FEABBF9" w14:textId="1E5E687B" w:rsidR="00023912" w:rsidRPr="00632F82" w:rsidRDefault="00023912">
            <w:pPr>
              <w:jc w:val="center"/>
              <w:rPr>
                <w:rFonts w:ascii="Calibri" w:hAnsi="Calibri"/>
                <w:color w:val="000000"/>
                <w:sz w:val="20"/>
                <w:szCs w:val="20"/>
              </w:rPr>
            </w:pPr>
          </w:p>
        </w:tc>
        <w:tc>
          <w:tcPr>
            <w:tcW w:w="215" w:type="dxa"/>
            <w:vAlign w:val="bottom"/>
          </w:tcPr>
          <w:p w14:paraId="4B3A2655"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10DD73C8" w14:textId="18F7F157"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1AAF7E86" w14:textId="7AF2662D"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59959D5D" w14:textId="4046C8CE" w:rsidR="00023912" w:rsidRPr="00632F82" w:rsidRDefault="00023912">
            <w:pPr>
              <w:jc w:val="center"/>
              <w:rPr>
                <w:rFonts w:ascii="Calibri" w:hAnsi="Calibri"/>
                <w:color w:val="000000"/>
                <w:sz w:val="20"/>
                <w:szCs w:val="20"/>
              </w:rPr>
            </w:pPr>
          </w:p>
        </w:tc>
      </w:tr>
      <w:tr w:rsidR="00023912" w:rsidRPr="00632F82" w14:paraId="5AE501B6" w14:textId="77777777" w:rsidTr="007422BC">
        <w:trPr>
          <w:trHeight w:hRule="exact" w:val="307"/>
        </w:trPr>
        <w:tc>
          <w:tcPr>
            <w:tcW w:w="3954" w:type="dxa"/>
            <w:shd w:val="clear" w:color="auto" w:fill="auto"/>
            <w:noWrap/>
            <w:vAlign w:val="bottom"/>
            <w:hideMark/>
          </w:tcPr>
          <w:p w14:paraId="5FE2AA15" w14:textId="414F276D" w:rsidR="00023912" w:rsidRPr="00632F82" w:rsidRDefault="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MDC=08 Musculoskeletal &amp; Connective</w:t>
            </w:r>
          </w:p>
        </w:tc>
        <w:tc>
          <w:tcPr>
            <w:tcW w:w="1463" w:type="dxa"/>
            <w:shd w:val="clear" w:color="auto" w:fill="auto"/>
            <w:noWrap/>
            <w:vAlign w:val="bottom"/>
          </w:tcPr>
          <w:p w14:paraId="15A3DB8C" w14:textId="14A867ED"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0.007</w:t>
            </w:r>
          </w:p>
        </w:tc>
        <w:tc>
          <w:tcPr>
            <w:tcW w:w="215" w:type="dxa"/>
            <w:vAlign w:val="bottom"/>
          </w:tcPr>
          <w:p w14:paraId="4A2A3D43"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517CFE0B" w14:textId="1BA7B515"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-0.042</w:t>
            </w:r>
          </w:p>
        </w:tc>
        <w:tc>
          <w:tcPr>
            <w:tcW w:w="1408" w:type="dxa"/>
            <w:shd w:val="clear" w:color="auto" w:fill="auto"/>
            <w:noWrap/>
            <w:vAlign w:val="bottom"/>
          </w:tcPr>
          <w:p w14:paraId="432AC982" w14:textId="0BDAB322"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0.025</w:t>
            </w:r>
          </w:p>
        </w:tc>
        <w:tc>
          <w:tcPr>
            <w:tcW w:w="1408" w:type="dxa"/>
            <w:shd w:val="clear" w:color="auto" w:fill="auto"/>
            <w:noWrap/>
            <w:vAlign w:val="bottom"/>
          </w:tcPr>
          <w:p w14:paraId="5B814E13" w14:textId="6016E449"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-0.067</w:t>
            </w:r>
          </w:p>
        </w:tc>
        <w:tc>
          <w:tcPr>
            <w:tcW w:w="215" w:type="dxa"/>
            <w:vAlign w:val="bottom"/>
          </w:tcPr>
          <w:p w14:paraId="0A9D248B"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498FA2B7" w14:textId="6940A28D"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-0.082</w:t>
            </w:r>
          </w:p>
        </w:tc>
        <w:tc>
          <w:tcPr>
            <w:tcW w:w="1408" w:type="dxa"/>
            <w:shd w:val="clear" w:color="auto" w:fill="auto"/>
            <w:noWrap/>
            <w:vAlign w:val="bottom"/>
          </w:tcPr>
          <w:p w14:paraId="2662257E" w14:textId="6FA8F9D9"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0.041</w:t>
            </w:r>
          </w:p>
        </w:tc>
        <w:tc>
          <w:tcPr>
            <w:tcW w:w="1408" w:type="dxa"/>
            <w:shd w:val="clear" w:color="auto" w:fill="auto"/>
            <w:noWrap/>
            <w:vAlign w:val="bottom"/>
          </w:tcPr>
          <w:p w14:paraId="1E45128A" w14:textId="4085F8FC"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-0.123</w:t>
            </w:r>
          </w:p>
        </w:tc>
      </w:tr>
      <w:tr w:rsidR="00023912" w:rsidRPr="00632F82" w14:paraId="17846C67" w14:textId="77777777" w:rsidTr="007422BC">
        <w:trPr>
          <w:trHeight w:hRule="exact" w:val="307"/>
        </w:trPr>
        <w:tc>
          <w:tcPr>
            <w:tcW w:w="3954" w:type="dxa"/>
            <w:shd w:val="clear" w:color="auto" w:fill="auto"/>
            <w:noWrap/>
            <w:vAlign w:val="bottom"/>
            <w:hideMark/>
          </w:tcPr>
          <w:p w14:paraId="3E6E27AB" w14:textId="492A3A04" w:rsidR="00023912" w:rsidRPr="00632F82" w:rsidRDefault="00F7292C" w:rsidP="00023912">
            <w:pPr>
              <w:spacing w:after="0" w:line="240" w:lineRule="auto"/>
              <w:rPr>
                <w:rFonts w:ascii="Calibri" w:hAnsi="Calibri"/>
                <w:color w:val="000000"/>
              </w:rPr>
            </w:pPr>
            <w:r w:rsidRPr="00632F82">
              <w:rPr>
                <w:rFonts w:ascii="Calibri" w:eastAsia="Times New Roman" w:hAnsi="Calibri" w:cs="Times New Roman"/>
                <w:color w:val="000000"/>
                <w:sz w:val="20"/>
                <w:szCs w:val="20"/>
              </w:rPr>
              <w:t>Tissue</w:t>
            </w:r>
            <w:r w:rsidRPr="00632F82">
              <w:rPr>
                <w:bCs/>
                <w:sz w:val="20"/>
                <w:szCs w:val="20"/>
              </w:rPr>
              <w:t xml:space="preserve">  </w:t>
            </w:r>
            <w:r w:rsidR="00023912" w:rsidRPr="00632F82">
              <w:rPr>
                <w:bCs/>
                <w:sz w:val="20"/>
                <w:szCs w:val="20"/>
              </w:rPr>
              <w:t xml:space="preserve">N = </w:t>
            </w:r>
            <w:r w:rsidR="00023912" w:rsidRPr="00632F82">
              <w:rPr>
                <w:rFonts w:ascii="Calibri" w:hAnsi="Calibri"/>
                <w:color w:val="000000"/>
                <w:sz w:val="20"/>
                <w:szCs w:val="20"/>
              </w:rPr>
              <w:t>1,249,903</w:t>
            </w:r>
          </w:p>
          <w:p w14:paraId="1E7F8B32" w14:textId="01476F1D" w:rsidR="00023912" w:rsidRPr="00632F82" w:rsidRDefault="00023912" w:rsidP="00023912">
            <w:pPr>
              <w:spacing w:after="0" w:line="240" w:lineRule="auto"/>
              <w:rPr>
                <w:rFonts w:ascii="Calibri" w:eastAsia="Times New Roman" w:hAnsi="Calibri" w:cs="Times New Roman"/>
                <w:color w:val="000000"/>
                <w:sz w:val="20"/>
                <w:szCs w:val="20"/>
              </w:rPr>
            </w:pPr>
          </w:p>
        </w:tc>
        <w:tc>
          <w:tcPr>
            <w:tcW w:w="1463" w:type="dxa"/>
            <w:shd w:val="clear" w:color="auto" w:fill="auto"/>
            <w:noWrap/>
            <w:vAlign w:val="bottom"/>
          </w:tcPr>
          <w:p w14:paraId="1E0BBC1B" w14:textId="46746A52"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0.541</w:t>
            </w:r>
          </w:p>
        </w:tc>
        <w:tc>
          <w:tcPr>
            <w:tcW w:w="215" w:type="dxa"/>
            <w:vAlign w:val="bottom"/>
          </w:tcPr>
          <w:p w14:paraId="433C2177"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74DC9AE8" w14:textId="0AF082D5"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0.149</w:t>
            </w:r>
          </w:p>
        </w:tc>
        <w:tc>
          <w:tcPr>
            <w:tcW w:w="1408" w:type="dxa"/>
            <w:shd w:val="clear" w:color="auto" w:fill="auto"/>
            <w:noWrap/>
            <w:vAlign w:val="bottom"/>
          </w:tcPr>
          <w:p w14:paraId="4E2FBDD3" w14:textId="3F6A9270"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0.070</w:t>
            </w:r>
          </w:p>
        </w:tc>
        <w:tc>
          <w:tcPr>
            <w:tcW w:w="1408" w:type="dxa"/>
            <w:shd w:val="clear" w:color="auto" w:fill="auto"/>
            <w:noWrap/>
            <w:vAlign w:val="bottom"/>
          </w:tcPr>
          <w:p w14:paraId="1892381F" w14:textId="3F95DDAA"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0.020</w:t>
            </w:r>
          </w:p>
        </w:tc>
        <w:tc>
          <w:tcPr>
            <w:tcW w:w="215" w:type="dxa"/>
            <w:vAlign w:val="bottom"/>
          </w:tcPr>
          <w:p w14:paraId="3C7FC964"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0D5DC9CA" w14:textId="7365AB94"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1408" w:type="dxa"/>
            <w:shd w:val="clear" w:color="auto" w:fill="auto"/>
            <w:noWrap/>
            <w:vAlign w:val="bottom"/>
          </w:tcPr>
          <w:p w14:paraId="6212F04B" w14:textId="6F633022"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0.011</w:t>
            </w:r>
          </w:p>
        </w:tc>
        <w:tc>
          <w:tcPr>
            <w:tcW w:w="1408" w:type="dxa"/>
            <w:shd w:val="clear" w:color="auto" w:fill="auto"/>
            <w:noWrap/>
            <w:vAlign w:val="bottom"/>
          </w:tcPr>
          <w:p w14:paraId="0B996A01" w14:textId="4B3A7B24"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r>
      <w:tr w:rsidR="00023912" w:rsidRPr="00632F82" w14:paraId="6E83BE76" w14:textId="77777777" w:rsidTr="007422BC">
        <w:trPr>
          <w:trHeight w:hRule="exact" w:val="307"/>
        </w:trPr>
        <w:tc>
          <w:tcPr>
            <w:tcW w:w="3954" w:type="dxa"/>
            <w:shd w:val="clear" w:color="auto" w:fill="auto"/>
            <w:noWrap/>
            <w:vAlign w:val="bottom"/>
            <w:hideMark/>
          </w:tcPr>
          <w:p w14:paraId="4E3F5C32"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63" w:type="dxa"/>
            <w:shd w:val="clear" w:color="auto" w:fill="auto"/>
            <w:noWrap/>
            <w:vAlign w:val="bottom"/>
          </w:tcPr>
          <w:p w14:paraId="6FC0CD84" w14:textId="26DAFD0B" w:rsidR="00023912" w:rsidRPr="00632F82" w:rsidRDefault="00023912">
            <w:pPr>
              <w:jc w:val="center"/>
              <w:rPr>
                <w:rFonts w:ascii="Calibri" w:hAnsi="Calibri"/>
                <w:color w:val="000000"/>
                <w:sz w:val="20"/>
                <w:szCs w:val="20"/>
              </w:rPr>
            </w:pPr>
          </w:p>
        </w:tc>
        <w:tc>
          <w:tcPr>
            <w:tcW w:w="215" w:type="dxa"/>
            <w:vAlign w:val="bottom"/>
          </w:tcPr>
          <w:p w14:paraId="52993B9C"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5B90B6D9" w14:textId="3A2A57FA"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59C3813E" w14:textId="057DE884"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3C41FC45" w14:textId="4A4DC97F" w:rsidR="00023912" w:rsidRPr="00632F82" w:rsidRDefault="00023912">
            <w:pPr>
              <w:jc w:val="center"/>
              <w:rPr>
                <w:rFonts w:ascii="Calibri" w:hAnsi="Calibri"/>
                <w:color w:val="000000"/>
                <w:sz w:val="20"/>
                <w:szCs w:val="20"/>
              </w:rPr>
            </w:pPr>
          </w:p>
        </w:tc>
        <w:tc>
          <w:tcPr>
            <w:tcW w:w="215" w:type="dxa"/>
            <w:vAlign w:val="bottom"/>
          </w:tcPr>
          <w:p w14:paraId="4A77A740"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6B582753" w14:textId="7692556F"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2FE99CA1" w14:textId="66E471EB" w:rsidR="00023912" w:rsidRPr="00632F82" w:rsidRDefault="00023912">
            <w:pPr>
              <w:jc w:val="center"/>
              <w:rPr>
                <w:rFonts w:ascii="Calibri" w:hAnsi="Calibri"/>
                <w:color w:val="000000"/>
                <w:sz w:val="20"/>
                <w:szCs w:val="20"/>
              </w:rPr>
            </w:pPr>
          </w:p>
        </w:tc>
        <w:tc>
          <w:tcPr>
            <w:tcW w:w="1408" w:type="dxa"/>
            <w:shd w:val="clear" w:color="auto" w:fill="auto"/>
            <w:noWrap/>
            <w:vAlign w:val="bottom"/>
          </w:tcPr>
          <w:p w14:paraId="302AA188" w14:textId="64F3221B" w:rsidR="00023912" w:rsidRPr="00632F82" w:rsidRDefault="00023912">
            <w:pPr>
              <w:jc w:val="center"/>
              <w:rPr>
                <w:rFonts w:ascii="Calibri" w:hAnsi="Calibri"/>
                <w:color w:val="000000"/>
                <w:sz w:val="20"/>
                <w:szCs w:val="20"/>
              </w:rPr>
            </w:pPr>
          </w:p>
        </w:tc>
      </w:tr>
      <w:tr w:rsidR="00023912" w:rsidRPr="00632F82" w14:paraId="09F9A128" w14:textId="77777777" w:rsidTr="007422BC">
        <w:trPr>
          <w:trHeight w:hRule="exact" w:val="307"/>
        </w:trPr>
        <w:tc>
          <w:tcPr>
            <w:tcW w:w="3954" w:type="dxa"/>
            <w:shd w:val="clear" w:color="auto" w:fill="auto"/>
            <w:noWrap/>
            <w:vAlign w:val="bottom"/>
            <w:hideMark/>
          </w:tcPr>
          <w:p w14:paraId="4F2EAFD3" w14:textId="77777777" w:rsidR="00023912" w:rsidRPr="00632F82" w:rsidRDefault="00023912" w:rsidP="00023912">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MDC=18 Infectious &amp; Parasitic DDs</w:t>
            </w:r>
          </w:p>
        </w:tc>
        <w:tc>
          <w:tcPr>
            <w:tcW w:w="1463" w:type="dxa"/>
            <w:shd w:val="clear" w:color="auto" w:fill="auto"/>
            <w:noWrap/>
            <w:vAlign w:val="bottom"/>
          </w:tcPr>
          <w:p w14:paraId="4D1C0E57" w14:textId="688318F1"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-0.007</w:t>
            </w:r>
          </w:p>
        </w:tc>
        <w:tc>
          <w:tcPr>
            <w:tcW w:w="215" w:type="dxa"/>
            <w:vAlign w:val="bottom"/>
          </w:tcPr>
          <w:p w14:paraId="485EED88"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7CCB50A5" w14:textId="0860B83C"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-0.004</w:t>
            </w:r>
          </w:p>
        </w:tc>
        <w:tc>
          <w:tcPr>
            <w:tcW w:w="1408" w:type="dxa"/>
            <w:shd w:val="clear" w:color="auto" w:fill="auto"/>
            <w:noWrap/>
            <w:vAlign w:val="bottom"/>
          </w:tcPr>
          <w:p w14:paraId="1EE1CCC5" w14:textId="018891BE"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-0.010</w:t>
            </w:r>
          </w:p>
        </w:tc>
        <w:tc>
          <w:tcPr>
            <w:tcW w:w="1408" w:type="dxa"/>
            <w:shd w:val="clear" w:color="auto" w:fill="auto"/>
            <w:noWrap/>
            <w:vAlign w:val="bottom"/>
          </w:tcPr>
          <w:p w14:paraId="57795ABC" w14:textId="6F4BE57C"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0.005</w:t>
            </w:r>
          </w:p>
        </w:tc>
        <w:tc>
          <w:tcPr>
            <w:tcW w:w="215" w:type="dxa"/>
            <w:vAlign w:val="bottom"/>
          </w:tcPr>
          <w:p w14:paraId="659ACED6"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7EFDE133" w14:textId="4DAFC07B" w:rsidR="00023912" w:rsidRPr="00632F82" w:rsidRDefault="00023912">
            <w:pPr>
              <w:jc w:val="center"/>
              <w:rPr>
                <w:rFonts w:ascii="Calibri" w:hAnsi="Calibri"/>
                <w:color w:val="000000"/>
                <w:sz w:val="20"/>
                <w:szCs w:val="20"/>
              </w:rPr>
            </w:pPr>
            <w:r w:rsidRPr="00632F82">
              <w:rPr>
                <w:rFonts w:ascii="Calibri" w:hAnsi="Calibri"/>
                <w:color w:val="000000"/>
                <w:sz w:val="20"/>
                <w:szCs w:val="20"/>
              </w:rPr>
              <w:t>-0.090</w:t>
            </w:r>
          </w:p>
        </w:tc>
        <w:tc>
          <w:tcPr>
            <w:tcW w:w="1408" w:type="dxa"/>
            <w:shd w:val="clear" w:color="auto" w:fill="auto"/>
            <w:noWrap/>
            <w:vAlign w:val="bottom"/>
          </w:tcPr>
          <w:p w14:paraId="6CB54C39" w14:textId="6A780C6B" w:rsidR="00023912" w:rsidRPr="00632F82" w:rsidRDefault="00023912">
            <w:pPr>
              <w:jc w:val="center"/>
              <w:rPr>
                <w:rFonts w:ascii="Calibri" w:hAnsi="Calibri"/>
                <w:color w:val="000000"/>
                <w:sz w:val="20"/>
                <w:szCs w:val="20"/>
              </w:rPr>
            </w:pPr>
            <w:r w:rsidRPr="00632F82">
              <w:rPr>
                <w:rFonts w:ascii="Calibri" w:hAnsi="Calibri"/>
                <w:color w:val="000000"/>
                <w:sz w:val="20"/>
                <w:szCs w:val="20"/>
              </w:rPr>
              <w:t>0.130</w:t>
            </w:r>
          </w:p>
        </w:tc>
        <w:tc>
          <w:tcPr>
            <w:tcW w:w="1408" w:type="dxa"/>
            <w:shd w:val="clear" w:color="auto" w:fill="auto"/>
            <w:noWrap/>
            <w:vAlign w:val="bottom"/>
          </w:tcPr>
          <w:p w14:paraId="023A19BA" w14:textId="0D065D89" w:rsidR="00023912" w:rsidRPr="00632F82" w:rsidRDefault="00023912">
            <w:pPr>
              <w:jc w:val="center"/>
              <w:rPr>
                <w:rFonts w:ascii="Calibri" w:hAnsi="Calibri"/>
                <w:color w:val="000000"/>
                <w:sz w:val="20"/>
                <w:szCs w:val="20"/>
              </w:rPr>
            </w:pPr>
            <w:r w:rsidRPr="00632F82">
              <w:rPr>
                <w:rFonts w:ascii="Calibri" w:hAnsi="Calibri"/>
                <w:color w:val="000000"/>
                <w:sz w:val="20"/>
                <w:szCs w:val="20"/>
              </w:rPr>
              <w:t>-0.22</w:t>
            </w:r>
            <w:r w:rsidR="00345E86" w:rsidRPr="00632F82">
              <w:rPr>
                <w:rFonts w:ascii="Calibri" w:hAnsi="Calibri"/>
                <w:color w:val="000000"/>
                <w:sz w:val="20"/>
                <w:szCs w:val="20"/>
              </w:rPr>
              <w:t>0</w:t>
            </w:r>
          </w:p>
        </w:tc>
      </w:tr>
      <w:tr w:rsidR="00023912" w:rsidRPr="00632F82" w14:paraId="075C5B32" w14:textId="77777777" w:rsidTr="007422BC">
        <w:trPr>
          <w:trHeight w:hRule="exact" w:val="307"/>
        </w:trPr>
        <w:tc>
          <w:tcPr>
            <w:tcW w:w="3954" w:type="dxa"/>
            <w:shd w:val="clear" w:color="auto" w:fill="auto"/>
            <w:noWrap/>
            <w:vAlign w:val="bottom"/>
            <w:hideMark/>
          </w:tcPr>
          <w:p w14:paraId="7DA19CA5" w14:textId="6CA5AE66" w:rsidR="00023912" w:rsidRPr="00632F82" w:rsidRDefault="00023912" w:rsidP="00023912">
            <w:pPr>
              <w:spacing w:after="0" w:line="240" w:lineRule="auto"/>
              <w:rPr>
                <w:rFonts w:ascii="Calibri" w:hAnsi="Calibri"/>
                <w:color w:val="000000"/>
                <w:sz w:val="20"/>
                <w:szCs w:val="20"/>
              </w:rPr>
            </w:pPr>
            <w:r w:rsidRPr="00632F82">
              <w:rPr>
                <w:bCs/>
                <w:sz w:val="20"/>
                <w:szCs w:val="20"/>
              </w:rPr>
              <w:t xml:space="preserve">N = </w:t>
            </w:r>
            <w:r w:rsidRPr="00632F82">
              <w:rPr>
                <w:rFonts w:ascii="Calibri" w:hAnsi="Calibri"/>
                <w:color w:val="000000"/>
                <w:sz w:val="20"/>
                <w:szCs w:val="20"/>
              </w:rPr>
              <w:t>462,403</w:t>
            </w:r>
          </w:p>
          <w:p w14:paraId="48A831EE" w14:textId="37261223" w:rsidR="00023912" w:rsidRPr="00632F82" w:rsidRDefault="00023912" w:rsidP="00023912">
            <w:pPr>
              <w:spacing w:after="0" w:line="240" w:lineRule="auto"/>
              <w:rPr>
                <w:rFonts w:ascii="Calibri" w:eastAsia="Times New Roman" w:hAnsi="Calibri" w:cs="Times New Roman"/>
                <w:color w:val="000000"/>
                <w:sz w:val="20"/>
                <w:szCs w:val="20"/>
              </w:rPr>
            </w:pPr>
          </w:p>
        </w:tc>
        <w:tc>
          <w:tcPr>
            <w:tcW w:w="1463" w:type="dxa"/>
            <w:shd w:val="clear" w:color="auto" w:fill="auto"/>
            <w:noWrap/>
            <w:vAlign w:val="bottom"/>
          </w:tcPr>
          <w:p w14:paraId="77906358" w14:textId="2A508FF0"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0.705</w:t>
            </w:r>
          </w:p>
        </w:tc>
        <w:tc>
          <w:tcPr>
            <w:tcW w:w="215" w:type="dxa"/>
            <w:vAlign w:val="bottom"/>
          </w:tcPr>
          <w:p w14:paraId="79402D76" w14:textId="77777777" w:rsidR="00023912" w:rsidRPr="00632F82" w:rsidRDefault="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2E1D09DF" w14:textId="1E585594"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0.850</w:t>
            </w:r>
          </w:p>
        </w:tc>
        <w:tc>
          <w:tcPr>
            <w:tcW w:w="1408" w:type="dxa"/>
            <w:shd w:val="clear" w:color="auto" w:fill="auto"/>
            <w:noWrap/>
            <w:vAlign w:val="bottom"/>
          </w:tcPr>
          <w:p w14:paraId="2B10692F" w14:textId="1DC16278"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0.627</w:t>
            </w:r>
          </w:p>
        </w:tc>
        <w:tc>
          <w:tcPr>
            <w:tcW w:w="1408" w:type="dxa"/>
            <w:shd w:val="clear" w:color="auto" w:fill="auto"/>
            <w:noWrap/>
            <w:vAlign w:val="bottom"/>
          </w:tcPr>
          <w:p w14:paraId="2F9FFA41" w14:textId="437BC7EB" w:rsidR="00023912" w:rsidRPr="00632F82" w:rsidRDefault="008046E6">
            <w:pPr>
              <w:jc w:val="center"/>
              <w:rPr>
                <w:rFonts w:ascii="Calibri" w:hAnsi="Calibri"/>
                <w:color w:val="000000"/>
                <w:sz w:val="20"/>
                <w:szCs w:val="20"/>
              </w:rPr>
            </w:pPr>
            <w:r w:rsidRPr="00632F82">
              <w:rPr>
                <w:rFonts w:ascii="Calibri" w:hAnsi="Calibri"/>
                <w:color w:val="000000"/>
                <w:sz w:val="20"/>
                <w:szCs w:val="20"/>
              </w:rPr>
              <w:t>P=</w:t>
            </w:r>
            <w:r w:rsidR="00023912" w:rsidRPr="00632F82">
              <w:rPr>
                <w:rFonts w:ascii="Calibri" w:hAnsi="Calibri"/>
                <w:color w:val="000000"/>
                <w:sz w:val="20"/>
                <w:szCs w:val="20"/>
              </w:rPr>
              <w:t>0.806</w:t>
            </w:r>
          </w:p>
        </w:tc>
        <w:tc>
          <w:tcPr>
            <w:tcW w:w="215" w:type="dxa"/>
            <w:vAlign w:val="bottom"/>
          </w:tcPr>
          <w:p w14:paraId="275062B6" w14:textId="77777777" w:rsidR="00023912" w:rsidRPr="00632F82" w:rsidRDefault="00023912" w:rsidP="00023912">
            <w:pPr>
              <w:spacing w:after="0" w:line="240" w:lineRule="auto"/>
              <w:jc w:val="center"/>
              <w:rPr>
                <w:rFonts w:ascii="Calibri" w:hAnsi="Calibri"/>
                <w:color w:val="000000"/>
                <w:sz w:val="20"/>
                <w:szCs w:val="20"/>
              </w:rPr>
            </w:pPr>
          </w:p>
        </w:tc>
        <w:tc>
          <w:tcPr>
            <w:tcW w:w="1408" w:type="dxa"/>
            <w:shd w:val="clear" w:color="auto" w:fill="auto"/>
            <w:noWrap/>
            <w:vAlign w:val="bottom"/>
          </w:tcPr>
          <w:p w14:paraId="51E7A473" w14:textId="7EB158E9"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1408" w:type="dxa"/>
            <w:shd w:val="clear" w:color="auto" w:fill="auto"/>
            <w:noWrap/>
            <w:vAlign w:val="bottom"/>
          </w:tcPr>
          <w:p w14:paraId="3E9CC2CB" w14:textId="74ACDAFA"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c>
          <w:tcPr>
            <w:tcW w:w="1408" w:type="dxa"/>
            <w:shd w:val="clear" w:color="auto" w:fill="auto"/>
            <w:noWrap/>
            <w:vAlign w:val="bottom"/>
          </w:tcPr>
          <w:p w14:paraId="1EE9B89E" w14:textId="26599E16" w:rsidR="00023912" w:rsidRPr="00632F82" w:rsidRDefault="008046E6">
            <w:pPr>
              <w:jc w:val="center"/>
              <w:rPr>
                <w:rFonts w:ascii="Calibri" w:hAnsi="Calibri"/>
                <w:color w:val="000000"/>
                <w:sz w:val="20"/>
                <w:szCs w:val="20"/>
              </w:rPr>
            </w:pPr>
            <w:r w:rsidRPr="00632F82">
              <w:rPr>
                <w:rFonts w:ascii="Calibri" w:hAnsi="Calibri"/>
                <w:color w:val="000000"/>
                <w:sz w:val="20"/>
                <w:szCs w:val="20"/>
              </w:rPr>
              <w:t>P&lt;0.001</w:t>
            </w:r>
          </w:p>
        </w:tc>
      </w:tr>
    </w:tbl>
    <w:p w14:paraId="7D233FD0" w14:textId="77777777" w:rsidR="00F16B4C" w:rsidRPr="00632F82" w:rsidRDefault="006B288B" w:rsidP="00BF1D33">
      <w:pPr>
        <w:rPr>
          <w:sz w:val="20"/>
          <w:szCs w:val="20"/>
        </w:rPr>
      </w:pPr>
      <w:r w:rsidRPr="00632F82">
        <w:rPr>
          <w:sz w:val="20"/>
          <w:szCs w:val="20"/>
        </w:rPr>
        <w:t>Notes:</w:t>
      </w:r>
      <w:r w:rsidR="00640656" w:rsidRPr="00632F82">
        <w:rPr>
          <w:sz w:val="20"/>
          <w:szCs w:val="20"/>
        </w:rPr>
        <w:t xml:space="preserve"> </w:t>
      </w:r>
      <w:r w:rsidR="00DC0326" w:rsidRPr="00632F82">
        <w:rPr>
          <w:sz w:val="20"/>
          <w:szCs w:val="20"/>
        </w:rPr>
        <w:t>P-values are in parentheses.</w:t>
      </w:r>
      <w:r w:rsidR="00E30A56" w:rsidRPr="00632F82">
        <w:rPr>
          <w:sz w:val="20"/>
          <w:szCs w:val="20"/>
        </w:rPr>
        <w:t xml:space="preserve"> </w:t>
      </w:r>
      <w:r w:rsidR="00DC0326" w:rsidRPr="00632F82">
        <w:rPr>
          <w:sz w:val="20"/>
          <w:szCs w:val="20"/>
        </w:rPr>
        <w:t xml:space="preserve"> </w:t>
      </w:r>
      <w:r w:rsidR="00D12E5D" w:rsidRPr="00632F82">
        <w:rPr>
          <w:sz w:val="20"/>
          <w:szCs w:val="20"/>
        </w:rPr>
        <w:t xml:space="preserve">Marginal LTCH effect is calculated as </w:t>
      </w:r>
      <w:r w:rsidR="0020494B" w:rsidRPr="00632F82">
        <w:rPr>
          <w:sz w:val="20"/>
          <w:szCs w:val="20"/>
        </w:rPr>
        <w:t>the average of individual marginal effects</w:t>
      </w:r>
      <w:r w:rsidR="00640656" w:rsidRPr="00632F82">
        <w:rPr>
          <w:sz w:val="20"/>
          <w:szCs w:val="20"/>
        </w:rPr>
        <w:t xml:space="preserve"> that are</w:t>
      </w:r>
      <w:r w:rsidR="0020494B" w:rsidRPr="00632F82">
        <w:rPr>
          <w:sz w:val="20"/>
          <w:szCs w:val="20"/>
        </w:rPr>
        <w:t xml:space="preserve"> computed for each observation using the results of the two-stage </w:t>
      </w:r>
      <w:r w:rsidRPr="00632F82">
        <w:rPr>
          <w:sz w:val="20"/>
          <w:szCs w:val="20"/>
        </w:rPr>
        <w:t xml:space="preserve">residual inclusion </w:t>
      </w:r>
      <w:r w:rsidR="0020494B" w:rsidRPr="00632F82">
        <w:rPr>
          <w:sz w:val="20"/>
          <w:szCs w:val="20"/>
        </w:rPr>
        <w:t xml:space="preserve">regression and the individual observation’s </w:t>
      </w:r>
      <w:r w:rsidR="00640656" w:rsidRPr="00632F82">
        <w:rPr>
          <w:sz w:val="20"/>
          <w:szCs w:val="20"/>
        </w:rPr>
        <w:t>covariate values</w:t>
      </w:r>
      <w:r w:rsidR="00DE6365" w:rsidRPr="00632F82">
        <w:rPr>
          <w:sz w:val="20"/>
          <w:szCs w:val="20"/>
        </w:rPr>
        <w:t>, while varying LTCH indicator between 0 and 1.</w:t>
      </w:r>
      <w:r w:rsidR="00640656" w:rsidRPr="00632F82">
        <w:rPr>
          <w:sz w:val="20"/>
          <w:szCs w:val="20"/>
        </w:rPr>
        <w:t xml:space="preserve">  </w:t>
      </w:r>
      <w:r w:rsidRPr="00632F82">
        <w:rPr>
          <w:sz w:val="20"/>
          <w:szCs w:val="20"/>
        </w:rPr>
        <w:t xml:space="preserve">The baseline model includes the LTCH transfer indicator, patient-level controls and index ACH-level controls listed in Appendix A as explanatory variables.  The model with interaction with organ failure includes an interaction term between LTCH transfer indicator and a multiple organ failure indicator as an additional explanatory variable.  The model with interaction with ICU/CCU includes an interaction term between LTCH transfer indicator and indicator for minimum 3-day ICU/CCU stay as an additional explanatory variable. Columns B1 and C1 present marginal effect of LTCH on the outcome among patients with multiple organ failure and minimum 3-day ICU/CCU stay, respectively.  Columns B2 and C2 present the marginal effect of LTCH among other patients.  Columns B3 and C3 present the differential treatment effect between patients with and without the specified characteristics.  </w:t>
      </w:r>
    </w:p>
    <w:p w14:paraId="4C5406AC" w14:textId="77777777" w:rsidR="00F16B4C" w:rsidRPr="00632F82" w:rsidRDefault="00F16B4C">
      <w:pPr>
        <w:rPr>
          <w:sz w:val="20"/>
          <w:szCs w:val="20"/>
        </w:rPr>
      </w:pPr>
      <w:r w:rsidRPr="00632F82">
        <w:rPr>
          <w:sz w:val="20"/>
          <w:szCs w:val="20"/>
        </w:rPr>
        <w:br w:type="page"/>
      </w:r>
    </w:p>
    <w:p w14:paraId="4E90D4EB" w14:textId="57126FCF" w:rsidR="00F16B4C" w:rsidRPr="00632F82" w:rsidRDefault="00F16B4C" w:rsidP="00F16B4C">
      <w:pPr>
        <w:spacing w:after="0"/>
        <w:contextualSpacing/>
        <w:rPr>
          <w:b/>
        </w:rPr>
      </w:pPr>
      <w:r w:rsidRPr="00632F82">
        <w:rPr>
          <w:b/>
        </w:rPr>
        <w:lastRenderedPageBreak/>
        <w:t xml:space="preserve">Table </w:t>
      </w:r>
      <w:r w:rsidR="009F6072" w:rsidRPr="00632F82">
        <w:rPr>
          <w:b/>
        </w:rPr>
        <w:t>C4</w:t>
      </w:r>
      <w:r w:rsidRPr="00632F82">
        <w:rPr>
          <w:b/>
        </w:rPr>
        <w:t>. Sensitivity Analysis Results: Marginal Effect of LTCH on Total Payment for 180-Day Episode</w:t>
      </w:r>
    </w:p>
    <w:tbl>
      <w:tblPr>
        <w:tblW w:w="14127" w:type="dxa"/>
        <w:tblInd w:w="93" w:type="dxa"/>
        <w:tblBorders>
          <w:top w:val="single" w:sz="12" w:space="0" w:color="auto"/>
          <w:bottom w:val="single" w:sz="12" w:space="0" w:color="auto"/>
        </w:tblBorders>
        <w:tblLook w:val="04A0" w:firstRow="1" w:lastRow="0" w:firstColumn="1" w:lastColumn="0" w:noHBand="0" w:noVBand="1"/>
      </w:tblPr>
      <w:tblGrid>
        <w:gridCol w:w="3837"/>
        <w:gridCol w:w="1443"/>
        <w:gridCol w:w="222"/>
        <w:gridCol w:w="1443"/>
        <w:gridCol w:w="1443"/>
        <w:gridCol w:w="1443"/>
        <w:gridCol w:w="222"/>
        <w:gridCol w:w="1367"/>
        <w:gridCol w:w="1367"/>
        <w:gridCol w:w="1367"/>
      </w:tblGrid>
      <w:tr w:rsidR="00F16B4C" w:rsidRPr="00632F82" w14:paraId="3D602873" w14:textId="77777777" w:rsidTr="007422BC">
        <w:trPr>
          <w:trHeight w:val="594"/>
        </w:trPr>
        <w:tc>
          <w:tcPr>
            <w:tcW w:w="3837" w:type="dxa"/>
            <w:tcBorders>
              <w:bottom w:val="nil"/>
            </w:tcBorders>
            <w:shd w:val="clear" w:color="auto" w:fill="auto"/>
            <w:noWrap/>
            <w:vAlign w:val="bottom"/>
            <w:hideMark/>
          </w:tcPr>
          <w:p w14:paraId="25450C72" w14:textId="77777777" w:rsidR="00F16B4C" w:rsidRPr="00632F82" w:rsidRDefault="00F16B4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43" w:type="dxa"/>
            <w:tcBorders>
              <w:top w:val="single" w:sz="12" w:space="0" w:color="auto"/>
              <w:bottom w:val="single" w:sz="4" w:space="0" w:color="auto"/>
            </w:tcBorders>
            <w:shd w:val="clear" w:color="auto" w:fill="auto"/>
            <w:vAlign w:val="center"/>
            <w:hideMark/>
          </w:tcPr>
          <w:p w14:paraId="64FB396B" w14:textId="77777777" w:rsidR="00F16B4C" w:rsidRPr="00632F82" w:rsidRDefault="00F16B4C"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Baseline Model</w:t>
            </w:r>
          </w:p>
        </w:tc>
        <w:tc>
          <w:tcPr>
            <w:tcW w:w="208" w:type="dxa"/>
            <w:tcBorders>
              <w:top w:val="single" w:sz="12" w:space="0" w:color="auto"/>
              <w:bottom w:val="nil"/>
            </w:tcBorders>
          </w:tcPr>
          <w:p w14:paraId="14D6AD11" w14:textId="77777777" w:rsidR="00F16B4C" w:rsidRPr="00632F82" w:rsidRDefault="00F16B4C" w:rsidP="00F7292C">
            <w:pPr>
              <w:spacing w:after="0" w:line="240" w:lineRule="auto"/>
              <w:jc w:val="center"/>
              <w:rPr>
                <w:rFonts w:ascii="Calibri" w:eastAsia="Times New Roman" w:hAnsi="Calibri" w:cs="Times New Roman"/>
                <w:bCs/>
                <w:color w:val="000000"/>
                <w:sz w:val="20"/>
                <w:szCs w:val="20"/>
              </w:rPr>
            </w:pPr>
          </w:p>
        </w:tc>
        <w:tc>
          <w:tcPr>
            <w:tcW w:w="4330" w:type="dxa"/>
            <w:gridSpan w:val="3"/>
            <w:tcBorders>
              <w:top w:val="single" w:sz="12" w:space="0" w:color="auto"/>
              <w:bottom w:val="single" w:sz="4" w:space="0" w:color="auto"/>
            </w:tcBorders>
            <w:shd w:val="clear" w:color="auto" w:fill="auto"/>
            <w:vAlign w:val="center"/>
            <w:hideMark/>
          </w:tcPr>
          <w:p w14:paraId="0ABA2DEF" w14:textId="77777777" w:rsidR="00F16B4C" w:rsidRPr="00632F82" w:rsidRDefault="00F16B4C"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Interaction with Organ Failure</w:t>
            </w:r>
          </w:p>
        </w:tc>
        <w:tc>
          <w:tcPr>
            <w:tcW w:w="208" w:type="dxa"/>
            <w:tcBorders>
              <w:top w:val="single" w:sz="12" w:space="0" w:color="auto"/>
              <w:bottom w:val="nil"/>
            </w:tcBorders>
          </w:tcPr>
          <w:p w14:paraId="2380EB9D" w14:textId="77777777" w:rsidR="00F16B4C" w:rsidRPr="00632F82" w:rsidRDefault="00F16B4C" w:rsidP="00F7292C">
            <w:pPr>
              <w:spacing w:after="0" w:line="240" w:lineRule="auto"/>
              <w:jc w:val="center"/>
              <w:rPr>
                <w:rFonts w:ascii="Calibri" w:eastAsia="Times New Roman" w:hAnsi="Calibri" w:cs="Times New Roman"/>
                <w:bCs/>
                <w:color w:val="000000"/>
                <w:sz w:val="20"/>
                <w:szCs w:val="20"/>
              </w:rPr>
            </w:pPr>
          </w:p>
        </w:tc>
        <w:tc>
          <w:tcPr>
            <w:tcW w:w="4101" w:type="dxa"/>
            <w:gridSpan w:val="3"/>
            <w:tcBorders>
              <w:top w:val="single" w:sz="12" w:space="0" w:color="auto"/>
              <w:bottom w:val="single" w:sz="4" w:space="0" w:color="auto"/>
            </w:tcBorders>
            <w:shd w:val="clear" w:color="auto" w:fill="auto"/>
            <w:vAlign w:val="center"/>
            <w:hideMark/>
          </w:tcPr>
          <w:p w14:paraId="23DBABF2" w14:textId="77777777" w:rsidR="00F16B4C" w:rsidRPr="00632F82" w:rsidRDefault="00F16B4C" w:rsidP="00F7292C">
            <w:pPr>
              <w:spacing w:after="0" w:line="240" w:lineRule="auto"/>
              <w:jc w:val="center"/>
              <w:rPr>
                <w:rFonts w:ascii="Calibri" w:eastAsia="Times New Roman" w:hAnsi="Calibri" w:cs="Times New Roman"/>
                <w:bCs/>
                <w:color w:val="000000"/>
                <w:sz w:val="20"/>
                <w:szCs w:val="20"/>
              </w:rPr>
            </w:pPr>
            <w:r w:rsidRPr="00632F82">
              <w:rPr>
                <w:rFonts w:ascii="Calibri" w:eastAsia="Times New Roman" w:hAnsi="Calibri" w:cs="Times New Roman"/>
                <w:bCs/>
                <w:color w:val="000000"/>
                <w:sz w:val="20"/>
                <w:szCs w:val="20"/>
              </w:rPr>
              <w:t>Interaction with ICU/CCU</w:t>
            </w:r>
          </w:p>
        </w:tc>
      </w:tr>
      <w:tr w:rsidR="00F7292C" w:rsidRPr="00632F82" w14:paraId="16D8E84F" w14:textId="77777777" w:rsidTr="00F7292C">
        <w:trPr>
          <w:trHeight w:val="949"/>
        </w:trPr>
        <w:tc>
          <w:tcPr>
            <w:tcW w:w="3837" w:type="dxa"/>
            <w:tcBorders>
              <w:top w:val="nil"/>
              <w:bottom w:val="single" w:sz="4" w:space="0" w:color="auto"/>
            </w:tcBorders>
            <w:shd w:val="clear" w:color="000000" w:fill="FFFFFF"/>
            <w:vAlign w:val="bottom"/>
            <w:hideMark/>
          </w:tcPr>
          <w:p w14:paraId="2CFC8CD5" w14:textId="77777777" w:rsidR="00F16B4C" w:rsidRPr="00632F82" w:rsidRDefault="00F16B4C" w:rsidP="00F7292C">
            <w:pPr>
              <w:spacing w:after="0" w:line="240" w:lineRule="auto"/>
              <w:rPr>
                <w:rFonts w:ascii="Calibri" w:eastAsia="Times New Roman" w:hAnsi="Calibri" w:cs="Times New Roman"/>
                <w:bCs/>
                <w:sz w:val="20"/>
                <w:szCs w:val="20"/>
              </w:rPr>
            </w:pPr>
            <w:r w:rsidRPr="00632F82">
              <w:rPr>
                <w:rFonts w:ascii="Calibri" w:eastAsia="Times New Roman" w:hAnsi="Calibri" w:cs="Times New Roman"/>
                <w:bCs/>
                <w:sz w:val="20"/>
                <w:szCs w:val="20"/>
              </w:rPr>
              <w:t>Condition Group</w:t>
            </w:r>
          </w:p>
        </w:tc>
        <w:tc>
          <w:tcPr>
            <w:tcW w:w="1443" w:type="dxa"/>
            <w:tcBorders>
              <w:top w:val="single" w:sz="4" w:space="0" w:color="auto"/>
              <w:bottom w:val="single" w:sz="4" w:space="0" w:color="auto"/>
            </w:tcBorders>
            <w:shd w:val="clear" w:color="auto" w:fill="auto"/>
            <w:vAlign w:val="bottom"/>
            <w:hideMark/>
          </w:tcPr>
          <w:p w14:paraId="6FB3A509"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Model without interactions  </w:t>
            </w:r>
          </w:p>
          <w:p w14:paraId="59CF4C6B"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(A)</w:t>
            </w:r>
          </w:p>
        </w:tc>
        <w:tc>
          <w:tcPr>
            <w:tcW w:w="208" w:type="dxa"/>
            <w:tcBorders>
              <w:top w:val="nil"/>
              <w:bottom w:val="single" w:sz="4" w:space="0" w:color="auto"/>
            </w:tcBorders>
          </w:tcPr>
          <w:p w14:paraId="00B39258"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p>
        </w:tc>
        <w:tc>
          <w:tcPr>
            <w:tcW w:w="1443" w:type="dxa"/>
            <w:tcBorders>
              <w:top w:val="single" w:sz="4" w:space="0" w:color="auto"/>
              <w:bottom w:val="single" w:sz="4" w:space="0" w:color="auto"/>
            </w:tcBorders>
            <w:shd w:val="clear" w:color="auto" w:fill="auto"/>
            <w:vAlign w:val="bottom"/>
            <w:hideMark/>
          </w:tcPr>
          <w:p w14:paraId="0401FBE9"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Multiple organ failure </w:t>
            </w:r>
          </w:p>
          <w:p w14:paraId="5B29C720"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(B1) </w:t>
            </w:r>
          </w:p>
        </w:tc>
        <w:tc>
          <w:tcPr>
            <w:tcW w:w="1443" w:type="dxa"/>
            <w:tcBorders>
              <w:top w:val="single" w:sz="4" w:space="0" w:color="auto"/>
              <w:bottom w:val="single" w:sz="4" w:space="0" w:color="auto"/>
            </w:tcBorders>
            <w:shd w:val="clear" w:color="auto" w:fill="auto"/>
            <w:vAlign w:val="bottom"/>
            <w:hideMark/>
          </w:tcPr>
          <w:p w14:paraId="6CC905C6"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No multiple organ failure  </w:t>
            </w:r>
          </w:p>
          <w:p w14:paraId="76EF7423"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(B2)</w:t>
            </w:r>
          </w:p>
        </w:tc>
        <w:tc>
          <w:tcPr>
            <w:tcW w:w="1443" w:type="dxa"/>
            <w:tcBorders>
              <w:top w:val="single" w:sz="4" w:space="0" w:color="auto"/>
              <w:bottom w:val="single" w:sz="4" w:space="0" w:color="auto"/>
            </w:tcBorders>
            <w:shd w:val="clear" w:color="auto" w:fill="auto"/>
            <w:vAlign w:val="bottom"/>
            <w:hideMark/>
          </w:tcPr>
          <w:p w14:paraId="5B47629E"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Difference in Marginal Effects (B3)</w:t>
            </w:r>
          </w:p>
        </w:tc>
        <w:tc>
          <w:tcPr>
            <w:tcW w:w="208" w:type="dxa"/>
            <w:tcBorders>
              <w:top w:val="nil"/>
              <w:bottom w:val="single" w:sz="4" w:space="0" w:color="auto"/>
            </w:tcBorders>
          </w:tcPr>
          <w:p w14:paraId="5C9F23A2"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p>
        </w:tc>
        <w:tc>
          <w:tcPr>
            <w:tcW w:w="1367" w:type="dxa"/>
            <w:tcBorders>
              <w:top w:val="single" w:sz="4" w:space="0" w:color="auto"/>
              <w:bottom w:val="single" w:sz="4" w:space="0" w:color="auto"/>
            </w:tcBorders>
            <w:shd w:val="clear" w:color="auto" w:fill="auto"/>
            <w:vAlign w:val="bottom"/>
            <w:hideMark/>
          </w:tcPr>
          <w:p w14:paraId="6026EEB1"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xml:space="preserve">ICU/CCU&gt;=3 (C1) </w:t>
            </w:r>
          </w:p>
        </w:tc>
        <w:tc>
          <w:tcPr>
            <w:tcW w:w="1367" w:type="dxa"/>
            <w:tcBorders>
              <w:top w:val="single" w:sz="4" w:space="0" w:color="auto"/>
              <w:bottom w:val="single" w:sz="4" w:space="0" w:color="auto"/>
            </w:tcBorders>
            <w:shd w:val="clear" w:color="auto" w:fill="auto"/>
            <w:vAlign w:val="bottom"/>
            <w:hideMark/>
          </w:tcPr>
          <w:p w14:paraId="509FEB45"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ICU/CCU&lt;3 (C2)</w:t>
            </w:r>
          </w:p>
        </w:tc>
        <w:tc>
          <w:tcPr>
            <w:tcW w:w="1367" w:type="dxa"/>
            <w:tcBorders>
              <w:top w:val="single" w:sz="4" w:space="0" w:color="auto"/>
              <w:bottom w:val="single" w:sz="4" w:space="0" w:color="auto"/>
            </w:tcBorders>
            <w:shd w:val="clear" w:color="auto" w:fill="auto"/>
            <w:vAlign w:val="bottom"/>
            <w:hideMark/>
          </w:tcPr>
          <w:p w14:paraId="22119048" w14:textId="77777777" w:rsidR="00F16B4C" w:rsidRPr="00632F82" w:rsidRDefault="00F16B4C" w:rsidP="00F7292C">
            <w:pPr>
              <w:spacing w:after="0" w:line="240" w:lineRule="auto"/>
              <w:jc w:val="center"/>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Difference in Marginal Effects (C3)</w:t>
            </w:r>
          </w:p>
        </w:tc>
      </w:tr>
      <w:tr w:rsidR="00F7292C" w:rsidRPr="00632F82" w14:paraId="12C80C87" w14:textId="77777777" w:rsidTr="00F7292C">
        <w:trPr>
          <w:trHeight w:hRule="exact" w:val="306"/>
        </w:trPr>
        <w:tc>
          <w:tcPr>
            <w:tcW w:w="3837" w:type="dxa"/>
            <w:tcBorders>
              <w:top w:val="single" w:sz="4" w:space="0" w:color="auto"/>
            </w:tcBorders>
            <w:shd w:val="clear" w:color="auto" w:fill="auto"/>
            <w:noWrap/>
            <w:vAlign w:val="bottom"/>
            <w:hideMark/>
          </w:tcPr>
          <w:p w14:paraId="1A54E37C" w14:textId="791B2536"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MDC=04 Respiratory</w:t>
            </w:r>
          </w:p>
        </w:tc>
        <w:tc>
          <w:tcPr>
            <w:tcW w:w="1443" w:type="dxa"/>
            <w:tcBorders>
              <w:top w:val="single" w:sz="4" w:space="0" w:color="auto"/>
            </w:tcBorders>
            <w:shd w:val="clear" w:color="auto" w:fill="auto"/>
            <w:noWrap/>
            <w:vAlign w:val="bottom"/>
          </w:tcPr>
          <w:p w14:paraId="45A7DC25" w14:textId="216F926A" w:rsidR="00F7292C" w:rsidRPr="00632F82" w:rsidRDefault="00F7292C">
            <w:pPr>
              <w:jc w:val="center"/>
              <w:rPr>
                <w:rFonts w:ascii="Calibri" w:hAnsi="Calibri"/>
                <w:color w:val="000000"/>
                <w:sz w:val="20"/>
                <w:szCs w:val="20"/>
              </w:rPr>
            </w:pPr>
            <w:r w:rsidRPr="00632F82">
              <w:rPr>
                <w:rFonts w:ascii="Calibri" w:hAnsi="Calibri"/>
                <w:color w:val="000000"/>
                <w:sz w:val="20"/>
                <w:szCs w:val="20"/>
              </w:rPr>
              <w:t>17,068</w:t>
            </w:r>
          </w:p>
        </w:tc>
        <w:tc>
          <w:tcPr>
            <w:tcW w:w="208" w:type="dxa"/>
            <w:tcBorders>
              <w:top w:val="single" w:sz="4" w:space="0" w:color="auto"/>
            </w:tcBorders>
            <w:vAlign w:val="bottom"/>
          </w:tcPr>
          <w:p w14:paraId="53B557F3" w14:textId="77777777" w:rsidR="00F7292C" w:rsidRPr="00632F82" w:rsidRDefault="00F7292C">
            <w:pPr>
              <w:spacing w:after="0" w:line="240" w:lineRule="auto"/>
              <w:jc w:val="center"/>
              <w:rPr>
                <w:rFonts w:ascii="Calibri" w:hAnsi="Calibri"/>
                <w:color w:val="000000"/>
                <w:sz w:val="20"/>
                <w:szCs w:val="20"/>
              </w:rPr>
            </w:pPr>
          </w:p>
        </w:tc>
        <w:tc>
          <w:tcPr>
            <w:tcW w:w="1443" w:type="dxa"/>
            <w:tcBorders>
              <w:top w:val="single" w:sz="4" w:space="0" w:color="auto"/>
            </w:tcBorders>
            <w:shd w:val="clear" w:color="auto" w:fill="auto"/>
            <w:noWrap/>
            <w:vAlign w:val="bottom"/>
          </w:tcPr>
          <w:p w14:paraId="6EFBDD51" w14:textId="5050A17B" w:rsidR="00F7292C" w:rsidRPr="00632F82" w:rsidRDefault="00F7292C">
            <w:pPr>
              <w:jc w:val="center"/>
              <w:rPr>
                <w:rFonts w:ascii="Calibri" w:hAnsi="Calibri"/>
                <w:color w:val="000000"/>
                <w:sz w:val="20"/>
                <w:szCs w:val="20"/>
              </w:rPr>
            </w:pPr>
            <w:r w:rsidRPr="00632F82">
              <w:rPr>
                <w:rFonts w:ascii="Calibri" w:hAnsi="Calibri"/>
                <w:color w:val="000000"/>
                <w:sz w:val="20"/>
                <w:szCs w:val="20"/>
              </w:rPr>
              <w:t>2,062</w:t>
            </w:r>
          </w:p>
        </w:tc>
        <w:tc>
          <w:tcPr>
            <w:tcW w:w="1443" w:type="dxa"/>
            <w:tcBorders>
              <w:top w:val="single" w:sz="4" w:space="0" w:color="auto"/>
            </w:tcBorders>
            <w:shd w:val="clear" w:color="auto" w:fill="auto"/>
            <w:noWrap/>
            <w:vAlign w:val="bottom"/>
          </w:tcPr>
          <w:p w14:paraId="4F6656AC" w14:textId="404FD5A2" w:rsidR="00F7292C" w:rsidRPr="00632F82" w:rsidRDefault="00F7292C">
            <w:pPr>
              <w:jc w:val="center"/>
              <w:rPr>
                <w:rFonts w:ascii="Calibri" w:hAnsi="Calibri"/>
                <w:color w:val="000000"/>
                <w:sz w:val="20"/>
                <w:szCs w:val="20"/>
              </w:rPr>
            </w:pPr>
            <w:r w:rsidRPr="00632F82">
              <w:rPr>
                <w:rFonts w:ascii="Calibri" w:hAnsi="Calibri"/>
                <w:color w:val="000000"/>
                <w:sz w:val="20"/>
                <w:szCs w:val="20"/>
              </w:rPr>
              <w:t>46,853</w:t>
            </w:r>
          </w:p>
        </w:tc>
        <w:tc>
          <w:tcPr>
            <w:tcW w:w="1443" w:type="dxa"/>
            <w:tcBorders>
              <w:top w:val="single" w:sz="4" w:space="0" w:color="auto"/>
            </w:tcBorders>
            <w:shd w:val="clear" w:color="auto" w:fill="auto"/>
            <w:noWrap/>
            <w:vAlign w:val="bottom"/>
          </w:tcPr>
          <w:p w14:paraId="2417F434" w14:textId="51C37B8C" w:rsidR="00F7292C" w:rsidRPr="00632F82" w:rsidRDefault="00F7292C">
            <w:pPr>
              <w:jc w:val="center"/>
              <w:rPr>
                <w:rFonts w:ascii="Calibri" w:hAnsi="Calibri"/>
                <w:color w:val="000000"/>
                <w:sz w:val="20"/>
                <w:szCs w:val="20"/>
              </w:rPr>
            </w:pPr>
            <w:r w:rsidRPr="00632F82">
              <w:rPr>
                <w:rFonts w:ascii="Calibri" w:hAnsi="Calibri"/>
                <w:color w:val="000000"/>
                <w:sz w:val="20"/>
                <w:szCs w:val="20"/>
              </w:rPr>
              <w:t>-44,791</w:t>
            </w:r>
          </w:p>
        </w:tc>
        <w:tc>
          <w:tcPr>
            <w:tcW w:w="208" w:type="dxa"/>
            <w:tcBorders>
              <w:top w:val="single" w:sz="4" w:space="0" w:color="auto"/>
            </w:tcBorders>
            <w:vAlign w:val="bottom"/>
          </w:tcPr>
          <w:p w14:paraId="46004210"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tcBorders>
              <w:top w:val="single" w:sz="4" w:space="0" w:color="auto"/>
            </w:tcBorders>
            <w:shd w:val="clear" w:color="auto" w:fill="auto"/>
            <w:noWrap/>
            <w:vAlign w:val="bottom"/>
          </w:tcPr>
          <w:p w14:paraId="12F32B1E" w14:textId="53677F94" w:rsidR="00F7292C" w:rsidRPr="00632F82" w:rsidRDefault="00F7292C">
            <w:pPr>
              <w:jc w:val="center"/>
              <w:rPr>
                <w:rFonts w:ascii="Calibri" w:hAnsi="Calibri"/>
                <w:color w:val="000000"/>
                <w:sz w:val="20"/>
                <w:szCs w:val="20"/>
              </w:rPr>
            </w:pPr>
            <w:r w:rsidRPr="00632F82">
              <w:rPr>
                <w:rFonts w:ascii="Calibri" w:hAnsi="Calibri"/>
                <w:color w:val="000000"/>
                <w:sz w:val="20"/>
                <w:szCs w:val="20"/>
              </w:rPr>
              <w:t>11,121</w:t>
            </w:r>
          </w:p>
        </w:tc>
        <w:tc>
          <w:tcPr>
            <w:tcW w:w="1367" w:type="dxa"/>
            <w:tcBorders>
              <w:top w:val="single" w:sz="4" w:space="0" w:color="auto"/>
            </w:tcBorders>
            <w:shd w:val="clear" w:color="auto" w:fill="auto"/>
            <w:noWrap/>
            <w:vAlign w:val="bottom"/>
          </w:tcPr>
          <w:p w14:paraId="15C9E66F" w14:textId="449622D0" w:rsidR="00F7292C" w:rsidRPr="00632F82" w:rsidRDefault="00F7292C">
            <w:pPr>
              <w:jc w:val="center"/>
              <w:rPr>
                <w:rFonts w:ascii="Calibri" w:hAnsi="Calibri"/>
                <w:color w:val="000000"/>
                <w:sz w:val="20"/>
                <w:szCs w:val="20"/>
              </w:rPr>
            </w:pPr>
            <w:r w:rsidRPr="00632F82">
              <w:rPr>
                <w:rFonts w:ascii="Calibri" w:hAnsi="Calibri"/>
                <w:color w:val="000000"/>
                <w:sz w:val="20"/>
                <w:szCs w:val="20"/>
              </w:rPr>
              <w:t>31,490</w:t>
            </w:r>
          </w:p>
        </w:tc>
        <w:tc>
          <w:tcPr>
            <w:tcW w:w="1367" w:type="dxa"/>
            <w:tcBorders>
              <w:top w:val="single" w:sz="4" w:space="0" w:color="auto"/>
            </w:tcBorders>
            <w:shd w:val="clear" w:color="auto" w:fill="auto"/>
            <w:noWrap/>
            <w:vAlign w:val="bottom"/>
          </w:tcPr>
          <w:p w14:paraId="7D99DD34" w14:textId="4EC25B6E" w:rsidR="00F7292C" w:rsidRPr="00632F82" w:rsidRDefault="00F7292C">
            <w:pPr>
              <w:jc w:val="center"/>
              <w:rPr>
                <w:rFonts w:ascii="Calibri" w:hAnsi="Calibri"/>
                <w:color w:val="000000"/>
                <w:sz w:val="20"/>
                <w:szCs w:val="20"/>
              </w:rPr>
            </w:pPr>
            <w:r w:rsidRPr="00632F82">
              <w:rPr>
                <w:rFonts w:ascii="Calibri" w:hAnsi="Calibri"/>
                <w:color w:val="000000"/>
                <w:sz w:val="20"/>
                <w:szCs w:val="20"/>
              </w:rPr>
              <w:t>-20,369</w:t>
            </w:r>
          </w:p>
        </w:tc>
      </w:tr>
      <w:tr w:rsidR="00F7292C" w:rsidRPr="00632F82" w14:paraId="4F92EE65" w14:textId="77777777" w:rsidTr="00F7292C">
        <w:trPr>
          <w:trHeight w:hRule="exact" w:val="306"/>
        </w:trPr>
        <w:tc>
          <w:tcPr>
            <w:tcW w:w="3837" w:type="dxa"/>
            <w:shd w:val="clear" w:color="auto" w:fill="auto"/>
            <w:noWrap/>
            <w:vAlign w:val="bottom"/>
            <w:hideMark/>
          </w:tcPr>
          <w:p w14:paraId="26351AC3" w14:textId="77777777" w:rsidR="00F7292C" w:rsidRPr="00632F82" w:rsidRDefault="00F7292C" w:rsidP="00F7292C">
            <w:pPr>
              <w:spacing w:after="0" w:line="240" w:lineRule="auto"/>
              <w:rPr>
                <w:rFonts w:ascii="Calibri" w:hAnsi="Calibri"/>
                <w:color w:val="000000"/>
              </w:rPr>
            </w:pPr>
            <w:r w:rsidRPr="00632F82">
              <w:rPr>
                <w:bCs/>
                <w:sz w:val="20"/>
                <w:szCs w:val="20"/>
              </w:rPr>
              <w:t xml:space="preserve">N = </w:t>
            </w:r>
            <w:r w:rsidRPr="00632F82">
              <w:rPr>
                <w:rFonts w:ascii="Calibri" w:hAnsi="Calibri"/>
                <w:color w:val="000000"/>
                <w:sz w:val="20"/>
                <w:szCs w:val="20"/>
              </w:rPr>
              <w:t>1,418,740</w:t>
            </w:r>
          </w:p>
          <w:p w14:paraId="1F955B9B" w14:textId="3A3D7196" w:rsidR="00F7292C" w:rsidRPr="00632F82" w:rsidRDefault="00F7292C" w:rsidP="00F7292C">
            <w:pPr>
              <w:spacing w:after="0" w:line="240" w:lineRule="auto"/>
              <w:rPr>
                <w:rFonts w:ascii="Calibri" w:eastAsia="Times New Roman" w:hAnsi="Calibri" w:cs="Times New Roman"/>
                <w:color w:val="000000"/>
                <w:sz w:val="20"/>
                <w:szCs w:val="20"/>
              </w:rPr>
            </w:pPr>
          </w:p>
        </w:tc>
        <w:tc>
          <w:tcPr>
            <w:tcW w:w="1443" w:type="dxa"/>
            <w:shd w:val="clear" w:color="auto" w:fill="auto"/>
            <w:noWrap/>
            <w:vAlign w:val="bottom"/>
          </w:tcPr>
          <w:p w14:paraId="3FE80481" w14:textId="2E939719"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43018F5F"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2DE6066E" w14:textId="6F186409"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P=0.288</w:t>
            </w:r>
          </w:p>
        </w:tc>
        <w:tc>
          <w:tcPr>
            <w:tcW w:w="1443" w:type="dxa"/>
            <w:shd w:val="clear" w:color="auto" w:fill="auto"/>
            <w:noWrap/>
            <w:vAlign w:val="bottom"/>
          </w:tcPr>
          <w:p w14:paraId="6C917869" w14:textId="15C291D4"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23C534CE" w14:textId="64611C59"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5F878299"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6CAA1786" w14:textId="7C897438"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367" w:type="dxa"/>
            <w:shd w:val="clear" w:color="auto" w:fill="auto"/>
            <w:noWrap/>
            <w:vAlign w:val="bottom"/>
          </w:tcPr>
          <w:p w14:paraId="545557C1" w14:textId="403C8C25"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367" w:type="dxa"/>
            <w:shd w:val="clear" w:color="auto" w:fill="auto"/>
            <w:noWrap/>
            <w:vAlign w:val="bottom"/>
          </w:tcPr>
          <w:p w14:paraId="69146C7D" w14:textId="6DD92E65"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r>
      <w:tr w:rsidR="00F7292C" w:rsidRPr="00632F82" w14:paraId="56A0F238" w14:textId="77777777" w:rsidTr="00F7292C">
        <w:trPr>
          <w:trHeight w:hRule="exact" w:val="306"/>
        </w:trPr>
        <w:tc>
          <w:tcPr>
            <w:tcW w:w="3837" w:type="dxa"/>
            <w:shd w:val="clear" w:color="auto" w:fill="auto"/>
            <w:noWrap/>
            <w:vAlign w:val="bottom"/>
            <w:hideMark/>
          </w:tcPr>
          <w:p w14:paraId="52D0839D" w14:textId="3FD5D96B"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43" w:type="dxa"/>
            <w:shd w:val="clear" w:color="auto" w:fill="auto"/>
            <w:noWrap/>
            <w:vAlign w:val="bottom"/>
          </w:tcPr>
          <w:p w14:paraId="2455FF98" w14:textId="30572466" w:rsidR="00F7292C" w:rsidRPr="00632F82" w:rsidRDefault="00F7292C">
            <w:pPr>
              <w:jc w:val="center"/>
              <w:rPr>
                <w:rFonts w:ascii="Calibri" w:hAnsi="Calibri"/>
                <w:color w:val="000000"/>
                <w:sz w:val="20"/>
                <w:szCs w:val="20"/>
              </w:rPr>
            </w:pPr>
          </w:p>
        </w:tc>
        <w:tc>
          <w:tcPr>
            <w:tcW w:w="208" w:type="dxa"/>
            <w:vAlign w:val="bottom"/>
          </w:tcPr>
          <w:p w14:paraId="123B30BB"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03C9267E" w14:textId="2A306751"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56D657DC" w14:textId="1DF8638C"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77F57394" w14:textId="5D0FB285" w:rsidR="00F7292C" w:rsidRPr="00632F82" w:rsidRDefault="00F7292C">
            <w:pPr>
              <w:jc w:val="center"/>
              <w:rPr>
                <w:rFonts w:ascii="Calibri" w:hAnsi="Calibri"/>
                <w:color w:val="000000"/>
                <w:sz w:val="20"/>
                <w:szCs w:val="20"/>
              </w:rPr>
            </w:pPr>
          </w:p>
        </w:tc>
        <w:tc>
          <w:tcPr>
            <w:tcW w:w="208" w:type="dxa"/>
            <w:vAlign w:val="bottom"/>
          </w:tcPr>
          <w:p w14:paraId="1E5FDABF"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5E578D1A" w14:textId="2A5F647B"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5FCD15BB" w14:textId="289E7AE2"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59C7875D" w14:textId="62DCEC6B" w:rsidR="00F7292C" w:rsidRPr="00632F82" w:rsidRDefault="00F7292C">
            <w:pPr>
              <w:jc w:val="center"/>
              <w:rPr>
                <w:rFonts w:ascii="Calibri" w:hAnsi="Calibri"/>
                <w:color w:val="000000"/>
                <w:sz w:val="20"/>
                <w:szCs w:val="20"/>
              </w:rPr>
            </w:pPr>
          </w:p>
        </w:tc>
      </w:tr>
      <w:tr w:rsidR="00F7292C" w:rsidRPr="00632F82" w14:paraId="27269AE6" w14:textId="77777777" w:rsidTr="00F7292C">
        <w:trPr>
          <w:trHeight w:hRule="exact" w:val="306"/>
        </w:trPr>
        <w:tc>
          <w:tcPr>
            <w:tcW w:w="3837" w:type="dxa"/>
            <w:shd w:val="clear" w:color="auto" w:fill="auto"/>
            <w:noWrap/>
            <w:vAlign w:val="bottom"/>
            <w:hideMark/>
          </w:tcPr>
          <w:p w14:paraId="77793CB6" w14:textId="0A02B9F6"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MDC=05 Circulatory</w:t>
            </w:r>
          </w:p>
        </w:tc>
        <w:tc>
          <w:tcPr>
            <w:tcW w:w="1443" w:type="dxa"/>
            <w:shd w:val="clear" w:color="auto" w:fill="auto"/>
            <w:noWrap/>
            <w:vAlign w:val="bottom"/>
          </w:tcPr>
          <w:p w14:paraId="011B0151" w14:textId="25A4CEE9" w:rsidR="00F7292C" w:rsidRPr="00632F82" w:rsidRDefault="00F7292C">
            <w:pPr>
              <w:jc w:val="center"/>
              <w:rPr>
                <w:rFonts w:ascii="Calibri" w:hAnsi="Calibri"/>
                <w:color w:val="000000"/>
                <w:sz w:val="20"/>
                <w:szCs w:val="20"/>
              </w:rPr>
            </w:pPr>
            <w:r w:rsidRPr="00632F82">
              <w:rPr>
                <w:rFonts w:ascii="Calibri" w:hAnsi="Calibri"/>
                <w:color w:val="000000"/>
                <w:sz w:val="20"/>
                <w:szCs w:val="20"/>
              </w:rPr>
              <w:t>-5,637</w:t>
            </w:r>
          </w:p>
        </w:tc>
        <w:tc>
          <w:tcPr>
            <w:tcW w:w="208" w:type="dxa"/>
            <w:vAlign w:val="bottom"/>
          </w:tcPr>
          <w:p w14:paraId="040E22D2"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2D5A9414" w14:textId="3EA2917E" w:rsidR="00F7292C" w:rsidRPr="00632F82" w:rsidRDefault="00F7292C">
            <w:pPr>
              <w:jc w:val="center"/>
              <w:rPr>
                <w:rFonts w:ascii="Calibri" w:hAnsi="Calibri"/>
                <w:color w:val="000000"/>
                <w:sz w:val="20"/>
                <w:szCs w:val="20"/>
              </w:rPr>
            </w:pPr>
            <w:r w:rsidRPr="00632F82">
              <w:rPr>
                <w:rFonts w:ascii="Calibri" w:hAnsi="Calibri"/>
                <w:color w:val="000000"/>
                <w:sz w:val="20"/>
                <w:szCs w:val="20"/>
              </w:rPr>
              <w:t>-18,720</w:t>
            </w:r>
          </w:p>
        </w:tc>
        <w:tc>
          <w:tcPr>
            <w:tcW w:w="1443" w:type="dxa"/>
            <w:shd w:val="clear" w:color="auto" w:fill="auto"/>
            <w:noWrap/>
            <w:vAlign w:val="bottom"/>
          </w:tcPr>
          <w:p w14:paraId="06EF94AD" w14:textId="7DB4683C" w:rsidR="00F7292C" w:rsidRPr="00632F82" w:rsidRDefault="00F7292C">
            <w:pPr>
              <w:jc w:val="center"/>
              <w:rPr>
                <w:rFonts w:ascii="Calibri" w:hAnsi="Calibri"/>
                <w:color w:val="000000"/>
                <w:sz w:val="20"/>
                <w:szCs w:val="20"/>
              </w:rPr>
            </w:pPr>
            <w:r w:rsidRPr="00632F82">
              <w:rPr>
                <w:rFonts w:ascii="Calibri" w:hAnsi="Calibri"/>
                <w:color w:val="000000"/>
                <w:sz w:val="20"/>
                <w:szCs w:val="20"/>
              </w:rPr>
              <w:t>21,673</w:t>
            </w:r>
          </w:p>
        </w:tc>
        <w:tc>
          <w:tcPr>
            <w:tcW w:w="1443" w:type="dxa"/>
            <w:shd w:val="clear" w:color="auto" w:fill="auto"/>
            <w:noWrap/>
            <w:vAlign w:val="bottom"/>
          </w:tcPr>
          <w:p w14:paraId="30275706" w14:textId="0D0FC15B" w:rsidR="00F7292C" w:rsidRPr="00632F82" w:rsidRDefault="00F7292C">
            <w:pPr>
              <w:jc w:val="center"/>
              <w:rPr>
                <w:rFonts w:ascii="Calibri" w:hAnsi="Calibri"/>
                <w:color w:val="000000"/>
                <w:sz w:val="20"/>
                <w:szCs w:val="20"/>
              </w:rPr>
            </w:pPr>
            <w:r w:rsidRPr="00632F82">
              <w:rPr>
                <w:rFonts w:ascii="Calibri" w:hAnsi="Calibri"/>
                <w:color w:val="000000"/>
                <w:sz w:val="20"/>
                <w:szCs w:val="20"/>
              </w:rPr>
              <w:t>-40,393</w:t>
            </w:r>
          </w:p>
        </w:tc>
        <w:tc>
          <w:tcPr>
            <w:tcW w:w="208" w:type="dxa"/>
            <w:vAlign w:val="bottom"/>
          </w:tcPr>
          <w:p w14:paraId="70425CC7"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3CEE2D73" w14:textId="307987C4" w:rsidR="00F7292C" w:rsidRPr="00632F82" w:rsidRDefault="00F7292C">
            <w:pPr>
              <w:jc w:val="center"/>
              <w:rPr>
                <w:rFonts w:ascii="Calibri" w:hAnsi="Calibri"/>
                <w:color w:val="000000"/>
                <w:sz w:val="20"/>
                <w:szCs w:val="20"/>
              </w:rPr>
            </w:pPr>
            <w:r w:rsidRPr="00632F82">
              <w:rPr>
                <w:rFonts w:ascii="Calibri" w:hAnsi="Calibri"/>
                <w:color w:val="000000"/>
                <w:sz w:val="20"/>
                <w:szCs w:val="20"/>
              </w:rPr>
              <w:t>-7,877</w:t>
            </w:r>
          </w:p>
        </w:tc>
        <w:tc>
          <w:tcPr>
            <w:tcW w:w="1367" w:type="dxa"/>
            <w:shd w:val="clear" w:color="auto" w:fill="auto"/>
            <w:noWrap/>
            <w:vAlign w:val="bottom"/>
          </w:tcPr>
          <w:p w14:paraId="18526D45" w14:textId="415A3D86" w:rsidR="00F7292C" w:rsidRPr="00632F82" w:rsidRDefault="00F7292C">
            <w:pPr>
              <w:jc w:val="center"/>
              <w:rPr>
                <w:rFonts w:ascii="Calibri" w:hAnsi="Calibri"/>
                <w:color w:val="000000"/>
                <w:sz w:val="20"/>
                <w:szCs w:val="20"/>
              </w:rPr>
            </w:pPr>
            <w:r w:rsidRPr="00632F82">
              <w:rPr>
                <w:rFonts w:ascii="Calibri" w:hAnsi="Calibri"/>
                <w:color w:val="000000"/>
                <w:sz w:val="20"/>
                <w:szCs w:val="20"/>
              </w:rPr>
              <w:t>-1,733</w:t>
            </w:r>
          </w:p>
        </w:tc>
        <w:tc>
          <w:tcPr>
            <w:tcW w:w="1367" w:type="dxa"/>
            <w:shd w:val="clear" w:color="auto" w:fill="auto"/>
            <w:noWrap/>
            <w:vAlign w:val="bottom"/>
          </w:tcPr>
          <w:p w14:paraId="2D36B766" w14:textId="3DF716EB" w:rsidR="00F7292C" w:rsidRPr="00632F82" w:rsidRDefault="00F7292C">
            <w:pPr>
              <w:jc w:val="center"/>
              <w:rPr>
                <w:rFonts w:ascii="Calibri" w:hAnsi="Calibri"/>
                <w:color w:val="000000"/>
                <w:sz w:val="20"/>
                <w:szCs w:val="20"/>
              </w:rPr>
            </w:pPr>
            <w:r w:rsidRPr="00632F82">
              <w:rPr>
                <w:rFonts w:ascii="Calibri" w:hAnsi="Calibri"/>
                <w:color w:val="000000"/>
                <w:sz w:val="20"/>
                <w:szCs w:val="20"/>
              </w:rPr>
              <w:t>-6,145</w:t>
            </w:r>
          </w:p>
        </w:tc>
      </w:tr>
      <w:tr w:rsidR="00F7292C" w:rsidRPr="00632F82" w14:paraId="208A5F80" w14:textId="77777777" w:rsidTr="00F7292C">
        <w:trPr>
          <w:trHeight w:hRule="exact" w:val="306"/>
        </w:trPr>
        <w:tc>
          <w:tcPr>
            <w:tcW w:w="3837" w:type="dxa"/>
            <w:shd w:val="clear" w:color="auto" w:fill="auto"/>
            <w:noWrap/>
            <w:vAlign w:val="bottom"/>
            <w:hideMark/>
          </w:tcPr>
          <w:p w14:paraId="3D03C8F2" w14:textId="77777777" w:rsidR="00F7292C" w:rsidRPr="00632F82" w:rsidRDefault="00F7292C" w:rsidP="00F7292C">
            <w:pPr>
              <w:spacing w:after="0" w:line="240" w:lineRule="auto"/>
              <w:rPr>
                <w:rFonts w:ascii="Calibri" w:hAnsi="Calibri"/>
                <w:color w:val="000000"/>
              </w:rPr>
            </w:pPr>
            <w:r w:rsidRPr="00632F82">
              <w:rPr>
                <w:bCs/>
                <w:sz w:val="20"/>
                <w:szCs w:val="20"/>
              </w:rPr>
              <w:t xml:space="preserve">N = </w:t>
            </w:r>
            <w:r w:rsidRPr="00632F82">
              <w:rPr>
                <w:rFonts w:ascii="Calibri" w:hAnsi="Calibri"/>
                <w:color w:val="000000"/>
                <w:sz w:val="20"/>
                <w:szCs w:val="20"/>
              </w:rPr>
              <w:t>2,081,108</w:t>
            </w:r>
          </w:p>
          <w:p w14:paraId="5540B604" w14:textId="77777777" w:rsidR="00F7292C" w:rsidRPr="00632F82" w:rsidRDefault="00F7292C" w:rsidP="00F7292C">
            <w:pPr>
              <w:spacing w:after="0" w:line="240" w:lineRule="auto"/>
              <w:rPr>
                <w:rFonts w:ascii="Calibri" w:hAnsi="Calibri"/>
                <w:color w:val="000000"/>
              </w:rPr>
            </w:pPr>
          </w:p>
          <w:p w14:paraId="0F11310A" w14:textId="2F59B0E6" w:rsidR="00F7292C" w:rsidRPr="00632F82" w:rsidRDefault="00F7292C" w:rsidP="00F7292C">
            <w:pPr>
              <w:spacing w:after="0" w:line="240" w:lineRule="auto"/>
              <w:rPr>
                <w:rFonts w:ascii="Calibri" w:eastAsia="Times New Roman" w:hAnsi="Calibri" w:cs="Times New Roman"/>
                <w:color w:val="000000"/>
                <w:sz w:val="20"/>
                <w:szCs w:val="20"/>
              </w:rPr>
            </w:pPr>
          </w:p>
        </w:tc>
        <w:tc>
          <w:tcPr>
            <w:tcW w:w="1443" w:type="dxa"/>
            <w:shd w:val="clear" w:color="auto" w:fill="auto"/>
            <w:noWrap/>
            <w:vAlign w:val="bottom"/>
          </w:tcPr>
          <w:p w14:paraId="21930B0D" w14:textId="679E98AF"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211BB0F7"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3E60B2E5" w14:textId="4A5464D0"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1EBBD9C1" w14:textId="22AC6757"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279D7D6F" w14:textId="4B053E09"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5FE1C744"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73A66187" w14:textId="2329B969"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367" w:type="dxa"/>
            <w:shd w:val="clear" w:color="auto" w:fill="auto"/>
            <w:noWrap/>
            <w:vAlign w:val="bottom"/>
          </w:tcPr>
          <w:p w14:paraId="50F8727A" w14:textId="203E376C"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P=0.318</w:t>
            </w:r>
          </w:p>
        </w:tc>
        <w:tc>
          <w:tcPr>
            <w:tcW w:w="1367" w:type="dxa"/>
            <w:shd w:val="clear" w:color="auto" w:fill="auto"/>
            <w:noWrap/>
            <w:vAlign w:val="bottom"/>
          </w:tcPr>
          <w:p w14:paraId="664C84AA" w14:textId="0DE0F9F6"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r>
      <w:tr w:rsidR="00F7292C" w:rsidRPr="00632F82" w14:paraId="48C80BAC" w14:textId="77777777" w:rsidTr="00F7292C">
        <w:trPr>
          <w:trHeight w:hRule="exact" w:val="306"/>
        </w:trPr>
        <w:tc>
          <w:tcPr>
            <w:tcW w:w="3837" w:type="dxa"/>
            <w:shd w:val="clear" w:color="auto" w:fill="auto"/>
            <w:noWrap/>
            <w:vAlign w:val="bottom"/>
            <w:hideMark/>
          </w:tcPr>
          <w:p w14:paraId="777E80FF" w14:textId="0AE21009"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43" w:type="dxa"/>
            <w:shd w:val="clear" w:color="auto" w:fill="auto"/>
            <w:noWrap/>
            <w:vAlign w:val="bottom"/>
          </w:tcPr>
          <w:p w14:paraId="4B27AC20" w14:textId="1A1C3300" w:rsidR="00F7292C" w:rsidRPr="00632F82" w:rsidRDefault="00F7292C">
            <w:pPr>
              <w:jc w:val="center"/>
              <w:rPr>
                <w:rFonts w:ascii="Calibri" w:hAnsi="Calibri"/>
                <w:color w:val="000000"/>
                <w:sz w:val="20"/>
                <w:szCs w:val="20"/>
              </w:rPr>
            </w:pPr>
          </w:p>
        </w:tc>
        <w:tc>
          <w:tcPr>
            <w:tcW w:w="208" w:type="dxa"/>
            <w:vAlign w:val="bottom"/>
          </w:tcPr>
          <w:p w14:paraId="4C031A45"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2E13B052" w14:textId="3E408F27"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445FF8CE" w14:textId="4DC0A827"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30D8C776" w14:textId="72FFC9F7" w:rsidR="00F7292C" w:rsidRPr="00632F82" w:rsidRDefault="00F7292C">
            <w:pPr>
              <w:jc w:val="center"/>
              <w:rPr>
                <w:rFonts w:ascii="Calibri" w:hAnsi="Calibri"/>
                <w:color w:val="000000"/>
                <w:sz w:val="20"/>
                <w:szCs w:val="20"/>
              </w:rPr>
            </w:pPr>
          </w:p>
        </w:tc>
        <w:tc>
          <w:tcPr>
            <w:tcW w:w="208" w:type="dxa"/>
            <w:vAlign w:val="bottom"/>
          </w:tcPr>
          <w:p w14:paraId="0768BE6E"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585E3D27" w14:textId="5066A72D"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325CEE0A" w14:textId="0D284F2E"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3224CC8D" w14:textId="5E72456A" w:rsidR="00F7292C" w:rsidRPr="00632F82" w:rsidRDefault="00F7292C">
            <w:pPr>
              <w:jc w:val="center"/>
              <w:rPr>
                <w:rFonts w:ascii="Calibri" w:hAnsi="Calibri"/>
                <w:color w:val="000000"/>
                <w:sz w:val="20"/>
                <w:szCs w:val="20"/>
              </w:rPr>
            </w:pPr>
          </w:p>
        </w:tc>
      </w:tr>
      <w:tr w:rsidR="00F7292C" w:rsidRPr="00632F82" w14:paraId="48166607" w14:textId="77777777" w:rsidTr="00F7292C">
        <w:trPr>
          <w:trHeight w:hRule="exact" w:val="306"/>
        </w:trPr>
        <w:tc>
          <w:tcPr>
            <w:tcW w:w="3837" w:type="dxa"/>
            <w:shd w:val="clear" w:color="auto" w:fill="auto"/>
            <w:noWrap/>
            <w:vAlign w:val="bottom"/>
            <w:hideMark/>
          </w:tcPr>
          <w:p w14:paraId="3D74A624" w14:textId="1D8DEF8E"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MDC=06 Digestive</w:t>
            </w:r>
          </w:p>
        </w:tc>
        <w:tc>
          <w:tcPr>
            <w:tcW w:w="1443" w:type="dxa"/>
            <w:shd w:val="clear" w:color="auto" w:fill="auto"/>
            <w:noWrap/>
            <w:vAlign w:val="bottom"/>
          </w:tcPr>
          <w:p w14:paraId="3F16990E" w14:textId="692BDC98" w:rsidR="00F7292C" w:rsidRPr="00632F82" w:rsidRDefault="00F7292C">
            <w:pPr>
              <w:jc w:val="center"/>
              <w:rPr>
                <w:rFonts w:ascii="Calibri" w:hAnsi="Calibri"/>
                <w:color w:val="000000"/>
                <w:sz w:val="20"/>
                <w:szCs w:val="20"/>
              </w:rPr>
            </w:pPr>
            <w:r w:rsidRPr="00632F82">
              <w:rPr>
                <w:rFonts w:ascii="Calibri" w:hAnsi="Calibri"/>
                <w:color w:val="000000"/>
                <w:sz w:val="20"/>
                <w:szCs w:val="20"/>
              </w:rPr>
              <w:t>-3,493</w:t>
            </w:r>
          </w:p>
        </w:tc>
        <w:tc>
          <w:tcPr>
            <w:tcW w:w="208" w:type="dxa"/>
            <w:vAlign w:val="bottom"/>
          </w:tcPr>
          <w:p w14:paraId="60FA9017"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0776B2AD" w14:textId="52BAB465" w:rsidR="00F7292C" w:rsidRPr="00632F82" w:rsidRDefault="00F7292C">
            <w:pPr>
              <w:jc w:val="center"/>
              <w:rPr>
                <w:rFonts w:ascii="Calibri" w:hAnsi="Calibri"/>
                <w:color w:val="000000"/>
                <w:sz w:val="20"/>
                <w:szCs w:val="20"/>
              </w:rPr>
            </w:pPr>
            <w:r w:rsidRPr="00632F82">
              <w:rPr>
                <w:rFonts w:ascii="Calibri" w:hAnsi="Calibri"/>
                <w:color w:val="000000"/>
                <w:sz w:val="20"/>
                <w:szCs w:val="20"/>
              </w:rPr>
              <w:t>-19,749</w:t>
            </w:r>
          </w:p>
        </w:tc>
        <w:tc>
          <w:tcPr>
            <w:tcW w:w="1443" w:type="dxa"/>
            <w:shd w:val="clear" w:color="auto" w:fill="auto"/>
            <w:noWrap/>
            <w:vAlign w:val="bottom"/>
          </w:tcPr>
          <w:p w14:paraId="6FB15509" w14:textId="5FA76639" w:rsidR="00F7292C" w:rsidRPr="00632F82" w:rsidRDefault="00F7292C">
            <w:pPr>
              <w:jc w:val="center"/>
              <w:rPr>
                <w:rFonts w:ascii="Calibri" w:hAnsi="Calibri"/>
                <w:color w:val="000000"/>
                <w:sz w:val="20"/>
                <w:szCs w:val="20"/>
              </w:rPr>
            </w:pPr>
            <w:r w:rsidRPr="00632F82">
              <w:rPr>
                <w:rFonts w:ascii="Calibri" w:hAnsi="Calibri"/>
                <w:color w:val="000000"/>
                <w:sz w:val="20"/>
                <w:szCs w:val="20"/>
              </w:rPr>
              <w:t>8,012</w:t>
            </w:r>
          </w:p>
        </w:tc>
        <w:tc>
          <w:tcPr>
            <w:tcW w:w="1443" w:type="dxa"/>
            <w:shd w:val="clear" w:color="auto" w:fill="auto"/>
            <w:noWrap/>
            <w:vAlign w:val="bottom"/>
          </w:tcPr>
          <w:p w14:paraId="01183156" w14:textId="34098940" w:rsidR="00F7292C" w:rsidRPr="00632F82" w:rsidRDefault="00F7292C">
            <w:pPr>
              <w:jc w:val="center"/>
              <w:rPr>
                <w:rFonts w:ascii="Calibri" w:hAnsi="Calibri"/>
                <w:color w:val="000000"/>
                <w:sz w:val="20"/>
                <w:szCs w:val="20"/>
              </w:rPr>
            </w:pPr>
            <w:r w:rsidRPr="00632F82">
              <w:rPr>
                <w:rFonts w:ascii="Calibri" w:hAnsi="Calibri"/>
                <w:color w:val="000000"/>
                <w:sz w:val="20"/>
                <w:szCs w:val="20"/>
              </w:rPr>
              <w:t>-27,761</w:t>
            </w:r>
          </w:p>
        </w:tc>
        <w:tc>
          <w:tcPr>
            <w:tcW w:w="208" w:type="dxa"/>
            <w:vAlign w:val="bottom"/>
          </w:tcPr>
          <w:p w14:paraId="1829557C"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04C13418" w14:textId="6CE32F58" w:rsidR="00F7292C" w:rsidRPr="00632F82" w:rsidRDefault="00F7292C">
            <w:pPr>
              <w:jc w:val="center"/>
              <w:rPr>
                <w:rFonts w:ascii="Calibri" w:hAnsi="Calibri"/>
                <w:color w:val="000000"/>
                <w:sz w:val="20"/>
                <w:szCs w:val="20"/>
              </w:rPr>
            </w:pPr>
            <w:r w:rsidRPr="00632F82">
              <w:rPr>
                <w:rFonts w:ascii="Calibri" w:hAnsi="Calibri"/>
                <w:color w:val="000000"/>
                <w:sz w:val="20"/>
                <w:szCs w:val="20"/>
              </w:rPr>
              <w:t>-3,123</w:t>
            </w:r>
          </w:p>
        </w:tc>
        <w:tc>
          <w:tcPr>
            <w:tcW w:w="1367" w:type="dxa"/>
            <w:shd w:val="clear" w:color="auto" w:fill="auto"/>
            <w:noWrap/>
            <w:vAlign w:val="bottom"/>
          </w:tcPr>
          <w:p w14:paraId="02F8249F" w14:textId="629C2DAA" w:rsidR="00F7292C" w:rsidRPr="00632F82" w:rsidRDefault="00F7292C">
            <w:pPr>
              <w:jc w:val="center"/>
              <w:rPr>
                <w:rFonts w:ascii="Calibri" w:hAnsi="Calibri"/>
                <w:color w:val="000000"/>
                <w:sz w:val="20"/>
                <w:szCs w:val="20"/>
              </w:rPr>
            </w:pPr>
            <w:r w:rsidRPr="00632F82">
              <w:rPr>
                <w:rFonts w:ascii="Calibri" w:hAnsi="Calibri"/>
                <w:color w:val="000000"/>
                <w:sz w:val="20"/>
                <w:szCs w:val="20"/>
              </w:rPr>
              <w:t>-6,072</w:t>
            </w:r>
          </w:p>
        </w:tc>
        <w:tc>
          <w:tcPr>
            <w:tcW w:w="1367" w:type="dxa"/>
            <w:shd w:val="clear" w:color="auto" w:fill="auto"/>
            <w:noWrap/>
            <w:vAlign w:val="bottom"/>
          </w:tcPr>
          <w:p w14:paraId="04A1A3D2" w14:textId="1C90C5C6" w:rsidR="00F7292C" w:rsidRPr="00632F82" w:rsidRDefault="00F7292C">
            <w:pPr>
              <w:jc w:val="center"/>
              <w:rPr>
                <w:rFonts w:ascii="Calibri" w:hAnsi="Calibri"/>
                <w:color w:val="000000"/>
                <w:sz w:val="20"/>
                <w:szCs w:val="20"/>
              </w:rPr>
            </w:pPr>
            <w:r w:rsidRPr="00632F82">
              <w:rPr>
                <w:rFonts w:ascii="Calibri" w:hAnsi="Calibri"/>
                <w:color w:val="000000"/>
                <w:sz w:val="20"/>
                <w:szCs w:val="20"/>
              </w:rPr>
              <w:t>2,949</w:t>
            </w:r>
          </w:p>
        </w:tc>
      </w:tr>
      <w:tr w:rsidR="00F7292C" w:rsidRPr="00632F82" w14:paraId="4BF6624C" w14:textId="77777777" w:rsidTr="00F7292C">
        <w:trPr>
          <w:trHeight w:hRule="exact" w:val="306"/>
        </w:trPr>
        <w:tc>
          <w:tcPr>
            <w:tcW w:w="3837" w:type="dxa"/>
            <w:shd w:val="clear" w:color="auto" w:fill="auto"/>
            <w:noWrap/>
            <w:vAlign w:val="bottom"/>
            <w:hideMark/>
          </w:tcPr>
          <w:p w14:paraId="5F855CD5" w14:textId="77777777" w:rsidR="00F7292C" w:rsidRPr="00632F82" w:rsidRDefault="00F7292C" w:rsidP="00F7292C">
            <w:pPr>
              <w:spacing w:after="0" w:line="240" w:lineRule="auto"/>
              <w:rPr>
                <w:rFonts w:ascii="Calibri" w:hAnsi="Calibri"/>
                <w:color w:val="000000"/>
              </w:rPr>
            </w:pPr>
            <w:r w:rsidRPr="00632F82">
              <w:rPr>
                <w:bCs/>
                <w:sz w:val="20"/>
                <w:szCs w:val="20"/>
              </w:rPr>
              <w:t xml:space="preserve">N = </w:t>
            </w:r>
            <w:r w:rsidRPr="00632F82">
              <w:rPr>
                <w:rFonts w:ascii="Calibri" w:hAnsi="Calibri"/>
                <w:color w:val="000000"/>
                <w:sz w:val="20"/>
                <w:szCs w:val="20"/>
              </w:rPr>
              <w:t>941,361</w:t>
            </w:r>
          </w:p>
          <w:p w14:paraId="1E54EC3F" w14:textId="5DF93CB5" w:rsidR="00F7292C" w:rsidRPr="00632F82" w:rsidRDefault="00F7292C" w:rsidP="00F7292C">
            <w:pPr>
              <w:spacing w:after="0" w:line="240" w:lineRule="auto"/>
              <w:rPr>
                <w:rFonts w:ascii="Calibri" w:eastAsia="Times New Roman" w:hAnsi="Calibri" w:cs="Times New Roman"/>
                <w:color w:val="000000"/>
                <w:sz w:val="20"/>
                <w:szCs w:val="20"/>
              </w:rPr>
            </w:pPr>
          </w:p>
        </w:tc>
        <w:tc>
          <w:tcPr>
            <w:tcW w:w="1443" w:type="dxa"/>
            <w:shd w:val="clear" w:color="auto" w:fill="auto"/>
            <w:noWrap/>
            <w:vAlign w:val="bottom"/>
          </w:tcPr>
          <w:p w14:paraId="3AF7E755" w14:textId="2835B74A"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5372756E"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690FD6B9" w14:textId="2FC55A7D"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1FAD6847" w14:textId="412D47A0"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5A8622F0" w14:textId="01219348"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66F74566"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372E4FB1" w14:textId="001BCF95"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P=0.026</w:t>
            </w:r>
          </w:p>
        </w:tc>
        <w:tc>
          <w:tcPr>
            <w:tcW w:w="1367" w:type="dxa"/>
            <w:shd w:val="clear" w:color="auto" w:fill="auto"/>
            <w:noWrap/>
            <w:vAlign w:val="bottom"/>
          </w:tcPr>
          <w:p w14:paraId="06B419E3" w14:textId="371A7A4B"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367" w:type="dxa"/>
            <w:shd w:val="clear" w:color="auto" w:fill="auto"/>
            <w:noWrap/>
            <w:vAlign w:val="bottom"/>
          </w:tcPr>
          <w:p w14:paraId="4651D21C" w14:textId="5AFF6F35"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P=0.070</w:t>
            </w:r>
          </w:p>
        </w:tc>
      </w:tr>
      <w:tr w:rsidR="00F7292C" w:rsidRPr="00632F82" w14:paraId="5B24228E" w14:textId="77777777" w:rsidTr="00F7292C">
        <w:trPr>
          <w:trHeight w:hRule="exact" w:val="306"/>
        </w:trPr>
        <w:tc>
          <w:tcPr>
            <w:tcW w:w="3837" w:type="dxa"/>
            <w:shd w:val="clear" w:color="auto" w:fill="auto"/>
            <w:noWrap/>
            <w:vAlign w:val="bottom"/>
            <w:hideMark/>
          </w:tcPr>
          <w:p w14:paraId="4625ED8D" w14:textId="145A2DC2"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43" w:type="dxa"/>
            <w:shd w:val="clear" w:color="auto" w:fill="auto"/>
            <w:noWrap/>
            <w:vAlign w:val="bottom"/>
          </w:tcPr>
          <w:p w14:paraId="3817224D" w14:textId="46DD4797" w:rsidR="00F7292C" w:rsidRPr="00632F82" w:rsidRDefault="00F7292C">
            <w:pPr>
              <w:jc w:val="center"/>
              <w:rPr>
                <w:rFonts w:ascii="Calibri" w:hAnsi="Calibri"/>
                <w:color w:val="000000"/>
                <w:sz w:val="20"/>
                <w:szCs w:val="20"/>
              </w:rPr>
            </w:pPr>
          </w:p>
        </w:tc>
        <w:tc>
          <w:tcPr>
            <w:tcW w:w="208" w:type="dxa"/>
            <w:vAlign w:val="bottom"/>
          </w:tcPr>
          <w:p w14:paraId="6A8BA2E9"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09F5B4AA" w14:textId="59F3F4DA"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3220A670" w14:textId="7F052D3A"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299DF7DF" w14:textId="04A508B4" w:rsidR="00F7292C" w:rsidRPr="00632F82" w:rsidRDefault="00F7292C">
            <w:pPr>
              <w:jc w:val="center"/>
              <w:rPr>
                <w:rFonts w:ascii="Calibri" w:hAnsi="Calibri"/>
                <w:color w:val="000000"/>
                <w:sz w:val="20"/>
                <w:szCs w:val="20"/>
              </w:rPr>
            </w:pPr>
          </w:p>
        </w:tc>
        <w:tc>
          <w:tcPr>
            <w:tcW w:w="208" w:type="dxa"/>
            <w:vAlign w:val="bottom"/>
          </w:tcPr>
          <w:p w14:paraId="2C3AF00B"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6C179B27" w14:textId="60DDEC11"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60A81A1B" w14:textId="3CB62BFB"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2BFE703A" w14:textId="33C213ED" w:rsidR="00F7292C" w:rsidRPr="00632F82" w:rsidRDefault="00F7292C">
            <w:pPr>
              <w:jc w:val="center"/>
              <w:rPr>
                <w:rFonts w:ascii="Calibri" w:hAnsi="Calibri"/>
                <w:color w:val="000000"/>
                <w:sz w:val="20"/>
                <w:szCs w:val="20"/>
              </w:rPr>
            </w:pPr>
          </w:p>
        </w:tc>
      </w:tr>
      <w:tr w:rsidR="00F7292C" w:rsidRPr="00632F82" w14:paraId="5BAD69B2" w14:textId="77777777" w:rsidTr="00F7292C">
        <w:trPr>
          <w:trHeight w:hRule="exact" w:val="306"/>
        </w:trPr>
        <w:tc>
          <w:tcPr>
            <w:tcW w:w="3837" w:type="dxa"/>
            <w:shd w:val="clear" w:color="auto" w:fill="auto"/>
            <w:noWrap/>
            <w:vAlign w:val="bottom"/>
            <w:hideMark/>
          </w:tcPr>
          <w:p w14:paraId="144E985A" w14:textId="629A155C" w:rsidR="00F7292C" w:rsidRPr="00632F82" w:rsidRDefault="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MDC=08 Musculoskeletal &amp; Connective</w:t>
            </w:r>
            <w:r w:rsidRPr="00632F82" w:rsidDel="00C87062">
              <w:rPr>
                <w:rFonts w:ascii="Calibri" w:eastAsia="Times New Roman" w:hAnsi="Calibri" w:cs="Times New Roman"/>
                <w:color w:val="000000"/>
                <w:sz w:val="20"/>
                <w:szCs w:val="20"/>
              </w:rPr>
              <w:t xml:space="preserve"> </w:t>
            </w:r>
          </w:p>
        </w:tc>
        <w:tc>
          <w:tcPr>
            <w:tcW w:w="1443" w:type="dxa"/>
            <w:shd w:val="clear" w:color="auto" w:fill="auto"/>
            <w:noWrap/>
            <w:vAlign w:val="bottom"/>
          </w:tcPr>
          <w:p w14:paraId="2637645A" w14:textId="4C3258DE" w:rsidR="00F7292C" w:rsidRPr="00632F82" w:rsidRDefault="00F7292C">
            <w:pPr>
              <w:jc w:val="center"/>
              <w:rPr>
                <w:rFonts w:ascii="Calibri" w:hAnsi="Calibri"/>
                <w:color w:val="000000"/>
                <w:sz w:val="20"/>
                <w:szCs w:val="20"/>
              </w:rPr>
            </w:pPr>
            <w:r w:rsidRPr="00632F82">
              <w:rPr>
                <w:rFonts w:ascii="Calibri" w:hAnsi="Calibri"/>
                <w:color w:val="000000"/>
                <w:sz w:val="20"/>
                <w:szCs w:val="20"/>
              </w:rPr>
              <w:t>3,337</w:t>
            </w:r>
          </w:p>
        </w:tc>
        <w:tc>
          <w:tcPr>
            <w:tcW w:w="208" w:type="dxa"/>
            <w:vAlign w:val="bottom"/>
          </w:tcPr>
          <w:p w14:paraId="36119841"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5C0ABAFF" w14:textId="42880C72" w:rsidR="00F7292C" w:rsidRPr="00632F82" w:rsidRDefault="00F7292C">
            <w:pPr>
              <w:jc w:val="center"/>
              <w:rPr>
                <w:rFonts w:ascii="Calibri" w:hAnsi="Calibri"/>
                <w:color w:val="000000"/>
                <w:sz w:val="20"/>
                <w:szCs w:val="20"/>
              </w:rPr>
            </w:pPr>
            <w:r w:rsidRPr="00632F82">
              <w:rPr>
                <w:rFonts w:ascii="Calibri" w:hAnsi="Calibri"/>
                <w:color w:val="000000"/>
                <w:sz w:val="20"/>
                <w:szCs w:val="20"/>
              </w:rPr>
              <w:t>-13,742</w:t>
            </w:r>
          </w:p>
        </w:tc>
        <w:tc>
          <w:tcPr>
            <w:tcW w:w="1443" w:type="dxa"/>
            <w:shd w:val="clear" w:color="auto" w:fill="auto"/>
            <w:noWrap/>
            <w:vAlign w:val="bottom"/>
          </w:tcPr>
          <w:p w14:paraId="22B4AA1F" w14:textId="78525C69" w:rsidR="00F7292C" w:rsidRPr="00632F82" w:rsidRDefault="00F7292C">
            <w:pPr>
              <w:jc w:val="center"/>
              <w:rPr>
                <w:rFonts w:ascii="Calibri" w:hAnsi="Calibri"/>
                <w:color w:val="000000"/>
                <w:sz w:val="20"/>
                <w:szCs w:val="20"/>
              </w:rPr>
            </w:pPr>
            <w:r w:rsidRPr="00632F82">
              <w:rPr>
                <w:rFonts w:ascii="Calibri" w:hAnsi="Calibri"/>
                <w:color w:val="000000"/>
                <w:sz w:val="20"/>
                <w:szCs w:val="20"/>
              </w:rPr>
              <w:t>11,904</w:t>
            </w:r>
          </w:p>
        </w:tc>
        <w:tc>
          <w:tcPr>
            <w:tcW w:w="1443" w:type="dxa"/>
            <w:shd w:val="clear" w:color="auto" w:fill="auto"/>
            <w:noWrap/>
            <w:vAlign w:val="bottom"/>
          </w:tcPr>
          <w:p w14:paraId="07EF26CE" w14:textId="0AB010AC" w:rsidR="00F7292C" w:rsidRPr="00632F82" w:rsidRDefault="00F7292C">
            <w:pPr>
              <w:jc w:val="center"/>
              <w:rPr>
                <w:rFonts w:ascii="Calibri" w:hAnsi="Calibri"/>
                <w:color w:val="000000"/>
                <w:sz w:val="20"/>
                <w:szCs w:val="20"/>
              </w:rPr>
            </w:pPr>
            <w:r w:rsidRPr="00632F82">
              <w:rPr>
                <w:rFonts w:ascii="Calibri" w:hAnsi="Calibri"/>
                <w:color w:val="000000"/>
                <w:sz w:val="20"/>
                <w:szCs w:val="20"/>
              </w:rPr>
              <w:t>-25,647</w:t>
            </w:r>
          </w:p>
        </w:tc>
        <w:tc>
          <w:tcPr>
            <w:tcW w:w="208" w:type="dxa"/>
            <w:vAlign w:val="bottom"/>
          </w:tcPr>
          <w:p w14:paraId="7CB06182"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1599ACAB" w14:textId="1F7C58F3" w:rsidR="00F7292C" w:rsidRPr="00632F82" w:rsidRDefault="00F7292C">
            <w:pPr>
              <w:jc w:val="center"/>
              <w:rPr>
                <w:rFonts w:ascii="Calibri" w:hAnsi="Calibri"/>
                <w:color w:val="000000"/>
                <w:sz w:val="20"/>
                <w:szCs w:val="20"/>
              </w:rPr>
            </w:pPr>
            <w:r w:rsidRPr="00632F82">
              <w:rPr>
                <w:rFonts w:ascii="Calibri" w:hAnsi="Calibri"/>
                <w:color w:val="000000"/>
                <w:sz w:val="20"/>
                <w:szCs w:val="20"/>
              </w:rPr>
              <w:t>-6,533</w:t>
            </w:r>
          </w:p>
        </w:tc>
        <w:tc>
          <w:tcPr>
            <w:tcW w:w="1367" w:type="dxa"/>
            <w:shd w:val="clear" w:color="auto" w:fill="auto"/>
            <w:noWrap/>
            <w:vAlign w:val="bottom"/>
          </w:tcPr>
          <w:p w14:paraId="4381DA16" w14:textId="006D1A2E" w:rsidR="00F7292C" w:rsidRPr="00632F82" w:rsidRDefault="00F7292C">
            <w:pPr>
              <w:jc w:val="center"/>
              <w:rPr>
                <w:rFonts w:ascii="Calibri" w:hAnsi="Calibri"/>
                <w:color w:val="000000"/>
                <w:sz w:val="20"/>
                <w:szCs w:val="20"/>
              </w:rPr>
            </w:pPr>
            <w:r w:rsidRPr="00632F82">
              <w:rPr>
                <w:rFonts w:ascii="Calibri" w:hAnsi="Calibri"/>
                <w:color w:val="000000"/>
                <w:sz w:val="20"/>
                <w:szCs w:val="20"/>
              </w:rPr>
              <w:t>10,317</w:t>
            </w:r>
          </w:p>
        </w:tc>
        <w:tc>
          <w:tcPr>
            <w:tcW w:w="1367" w:type="dxa"/>
            <w:shd w:val="clear" w:color="auto" w:fill="auto"/>
            <w:noWrap/>
            <w:vAlign w:val="bottom"/>
          </w:tcPr>
          <w:p w14:paraId="67986025" w14:textId="7491F727" w:rsidR="00F7292C" w:rsidRPr="00632F82" w:rsidRDefault="00F7292C">
            <w:pPr>
              <w:jc w:val="center"/>
              <w:rPr>
                <w:rFonts w:ascii="Calibri" w:hAnsi="Calibri"/>
                <w:color w:val="000000"/>
                <w:sz w:val="20"/>
                <w:szCs w:val="20"/>
              </w:rPr>
            </w:pPr>
            <w:r w:rsidRPr="00632F82">
              <w:rPr>
                <w:rFonts w:ascii="Calibri" w:hAnsi="Calibri"/>
                <w:color w:val="000000"/>
                <w:sz w:val="20"/>
                <w:szCs w:val="20"/>
              </w:rPr>
              <w:t>-16,850</w:t>
            </w:r>
          </w:p>
        </w:tc>
      </w:tr>
      <w:tr w:rsidR="00F7292C" w:rsidRPr="00632F82" w14:paraId="7A12A7A6" w14:textId="77777777" w:rsidTr="00F7292C">
        <w:trPr>
          <w:trHeight w:hRule="exact" w:val="306"/>
        </w:trPr>
        <w:tc>
          <w:tcPr>
            <w:tcW w:w="3837" w:type="dxa"/>
            <w:shd w:val="clear" w:color="auto" w:fill="auto"/>
            <w:noWrap/>
            <w:vAlign w:val="bottom"/>
            <w:hideMark/>
          </w:tcPr>
          <w:p w14:paraId="032097C4" w14:textId="6DF9F3C0" w:rsidR="00F7292C" w:rsidRPr="00632F82" w:rsidRDefault="00F7292C" w:rsidP="00F7292C">
            <w:pPr>
              <w:spacing w:after="0" w:line="240" w:lineRule="auto"/>
              <w:rPr>
                <w:rFonts w:ascii="Calibri" w:hAnsi="Calibri"/>
                <w:color w:val="000000"/>
              </w:rPr>
            </w:pPr>
            <w:r w:rsidRPr="00632F82">
              <w:rPr>
                <w:rFonts w:ascii="Calibri" w:eastAsia="Times New Roman" w:hAnsi="Calibri" w:cs="Times New Roman"/>
                <w:color w:val="000000"/>
                <w:sz w:val="20"/>
                <w:szCs w:val="20"/>
              </w:rPr>
              <w:t>Tissue</w:t>
            </w:r>
            <w:r w:rsidRPr="00632F82">
              <w:rPr>
                <w:bCs/>
                <w:sz w:val="20"/>
                <w:szCs w:val="20"/>
              </w:rPr>
              <w:t xml:space="preserve">  N = </w:t>
            </w:r>
            <w:r w:rsidRPr="00632F82">
              <w:rPr>
                <w:rFonts w:ascii="Calibri" w:hAnsi="Calibri"/>
                <w:color w:val="000000"/>
                <w:sz w:val="20"/>
                <w:szCs w:val="20"/>
              </w:rPr>
              <w:t>1,249,903</w:t>
            </w:r>
          </w:p>
          <w:p w14:paraId="26BCADFA" w14:textId="4E450073" w:rsidR="00F7292C" w:rsidRPr="00632F82" w:rsidRDefault="00F7292C" w:rsidP="00F7292C">
            <w:pPr>
              <w:spacing w:after="0" w:line="240" w:lineRule="auto"/>
              <w:rPr>
                <w:rFonts w:ascii="Calibri" w:eastAsia="Times New Roman" w:hAnsi="Calibri" w:cs="Times New Roman"/>
                <w:color w:val="000000"/>
                <w:sz w:val="20"/>
                <w:szCs w:val="20"/>
              </w:rPr>
            </w:pPr>
          </w:p>
        </w:tc>
        <w:tc>
          <w:tcPr>
            <w:tcW w:w="1443" w:type="dxa"/>
            <w:shd w:val="clear" w:color="auto" w:fill="auto"/>
            <w:noWrap/>
            <w:vAlign w:val="bottom"/>
          </w:tcPr>
          <w:p w14:paraId="2F6B2145" w14:textId="2F7B43C0"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P=0.010</w:t>
            </w:r>
          </w:p>
        </w:tc>
        <w:tc>
          <w:tcPr>
            <w:tcW w:w="208" w:type="dxa"/>
            <w:vAlign w:val="bottom"/>
          </w:tcPr>
          <w:p w14:paraId="3BE8188D"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5202B3CF" w14:textId="26E2F385"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4CB8FD31" w14:textId="6BA4F5D4"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6FD61757" w14:textId="3277AEEB"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034A5CF2"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56DC5899" w14:textId="6773E2D8"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P=0.001</w:t>
            </w:r>
          </w:p>
        </w:tc>
        <w:tc>
          <w:tcPr>
            <w:tcW w:w="1367" w:type="dxa"/>
            <w:shd w:val="clear" w:color="auto" w:fill="auto"/>
            <w:noWrap/>
            <w:vAlign w:val="bottom"/>
          </w:tcPr>
          <w:p w14:paraId="5E3FD7A0" w14:textId="63D26BA2"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367" w:type="dxa"/>
            <w:shd w:val="clear" w:color="auto" w:fill="auto"/>
            <w:noWrap/>
            <w:vAlign w:val="bottom"/>
          </w:tcPr>
          <w:p w14:paraId="523FF123" w14:textId="1A7806A9"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r>
      <w:tr w:rsidR="00F7292C" w:rsidRPr="00632F82" w14:paraId="0365891E" w14:textId="77777777" w:rsidTr="00F7292C">
        <w:trPr>
          <w:trHeight w:hRule="exact" w:val="306"/>
        </w:trPr>
        <w:tc>
          <w:tcPr>
            <w:tcW w:w="3837" w:type="dxa"/>
            <w:shd w:val="clear" w:color="auto" w:fill="auto"/>
            <w:noWrap/>
            <w:vAlign w:val="bottom"/>
            <w:hideMark/>
          </w:tcPr>
          <w:p w14:paraId="38B686A3" w14:textId="09A44EF3"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 </w:t>
            </w:r>
          </w:p>
        </w:tc>
        <w:tc>
          <w:tcPr>
            <w:tcW w:w="1443" w:type="dxa"/>
            <w:shd w:val="clear" w:color="auto" w:fill="auto"/>
            <w:noWrap/>
            <w:vAlign w:val="bottom"/>
          </w:tcPr>
          <w:p w14:paraId="4D57F474" w14:textId="3210355C" w:rsidR="00F7292C" w:rsidRPr="00632F82" w:rsidRDefault="00F7292C">
            <w:pPr>
              <w:jc w:val="center"/>
              <w:rPr>
                <w:rFonts w:ascii="Calibri" w:hAnsi="Calibri"/>
                <w:color w:val="000000"/>
                <w:sz w:val="20"/>
                <w:szCs w:val="20"/>
              </w:rPr>
            </w:pPr>
          </w:p>
        </w:tc>
        <w:tc>
          <w:tcPr>
            <w:tcW w:w="208" w:type="dxa"/>
            <w:vAlign w:val="bottom"/>
          </w:tcPr>
          <w:p w14:paraId="4249ECCB"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290DFBBE" w14:textId="4A4B93F8"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187F7341" w14:textId="50785BDF" w:rsidR="00F7292C" w:rsidRPr="00632F82" w:rsidRDefault="00F7292C">
            <w:pPr>
              <w:jc w:val="center"/>
              <w:rPr>
                <w:rFonts w:ascii="Calibri" w:hAnsi="Calibri"/>
                <w:color w:val="000000"/>
                <w:sz w:val="20"/>
                <w:szCs w:val="20"/>
              </w:rPr>
            </w:pPr>
          </w:p>
        </w:tc>
        <w:tc>
          <w:tcPr>
            <w:tcW w:w="1443" w:type="dxa"/>
            <w:shd w:val="clear" w:color="auto" w:fill="auto"/>
            <w:noWrap/>
            <w:vAlign w:val="bottom"/>
          </w:tcPr>
          <w:p w14:paraId="6C75462C" w14:textId="34695E7E" w:rsidR="00F7292C" w:rsidRPr="00632F82" w:rsidRDefault="00F7292C">
            <w:pPr>
              <w:jc w:val="center"/>
              <w:rPr>
                <w:rFonts w:ascii="Calibri" w:hAnsi="Calibri"/>
                <w:color w:val="000000"/>
                <w:sz w:val="20"/>
                <w:szCs w:val="20"/>
              </w:rPr>
            </w:pPr>
          </w:p>
        </w:tc>
        <w:tc>
          <w:tcPr>
            <w:tcW w:w="208" w:type="dxa"/>
            <w:vAlign w:val="bottom"/>
          </w:tcPr>
          <w:p w14:paraId="6A1203B6"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50255587" w14:textId="37833979"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434EF1E9" w14:textId="4040B0A6" w:rsidR="00F7292C" w:rsidRPr="00632F82" w:rsidRDefault="00F7292C">
            <w:pPr>
              <w:jc w:val="center"/>
              <w:rPr>
                <w:rFonts w:ascii="Calibri" w:hAnsi="Calibri"/>
                <w:color w:val="000000"/>
                <w:sz w:val="20"/>
                <w:szCs w:val="20"/>
              </w:rPr>
            </w:pPr>
          </w:p>
        </w:tc>
        <w:tc>
          <w:tcPr>
            <w:tcW w:w="1367" w:type="dxa"/>
            <w:shd w:val="clear" w:color="auto" w:fill="auto"/>
            <w:noWrap/>
            <w:vAlign w:val="bottom"/>
          </w:tcPr>
          <w:p w14:paraId="46A357A1" w14:textId="0CC5940B" w:rsidR="00F7292C" w:rsidRPr="00632F82" w:rsidRDefault="00F7292C">
            <w:pPr>
              <w:jc w:val="center"/>
              <w:rPr>
                <w:rFonts w:ascii="Calibri" w:hAnsi="Calibri"/>
                <w:color w:val="000000"/>
                <w:sz w:val="20"/>
                <w:szCs w:val="20"/>
              </w:rPr>
            </w:pPr>
          </w:p>
        </w:tc>
      </w:tr>
      <w:tr w:rsidR="00F7292C" w:rsidRPr="00632F82" w14:paraId="593DDDED" w14:textId="77777777" w:rsidTr="00F7292C">
        <w:trPr>
          <w:trHeight w:hRule="exact" w:val="306"/>
        </w:trPr>
        <w:tc>
          <w:tcPr>
            <w:tcW w:w="3837" w:type="dxa"/>
            <w:shd w:val="clear" w:color="auto" w:fill="auto"/>
            <w:noWrap/>
            <w:vAlign w:val="bottom"/>
            <w:hideMark/>
          </w:tcPr>
          <w:p w14:paraId="6949FE44" w14:textId="7F7573AD" w:rsidR="00F7292C" w:rsidRPr="00632F82" w:rsidRDefault="00F7292C" w:rsidP="00F7292C">
            <w:pPr>
              <w:spacing w:after="0" w:line="240" w:lineRule="auto"/>
              <w:rPr>
                <w:rFonts w:ascii="Calibri" w:eastAsia="Times New Roman" w:hAnsi="Calibri" w:cs="Times New Roman"/>
                <w:color w:val="000000"/>
                <w:sz w:val="20"/>
                <w:szCs w:val="20"/>
              </w:rPr>
            </w:pPr>
            <w:r w:rsidRPr="00632F82">
              <w:rPr>
                <w:rFonts w:ascii="Calibri" w:eastAsia="Times New Roman" w:hAnsi="Calibri" w:cs="Times New Roman"/>
                <w:color w:val="000000"/>
                <w:sz w:val="20"/>
                <w:szCs w:val="20"/>
              </w:rPr>
              <w:t>MDC=18 Infectious &amp; Parasitic DDs</w:t>
            </w:r>
          </w:p>
        </w:tc>
        <w:tc>
          <w:tcPr>
            <w:tcW w:w="1443" w:type="dxa"/>
            <w:shd w:val="clear" w:color="auto" w:fill="auto"/>
            <w:noWrap/>
            <w:vAlign w:val="bottom"/>
          </w:tcPr>
          <w:p w14:paraId="56AC63A6" w14:textId="57E3A4EA" w:rsidR="00F7292C" w:rsidRPr="00632F82" w:rsidRDefault="00F7292C">
            <w:pPr>
              <w:jc w:val="center"/>
              <w:rPr>
                <w:rFonts w:ascii="Calibri" w:hAnsi="Calibri"/>
                <w:color w:val="000000"/>
                <w:sz w:val="20"/>
                <w:szCs w:val="20"/>
              </w:rPr>
            </w:pPr>
            <w:r w:rsidRPr="00632F82">
              <w:rPr>
                <w:rFonts w:ascii="Calibri" w:hAnsi="Calibri"/>
                <w:color w:val="000000"/>
                <w:sz w:val="20"/>
                <w:szCs w:val="20"/>
              </w:rPr>
              <w:t>18,828</w:t>
            </w:r>
          </w:p>
        </w:tc>
        <w:tc>
          <w:tcPr>
            <w:tcW w:w="208" w:type="dxa"/>
            <w:vAlign w:val="bottom"/>
          </w:tcPr>
          <w:p w14:paraId="2E77B531"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416EE321" w14:textId="533A8298" w:rsidR="00F7292C" w:rsidRPr="00632F82" w:rsidRDefault="00F7292C">
            <w:pPr>
              <w:jc w:val="center"/>
              <w:rPr>
                <w:rFonts w:ascii="Calibri" w:hAnsi="Calibri"/>
                <w:color w:val="000000"/>
                <w:sz w:val="20"/>
                <w:szCs w:val="20"/>
              </w:rPr>
            </w:pPr>
            <w:r w:rsidRPr="00632F82">
              <w:rPr>
                <w:rFonts w:ascii="Calibri" w:hAnsi="Calibri"/>
                <w:color w:val="000000"/>
                <w:sz w:val="20"/>
                <w:szCs w:val="20"/>
              </w:rPr>
              <w:t>2,891</w:t>
            </w:r>
          </w:p>
        </w:tc>
        <w:tc>
          <w:tcPr>
            <w:tcW w:w="1443" w:type="dxa"/>
            <w:shd w:val="clear" w:color="auto" w:fill="auto"/>
            <w:noWrap/>
            <w:vAlign w:val="bottom"/>
          </w:tcPr>
          <w:p w14:paraId="560C4A05" w14:textId="06B0D60B" w:rsidR="00F7292C" w:rsidRPr="00632F82" w:rsidRDefault="00F7292C">
            <w:pPr>
              <w:jc w:val="center"/>
              <w:rPr>
                <w:rFonts w:ascii="Calibri" w:hAnsi="Calibri"/>
                <w:color w:val="000000"/>
                <w:sz w:val="20"/>
                <w:szCs w:val="20"/>
              </w:rPr>
            </w:pPr>
            <w:r w:rsidRPr="00632F82">
              <w:rPr>
                <w:rFonts w:ascii="Calibri" w:hAnsi="Calibri"/>
                <w:color w:val="000000"/>
                <w:sz w:val="20"/>
                <w:szCs w:val="20"/>
              </w:rPr>
              <w:t>39,944</w:t>
            </w:r>
          </w:p>
        </w:tc>
        <w:tc>
          <w:tcPr>
            <w:tcW w:w="1443" w:type="dxa"/>
            <w:shd w:val="clear" w:color="auto" w:fill="auto"/>
            <w:noWrap/>
            <w:vAlign w:val="bottom"/>
          </w:tcPr>
          <w:p w14:paraId="30808446" w14:textId="491008C9" w:rsidR="00F7292C" w:rsidRPr="00632F82" w:rsidRDefault="00F7292C">
            <w:pPr>
              <w:jc w:val="center"/>
              <w:rPr>
                <w:rFonts w:ascii="Calibri" w:hAnsi="Calibri"/>
                <w:color w:val="000000"/>
                <w:sz w:val="20"/>
                <w:szCs w:val="20"/>
              </w:rPr>
            </w:pPr>
            <w:r w:rsidRPr="00632F82">
              <w:rPr>
                <w:rFonts w:ascii="Calibri" w:hAnsi="Calibri"/>
                <w:color w:val="000000"/>
                <w:sz w:val="20"/>
                <w:szCs w:val="20"/>
              </w:rPr>
              <w:t>-37,052</w:t>
            </w:r>
          </w:p>
        </w:tc>
        <w:tc>
          <w:tcPr>
            <w:tcW w:w="208" w:type="dxa"/>
            <w:vAlign w:val="bottom"/>
          </w:tcPr>
          <w:p w14:paraId="4D5F3ED5"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59FA3D35" w14:textId="072DE7FB" w:rsidR="00F7292C" w:rsidRPr="00632F82" w:rsidRDefault="00F7292C">
            <w:pPr>
              <w:jc w:val="center"/>
              <w:rPr>
                <w:rFonts w:ascii="Calibri" w:hAnsi="Calibri"/>
                <w:color w:val="000000"/>
                <w:sz w:val="20"/>
                <w:szCs w:val="20"/>
              </w:rPr>
            </w:pPr>
            <w:r w:rsidRPr="00632F82">
              <w:rPr>
                <w:rFonts w:ascii="Calibri" w:hAnsi="Calibri"/>
                <w:color w:val="000000"/>
                <w:sz w:val="20"/>
                <w:szCs w:val="20"/>
              </w:rPr>
              <w:t>16,866</w:t>
            </w:r>
          </w:p>
        </w:tc>
        <w:tc>
          <w:tcPr>
            <w:tcW w:w="1367" w:type="dxa"/>
            <w:shd w:val="clear" w:color="auto" w:fill="auto"/>
            <w:noWrap/>
            <w:vAlign w:val="bottom"/>
          </w:tcPr>
          <w:p w14:paraId="700AED32" w14:textId="07293D50" w:rsidR="00F7292C" w:rsidRPr="00632F82" w:rsidRDefault="00F7292C">
            <w:pPr>
              <w:jc w:val="center"/>
              <w:rPr>
                <w:rFonts w:ascii="Calibri" w:hAnsi="Calibri"/>
                <w:color w:val="000000"/>
                <w:sz w:val="20"/>
                <w:szCs w:val="20"/>
              </w:rPr>
            </w:pPr>
            <w:r w:rsidRPr="00632F82">
              <w:rPr>
                <w:rFonts w:ascii="Calibri" w:hAnsi="Calibri"/>
                <w:color w:val="000000"/>
                <w:sz w:val="20"/>
                <w:szCs w:val="20"/>
              </w:rPr>
              <w:t>27,124</w:t>
            </w:r>
          </w:p>
        </w:tc>
        <w:tc>
          <w:tcPr>
            <w:tcW w:w="1367" w:type="dxa"/>
            <w:shd w:val="clear" w:color="auto" w:fill="auto"/>
            <w:noWrap/>
            <w:vAlign w:val="bottom"/>
          </w:tcPr>
          <w:p w14:paraId="6E3A9A49" w14:textId="5421D138" w:rsidR="00F7292C" w:rsidRPr="00632F82" w:rsidRDefault="00F7292C">
            <w:pPr>
              <w:jc w:val="center"/>
              <w:rPr>
                <w:rFonts w:ascii="Calibri" w:hAnsi="Calibri"/>
                <w:color w:val="000000"/>
                <w:sz w:val="20"/>
                <w:szCs w:val="20"/>
              </w:rPr>
            </w:pPr>
            <w:r w:rsidRPr="00632F82">
              <w:rPr>
                <w:rFonts w:ascii="Calibri" w:hAnsi="Calibri"/>
                <w:color w:val="000000"/>
                <w:sz w:val="20"/>
                <w:szCs w:val="20"/>
              </w:rPr>
              <w:t>-10,258</w:t>
            </w:r>
          </w:p>
        </w:tc>
      </w:tr>
      <w:tr w:rsidR="00F7292C" w:rsidRPr="00632F82" w14:paraId="53544A75" w14:textId="77777777" w:rsidTr="00F7292C">
        <w:trPr>
          <w:trHeight w:hRule="exact" w:val="306"/>
        </w:trPr>
        <w:tc>
          <w:tcPr>
            <w:tcW w:w="3837" w:type="dxa"/>
            <w:shd w:val="clear" w:color="auto" w:fill="auto"/>
            <w:noWrap/>
            <w:vAlign w:val="bottom"/>
            <w:hideMark/>
          </w:tcPr>
          <w:p w14:paraId="5A6207E0" w14:textId="77777777" w:rsidR="00F7292C" w:rsidRPr="00632F82" w:rsidRDefault="00F7292C" w:rsidP="00F7292C">
            <w:pPr>
              <w:spacing w:after="0" w:line="240" w:lineRule="auto"/>
              <w:rPr>
                <w:rFonts w:ascii="Calibri" w:hAnsi="Calibri"/>
                <w:color w:val="000000"/>
                <w:sz w:val="20"/>
                <w:szCs w:val="20"/>
              </w:rPr>
            </w:pPr>
            <w:r w:rsidRPr="00632F82">
              <w:rPr>
                <w:bCs/>
                <w:sz w:val="20"/>
                <w:szCs w:val="20"/>
              </w:rPr>
              <w:t xml:space="preserve">N = </w:t>
            </w:r>
            <w:r w:rsidRPr="00632F82">
              <w:rPr>
                <w:rFonts w:ascii="Calibri" w:hAnsi="Calibri"/>
                <w:color w:val="000000"/>
                <w:sz w:val="20"/>
                <w:szCs w:val="20"/>
              </w:rPr>
              <w:t>462,403</w:t>
            </w:r>
          </w:p>
          <w:p w14:paraId="3577AD3B" w14:textId="781FA272" w:rsidR="00F7292C" w:rsidRPr="00632F82" w:rsidRDefault="00F7292C" w:rsidP="00F7292C">
            <w:pPr>
              <w:spacing w:after="0" w:line="240" w:lineRule="auto"/>
              <w:rPr>
                <w:rFonts w:ascii="Calibri" w:eastAsia="Times New Roman" w:hAnsi="Calibri" w:cs="Times New Roman"/>
                <w:color w:val="000000"/>
                <w:sz w:val="20"/>
                <w:szCs w:val="20"/>
              </w:rPr>
            </w:pPr>
          </w:p>
        </w:tc>
        <w:tc>
          <w:tcPr>
            <w:tcW w:w="1443" w:type="dxa"/>
            <w:shd w:val="clear" w:color="auto" w:fill="auto"/>
            <w:noWrap/>
            <w:vAlign w:val="bottom"/>
          </w:tcPr>
          <w:p w14:paraId="4B3D8BFF" w14:textId="437184CA"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13308E21" w14:textId="77777777" w:rsidR="00F7292C" w:rsidRPr="00632F82" w:rsidRDefault="00F7292C">
            <w:pPr>
              <w:spacing w:after="0" w:line="240" w:lineRule="auto"/>
              <w:jc w:val="center"/>
              <w:rPr>
                <w:rFonts w:ascii="Calibri" w:hAnsi="Calibri"/>
                <w:color w:val="000000"/>
                <w:sz w:val="20"/>
                <w:szCs w:val="20"/>
              </w:rPr>
            </w:pPr>
          </w:p>
        </w:tc>
        <w:tc>
          <w:tcPr>
            <w:tcW w:w="1443" w:type="dxa"/>
            <w:shd w:val="clear" w:color="auto" w:fill="auto"/>
            <w:noWrap/>
            <w:vAlign w:val="bottom"/>
          </w:tcPr>
          <w:p w14:paraId="48C94F52" w14:textId="1DE8AF26"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P=0.172</w:t>
            </w:r>
          </w:p>
        </w:tc>
        <w:tc>
          <w:tcPr>
            <w:tcW w:w="1443" w:type="dxa"/>
            <w:shd w:val="clear" w:color="auto" w:fill="auto"/>
            <w:noWrap/>
            <w:vAlign w:val="bottom"/>
          </w:tcPr>
          <w:p w14:paraId="6DF4D3A1" w14:textId="029415A8"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443" w:type="dxa"/>
            <w:shd w:val="clear" w:color="auto" w:fill="auto"/>
            <w:noWrap/>
            <w:vAlign w:val="bottom"/>
          </w:tcPr>
          <w:p w14:paraId="6467B555" w14:textId="060F8123"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208" w:type="dxa"/>
            <w:vAlign w:val="bottom"/>
          </w:tcPr>
          <w:p w14:paraId="79A462CE" w14:textId="77777777" w:rsidR="00F7292C" w:rsidRPr="00632F82" w:rsidRDefault="00F7292C" w:rsidP="00F7292C">
            <w:pPr>
              <w:spacing w:after="0" w:line="240" w:lineRule="auto"/>
              <w:jc w:val="center"/>
              <w:rPr>
                <w:rFonts w:ascii="Calibri" w:hAnsi="Calibri"/>
                <w:color w:val="000000"/>
                <w:sz w:val="20"/>
                <w:szCs w:val="20"/>
              </w:rPr>
            </w:pPr>
          </w:p>
        </w:tc>
        <w:tc>
          <w:tcPr>
            <w:tcW w:w="1367" w:type="dxa"/>
            <w:shd w:val="clear" w:color="auto" w:fill="auto"/>
            <w:noWrap/>
            <w:vAlign w:val="bottom"/>
          </w:tcPr>
          <w:p w14:paraId="326F6C60" w14:textId="1BD9CA8D"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367" w:type="dxa"/>
            <w:shd w:val="clear" w:color="auto" w:fill="auto"/>
            <w:noWrap/>
            <w:vAlign w:val="bottom"/>
          </w:tcPr>
          <w:p w14:paraId="779D7C4F" w14:textId="0D3C3B7E" w:rsidR="00F7292C" w:rsidRPr="00632F82" w:rsidRDefault="00F7292C">
            <w:pPr>
              <w:jc w:val="center"/>
              <w:rPr>
                <w:rFonts w:ascii="Calibri" w:hAnsi="Calibri"/>
                <w:color w:val="000000"/>
                <w:sz w:val="20"/>
                <w:szCs w:val="20"/>
              </w:rPr>
            </w:pPr>
            <w:r w:rsidRPr="00632F82">
              <w:rPr>
                <w:rFonts w:ascii="Calibri" w:hAnsi="Calibri"/>
                <w:color w:val="000000"/>
                <w:sz w:val="20"/>
                <w:szCs w:val="20"/>
              </w:rPr>
              <w:t>P&lt;0.001</w:t>
            </w:r>
          </w:p>
        </w:tc>
        <w:tc>
          <w:tcPr>
            <w:tcW w:w="1367" w:type="dxa"/>
            <w:shd w:val="clear" w:color="auto" w:fill="auto"/>
            <w:noWrap/>
            <w:vAlign w:val="bottom"/>
          </w:tcPr>
          <w:p w14:paraId="6FB6CFF1" w14:textId="5AC30C6A" w:rsidR="00F7292C" w:rsidRPr="00632F82" w:rsidRDefault="00F7292C">
            <w:pPr>
              <w:jc w:val="center"/>
              <w:rPr>
                <w:rFonts w:ascii="Calibri" w:hAnsi="Calibri"/>
                <w:color w:val="000000"/>
                <w:sz w:val="20"/>
                <w:szCs w:val="20"/>
              </w:rPr>
            </w:pPr>
            <w:r w:rsidRPr="00632F82">
              <w:rPr>
                <w:rFonts w:ascii="Calibri" w:hAnsi="Calibri"/>
                <w:color w:val="000000"/>
                <w:sz w:val="20"/>
                <w:szCs w:val="20"/>
              </w:rPr>
              <w:t>P=0.010</w:t>
            </w:r>
          </w:p>
        </w:tc>
      </w:tr>
    </w:tbl>
    <w:p w14:paraId="63B958B9" w14:textId="77777777" w:rsidR="00F16B4C" w:rsidRPr="00632F82" w:rsidRDefault="00F16B4C" w:rsidP="00F16B4C">
      <w:pPr>
        <w:rPr>
          <w:sz w:val="20"/>
          <w:szCs w:val="20"/>
        </w:rPr>
      </w:pPr>
      <w:r w:rsidRPr="00632F82">
        <w:rPr>
          <w:sz w:val="20"/>
          <w:szCs w:val="20"/>
        </w:rPr>
        <w:t xml:space="preserve">Notes: P-values are in parentheses.  Marginal LTCH effect is calculated as the average of individual marginal effects that are computed for each observation using the results of the two-stage residual inclusion regression and the individual observation’s covariate values, while varying LTCH indicator between 0 and 1.  The baseline model includes the LTCH transfer indicator, patient-level controls and index ACH-level controls listed in Appendix A as explanatory variables.  The model with interaction with organ failure includes an interaction term between LTCH transfer indicator and a multiple organ failure indicator as an additional explanatory variable.  The model with interaction with ICU/CCU includes an interaction term between LTCH transfer indicator and indicator for minimum 3-day ICU/CCU stay as an additional explanatory variable. Columns B1 and C1 present marginal effect of LTCH on the outcome among patients with multiple organ failure and minimum 3-day ICU/CCU stay, respectively.  Columns B2 and C2 present the marginal effect of LTCH among other patients.  Columns B3 and C3 present the differential treatment effect between patients with and without the specified characteristics.  </w:t>
      </w:r>
    </w:p>
    <w:p w14:paraId="588D9276" w14:textId="77777777" w:rsidR="00F16B4C" w:rsidRPr="00632F82" w:rsidRDefault="00F16B4C" w:rsidP="00F16B4C"/>
    <w:p w14:paraId="4A38B03A" w14:textId="77777777" w:rsidR="006B288B" w:rsidRPr="00632F82" w:rsidRDefault="006B288B" w:rsidP="00BF1D33">
      <w:pPr>
        <w:rPr>
          <w:sz w:val="20"/>
          <w:szCs w:val="20"/>
        </w:rPr>
      </w:pPr>
    </w:p>
    <w:p w14:paraId="7BCD8878" w14:textId="77777777" w:rsidR="00E62090" w:rsidRPr="00632F82" w:rsidRDefault="00E62090" w:rsidP="006B288B"/>
    <w:sectPr w:rsidR="00E62090" w:rsidRPr="00632F82" w:rsidSect="003705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F1E65" w14:textId="77777777" w:rsidR="004806FA" w:rsidRDefault="004806FA" w:rsidP="000A6120">
      <w:pPr>
        <w:spacing w:after="0" w:line="240" w:lineRule="auto"/>
      </w:pPr>
      <w:r>
        <w:separator/>
      </w:r>
    </w:p>
  </w:endnote>
  <w:endnote w:type="continuationSeparator" w:id="0">
    <w:p w14:paraId="6F9B736A" w14:textId="77777777" w:rsidR="004806FA" w:rsidRDefault="004806FA" w:rsidP="000A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3F4A3" w14:textId="77777777" w:rsidR="004806FA" w:rsidRDefault="004806FA" w:rsidP="000A6120">
      <w:pPr>
        <w:spacing w:after="0" w:line="240" w:lineRule="auto"/>
      </w:pPr>
      <w:r>
        <w:separator/>
      </w:r>
    </w:p>
  </w:footnote>
  <w:footnote w:type="continuationSeparator" w:id="0">
    <w:p w14:paraId="69FFF6D1" w14:textId="77777777" w:rsidR="004806FA" w:rsidRDefault="004806FA" w:rsidP="000A6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CC73" w14:textId="157DA15E" w:rsidR="00F7292C" w:rsidRDefault="00F7292C">
    <w:pPr>
      <w:pStyle w:val="Header"/>
    </w:pPr>
    <w:r>
      <w:t>The Role of Long Term Acute Care Hospitals in Treating the Critically Ill and Medically Complex: An Analysis of Non-Ventilator Patients</w:t>
    </w:r>
  </w:p>
  <w:p w14:paraId="43E7C9C5" w14:textId="77777777" w:rsidR="00F7292C" w:rsidRDefault="00F72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3AC3"/>
    <w:multiLevelType w:val="hybridMultilevel"/>
    <w:tmpl w:val="4A42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19"/>
    <w:rsid w:val="00023912"/>
    <w:rsid w:val="00083626"/>
    <w:rsid w:val="000A6120"/>
    <w:rsid w:val="000B0356"/>
    <w:rsid w:val="00161707"/>
    <w:rsid w:val="00162D6A"/>
    <w:rsid w:val="001D29B8"/>
    <w:rsid w:val="001E0C3E"/>
    <w:rsid w:val="00202D73"/>
    <w:rsid w:val="0020494B"/>
    <w:rsid w:val="002125A7"/>
    <w:rsid w:val="002727F0"/>
    <w:rsid w:val="002F6B24"/>
    <w:rsid w:val="00345E86"/>
    <w:rsid w:val="00370519"/>
    <w:rsid w:val="00377753"/>
    <w:rsid w:val="003A72A0"/>
    <w:rsid w:val="003E7B98"/>
    <w:rsid w:val="00445F0C"/>
    <w:rsid w:val="004806FA"/>
    <w:rsid w:val="00480EE4"/>
    <w:rsid w:val="0051332F"/>
    <w:rsid w:val="005673C9"/>
    <w:rsid w:val="00632F82"/>
    <w:rsid w:val="00640656"/>
    <w:rsid w:val="00643C0A"/>
    <w:rsid w:val="00685D1F"/>
    <w:rsid w:val="006B288B"/>
    <w:rsid w:val="006B49EC"/>
    <w:rsid w:val="006E1358"/>
    <w:rsid w:val="0073082A"/>
    <w:rsid w:val="007422BC"/>
    <w:rsid w:val="00751CEA"/>
    <w:rsid w:val="007C0060"/>
    <w:rsid w:val="007C4F48"/>
    <w:rsid w:val="007C5480"/>
    <w:rsid w:val="007C616A"/>
    <w:rsid w:val="008046E6"/>
    <w:rsid w:val="00850F7B"/>
    <w:rsid w:val="0085346B"/>
    <w:rsid w:val="00890A3E"/>
    <w:rsid w:val="00890B6D"/>
    <w:rsid w:val="00910CD3"/>
    <w:rsid w:val="009341E9"/>
    <w:rsid w:val="009705C9"/>
    <w:rsid w:val="009E582D"/>
    <w:rsid w:val="009F6072"/>
    <w:rsid w:val="00A01622"/>
    <w:rsid w:val="00A17816"/>
    <w:rsid w:val="00A8199A"/>
    <w:rsid w:val="00AA04D0"/>
    <w:rsid w:val="00AB69BE"/>
    <w:rsid w:val="00AF2A59"/>
    <w:rsid w:val="00B134E6"/>
    <w:rsid w:val="00B156BF"/>
    <w:rsid w:val="00B206F3"/>
    <w:rsid w:val="00B44586"/>
    <w:rsid w:val="00B6068C"/>
    <w:rsid w:val="00BF1D33"/>
    <w:rsid w:val="00CF7A85"/>
    <w:rsid w:val="00D12E5D"/>
    <w:rsid w:val="00D51E7A"/>
    <w:rsid w:val="00D601F8"/>
    <w:rsid w:val="00D82774"/>
    <w:rsid w:val="00D92F31"/>
    <w:rsid w:val="00DC0326"/>
    <w:rsid w:val="00DE6365"/>
    <w:rsid w:val="00E058AB"/>
    <w:rsid w:val="00E30A56"/>
    <w:rsid w:val="00E62090"/>
    <w:rsid w:val="00E8146E"/>
    <w:rsid w:val="00F03439"/>
    <w:rsid w:val="00F16B4C"/>
    <w:rsid w:val="00F22DC6"/>
    <w:rsid w:val="00F7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C135"/>
  <w15:docId w15:val="{EA0C0843-3D37-4667-A5D0-0F6CEE8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7B"/>
    <w:rPr>
      <w:rFonts w:ascii="Tahoma" w:hAnsi="Tahoma" w:cs="Tahoma"/>
      <w:sz w:val="16"/>
      <w:szCs w:val="16"/>
    </w:rPr>
  </w:style>
  <w:style w:type="character" w:styleId="CommentReference">
    <w:name w:val="annotation reference"/>
    <w:basedOn w:val="DefaultParagraphFont"/>
    <w:uiPriority w:val="99"/>
    <w:semiHidden/>
    <w:unhideWhenUsed/>
    <w:rsid w:val="00F16B4C"/>
    <w:rPr>
      <w:sz w:val="16"/>
      <w:szCs w:val="16"/>
    </w:rPr>
  </w:style>
  <w:style w:type="paragraph" w:styleId="CommentText">
    <w:name w:val="annotation text"/>
    <w:basedOn w:val="Normal"/>
    <w:link w:val="CommentTextChar"/>
    <w:uiPriority w:val="99"/>
    <w:semiHidden/>
    <w:unhideWhenUsed/>
    <w:rsid w:val="00F16B4C"/>
    <w:pPr>
      <w:spacing w:line="240" w:lineRule="auto"/>
    </w:pPr>
    <w:rPr>
      <w:sz w:val="20"/>
      <w:szCs w:val="20"/>
    </w:rPr>
  </w:style>
  <w:style w:type="character" w:customStyle="1" w:styleId="CommentTextChar">
    <w:name w:val="Comment Text Char"/>
    <w:basedOn w:val="DefaultParagraphFont"/>
    <w:link w:val="CommentText"/>
    <w:uiPriority w:val="99"/>
    <w:semiHidden/>
    <w:rsid w:val="00F16B4C"/>
    <w:rPr>
      <w:sz w:val="20"/>
      <w:szCs w:val="20"/>
    </w:rPr>
  </w:style>
  <w:style w:type="table" w:styleId="TableGrid">
    <w:name w:val="Table Grid"/>
    <w:basedOn w:val="TableNormal"/>
    <w:uiPriority w:val="59"/>
    <w:rsid w:val="00A0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D6A"/>
    <w:pPr>
      <w:ind w:left="720"/>
      <w:contextualSpacing/>
    </w:pPr>
  </w:style>
  <w:style w:type="paragraph" w:styleId="Header">
    <w:name w:val="header"/>
    <w:basedOn w:val="Normal"/>
    <w:link w:val="HeaderChar"/>
    <w:uiPriority w:val="99"/>
    <w:unhideWhenUsed/>
    <w:rsid w:val="000A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20"/>
  </w:style>
  <w:style w:type="paragraph" w:styleId="Footer">
    <w:name w:val="footer"/>
    <w:basedOn w:val="Normal"/>
    <w:link w:val="FooterChar"/>
    <w:uiPriority w:val="99"/>
    <w:unhideWhenUsed/>
    <w:rsid w:val="000A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191">
      <w:bodyDiv w:val="1"/>
      <w:marLeft w:val="0"/>
      <w:marRight w:val="0"/>
      <w:marTop w:val="0"/>
      <w:marBottom w:val="0"/>
      <w:divBdr>
        <w:top w:val="none" w:sz="0" w:space="0" w:color="auto"/>
        <w:left w:val="none" w:sz="0" w:space="0" w:color="auto"/>
        <w:bottom w:val="none" w:sz="0" w:space="0" w:color="auto"/>
        <w:right w:val="none" w:sz="0" w:space="0" w:color="auto"/>
      </w:divBdr>
    </w:div>
    <w:div w:id="322977863">
      <w:bodyDiv w:val="1"/>
      <w:marLeft w:val="0"/>
      <w:marRight w:val="0"/>
      <w:marTop w:val="0"/>
      <w:marBottom w:val="0"/>
      <w:divBdr>
        <w:top w:val="none" w:sz="0" w:space="0" w:color="auto"/>
        <w:left w:val="none" w:sz="0" w:space="0" w:color="auto"/>
        <w:bottom w:val="none" w:sz="0" w:space="0" w:color="auto"/>
        <w:right w:val="none" w:sz="0" w:space="0" w:color="auto"/>
      </w:divBdr>
    </w:div>
    <w:div w:id="404844850">
      <w:bodyDiv w:val="1"/>
      <w:marLeft w:val="0"/>
      <w:marRight w:val="0"/>
      <w:marTop w:val="0"/>
      <w:marBottom w:val="0"/>
      <w:divBdr>
        <w:top w:val="none" w:sz="0" w:space="0" w:color="auto"/>
        <w:left w:val="none" w:sz="0" w:space="0" w:color="auto"/>
        <w:bottom w:val="none" w:sz="0" w:space="0" w:color="auto"/>
        <w:right w:val="none" w:sz="0" w:space="0" w:color="auto"/>
      </w:divBdr>
    </w:div>
    <w:div w:id="644042776">
      <w:bodyDiv w:val="1"/>
      <w:marLeft w:val="0"/>
      <w:marRight w:val="0"/>
      <w:marTop w:val="0"/>
      <w:marBottom w:val="0"/>
      <w:divBdr>
        <w:top w:val="none" w:sz="0" w:space="0" w:color="auto"/>
        <w:left w:val="none" w:sz="0" w:space="0" w:color="auto"/>
        <w:bottom w:val="none" w:sz="0" w:space="0" w:color="auto"/>
        <w:right w:val="none" w:sz="0" w:space="0" w:color="auto"/>
      </w:divBdr>
    </w:div>
    <w:div w:id="755324538">
      <w:bodyDiv w:val="1"/>
      <w:marLeft w:val="0"/>
      <w:marRight w:val="0"/>
      <w:marTop w:val="0"/>
      <w:marBottom w:val="0"/>
      <w:divBdr>
        <w:top w:val="none" w:sz="0" w:space="0" w:color="auto"/>
        <w:left w:val="none" w:sz="0" w:space="0" w:color="auto"/>
        <w:bottom w:val="none" w:sz="0" w:space="0" w:color="auto"/>
        <w:right w:val="none" w:sz="0" w:space="0" w:color="auto"/>
      </w:divBdr>
    </w:div>
    <w:div w:id="1120731323">
      <w:bodyDiv w:val="1"/>
      <w:marLeft w:val="0"/>
      <w:marRight w:val="0"/>
      <w:marTop w:val="0"/>
      <w:marBottom w:val="0"/>
      <w:divBdr>
        <w:top w:val="none" w:sz="0" w:space="0" w:color="auto"/>
        <w:left w:val="none" w:sz="0" w:space="0" w:color="auto"/>
        <w:bottom w:val="none" w:sz="0" w:space="0" w:color="auto"/>
        <w:right w:val="none" w:sz="0" w:space="0" w:color="auto"/>
      </w:divBdr>
    </w:div>
    <w:div w:id="1129783490">
      <w:bodyDiv w:val="1"/>
      <w:marLeft w:val="0"/>
      <w:marRight w:val="0"/>
      <w:marTop w:val="0"/>
      <w:marBottom w:val="0"/>
      <w:divBdr>
        <w:top w:val="none" w:sz="0" w:space="0" w:color="auto"/>
        <w:left w:val="none" w:sz="0" w:space="0" w:color="auto"/>
        <w:bottom w:val="none" w:sz="0" w:space="0" w:color="auto"/>
        <w:right w:val="none" w:sz="0" w:space="0" w:color="auto"/>
      </w:divBdr>
    </w:div>
    <w:div w:id="1251817146">
      <w:bodyDiv w:val="1"/>
      <w:marLeft w:val="0"/>
      <w:marRight w:val="0"/>
      <w:marTop w:val="0"/>
      <w:marBottom w:val="0"/>
      <w:divBdr>
        <w:top w:val="none" w:sz="0" w:space="0" w:color="auto"/>
        <w:left w:val="none" w:sz="0" w:space="0" w:color="auto"/>
        <w:bottom w:val="none" w:sz="0" w:space="0" w:color="auto"/>
        <w:right w:val="none" w:sz="0" w:space="0" w:color="auto"/>
      </w:divBdr>
    </w:div>
    <w:div w:id="1297760077">
      <w:bodyDiv w:val="1"/>
      <w:marLeft w:val="0"/>
      <w:marRight w:val="0"/>
      <w:marTop w:val="0"/>
      <w:marBottom w:val="0"/>
      <w:divBdr>
        <w:top w:val="none" w:sz="0" w:space="0" w:color="auto"/>
        <w:left w:val="none" w:sz="0" w:space="0" w:color="auto"/>
        <w:bottom w:val="none" w:sz="0" w:space="0" w:color="auto"/>
        <w:right w:val="none" w:sz="0" w:space="0" w:color="auto"/>
      </w:divBdr>
    </w:div>
    <w:div w:id="1558585796">
      <w:bodyDiv w:val="1"/>
      <w:marLeft w:val="0"/>
      <w:marRight w:val="0"/>
      <w:marTop w:val="0"/>
      <w:marBottom w:val="0"/>
      <w:divBdr>
        <w:top w:val="none" w:sz="0" w:space="0" w:color="auto"/>
        <w:left w:val="none" w:sz="0" w:space="0" w:color="auto"/>
        <w:bottom w:val="none" w:sz="0" w:space="0" w:color="auto"/>
        <w:right w:val="none" w:sz="0" w:space="0" w:color="auto"/>
      </w:divBdr>
    </w:div>
    <w:div w:id="1713457774">
      <w:bodyDiv w:val="1"/>
      <w:marLeft w:val="0"/>
      <w:marRight w:val="0"/>
      <w:marTop w:val="0"/>
      <w:marBottom w:val="0"/>
      <w:divBdr>
        <w:top w:val="none" w:sz="0" w:space="0" w:color="auto"/>
        <w:left w:val="none" w:sz="0" w:space="0" w:color="auto"/>
        <w:bottom w:val="none" w:sz="0" w:space="0" w:color="auto"/>
        <w:right w:val="none" w:sz="0" w:space="0" w:color="auto"/>
      </w:divBdr>
    </w:div>
    <w:div w:id="20963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3A49-61E9-4B72-A96B-E64DEE7D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Saavoss</dc:creator>
  <cp:lastModifiedBy>Berna</cp:lastModifiedBy>
  <cp:revision>3</cp:revision>
  <cp:lastPrinted>2015-01-16T21:27:00Z</cp:lastPrinted>
  <dcterms:created xsi:type="dcterms:W3CDTF">2015-04-01T23:37:00Z</dcterms:created>
  <dcterms:modified xsi:type="dcterms:W3CDTF">2015-04-01T23:38:00Z</dcterms:modified>
</cp:coreProperties>
</file>