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7A" w:rsidRPr="00DD7ABD" w:rsidRDefault="005E207A" w:rsidP="005E207A">
      <w:pPr>
        <w:rPr>
          <w:b/>
        </w:rPr>
      </w:pPr>
      <w:r w:rsidRPr="00DD7ABD">
        <w:rPr>
          <w:b/>
        </w:rPr>
        <w:t xml:space="preserve">APPENDIX </w:t>
      </w:r>
      <w:r w:rsidR="00DE26A9" w:rsidRPr="00DD7ABD">
        <w:rPr>
          <w:b/>
        </w:rPr>
        <w:t>D</w:t>
      </w:r>
      <w:r w:rsidRPr="00DD7ABD">
        <w:rPr>
          <w:b/>
        </w:rPr>
        <w:t>: Estimates of the Magnitude of Immortality Bias</w:t>
      </w:r>
    </w:p>
    <w:p w:rsidR="005E207A" w:rsidRPr="00DD7ABD" w:rsidRDefault="005E207A" w:rsidP="005E207A">
      <w:r w:rsidRPr="00DD7ABD">
        <w:t xml:space="preserve">Immortal time bias arises when the treatment status is determined after a waiting period following entry into study, and the time between entry into study and treatment is not included in analysis as unexposed time period.  </w:t>
      </w:r>
      <w:proofErr w:type="spellStart"/>
      <w:r w:rsidRPr="00DD7ABD">
        <w:t>Suissa</w:t>
      </w:r>
      <w:proofErr w:type="spellEnd"/>
      <w:r w:rsidRPr="00DD7ABD">
        <w:t xml:space="preserve"> (2007)</w:t>
      </w:r>
      <w:r w:rsidRPr="00DD7ABD">
        <w:rPr>
          <w:rStyle w:val="FootnoteReference"/>
        </w:rPr>
        <w:footnoteReference w:id="1"/>
      </w:r>
      <w:r w:rsidRPr="00DD7ABD">
        <w:t xml:space="preserve"> derives the relative magnitude of the immortal time bias as a ratio of the rate ratio in the presence of immortal time bias and the unbiased rate ratio that would result when the time between entry into study and treatment is properly classified as unexposed.  Let</w:t>
      </w:r>
    </w:p>
    <w:p w:rsidR="005E207A" w:rsidRPr="00DD7ABD" w:rsidRDefault="005E207A" w:rsidP="005E207A">
      <w:r w:rsidRPr="00DD7ABD">
        <w:t>T</w:t>
      </w:r>
      <w:r w:rsidRPr="00DD7ABD">
        <w:rPr>
          <w:vertAlign w:val="subscript"/>
        </w:rPr>
        <w:t>0</w:t>
      </w:r>
      <w:r w:rsidRPr="00DD7ABD">
        <w:t>=total person-time for control group</w:t>
      </w:r>
    </w:p>
    <w:p w:rsidR="005E207A" w:rsidRPr="00DD7ABD" w:rsidRDefault="005E207A" w:rsidP="005E207A">
      <w:r w:rsidRPr="00DD7ABD">
        <w:t>T</w:t>
      </w:r>
      <w:r w:rsidRPr="00DD7ABD">
        <w:rPr>
          <w:vertAlign w:val="subscript"/>
        </w:rPr>
        <w:t>1</w:t>
      </w:r>
      <w:r w:rsidRPr="00DD7ABD">
        <w:t>=total person-time for treatment group</w:t>
      </w:r>
    </w:p>
    <w:p w:rsidR="005E207A" w:rsidRPr="00DD7ABD" w:rsidRDefault="005E207A" w:rsidP="005E207A">
      <w:r w:rsidRPr="00DD7ABD">
        <w:t>k=ratio of person-time T</w:t>
      </w:r>
      <w:r w:rsidRPr="00DD7ABD">
        <w:rPr>
          <w:vertAlign w:val="subscript"/>
        </w:rPr>
        <w:t>0</w:t>
      </w:r>
      <w:r w:rsidRPr="00DD7ABD">
        <w:t>/T</w:t>
      </w:r>
      <w:r w:rsidRPr="00DD7ABD">
        <w:rPr>
          <w:vertAlign w:val="subscript"/>
        </w:rPr>
        <w:t>1</w:t>
      </w:r>
      <w:r w:rsidRPr="00DD7ABD">
        <w:t>, and</w:t>
      </w:r>
    </w:p>
    <w:p w:rsidR="005E207A" w:rsidRPr="00DD7ABD" w:rsidRDefault="005E207A" w:rsidP="005E207A">
      <w:r w:rsidRPr="00DD7ABD">
        <w:t xml:space="preserve">p=proportion of T that is unexposed </w:t>
      </w:r>
    </w:p>
    <w:p w:rsidR="005E207A" w:rsidRPr="00DD7ABD" w:rsidRDefault="005E207A" w:rsidP="005E207A">
      <w:r w:rsidRPr="00DD7ABD">
        <w:t xml:space="preserve">Then, based on </w:t>
      </w:r>
      <w:proofErr w:type="spellStart"/>
      <w:r w:rsidRPr="00DD7ABD">
        <w:t>Suissa</w:t>
      </w:r>
      <w:proofErr w:type="spellEnd"/>
      <w:r w:rsidRPr="00DD7ABD">
        <w:t xml:space="preserve"> (2007), the immortal time bias in</w:t>
      </w:r>
      <w:r w:rsidR="007325FF" w:rsidRPr="00DD7ABD">
        <w:t xml:space="preserve"> </w:t>
      </w:r>
      <w:r w:rsidR="0034758F" w:rsidRPr="00DD7ABD">
        <w:t>event</w:t>
      </w:r>
      <w:r w:rsidRPr="00DD7ABD">
        <w:t xml:space="preserve">-based cohorts </w:t>
      </w:r>
      <w:r w:rsidR="0034758F" w:rsidRPr="00DD7ABD">
        <w:t xml:space="preserve">when the rate of outcome is constant over time </w:t>
      </w:r>
      <w:r w:rsidRPr="00DD7ABD">
        <w:t>is given by</w:t>
      </w:r>
    </w:p>
    <w:p w:rsidR="005E207A" w:rsidRPr="00DD7ABD" w:rsidRDefault="00DD7ABD" w:rsidP="005E207A">
      <w:pPr>
        <w:rPr>
          <w:rFonts w:eastAsiaTheme="minorEastAsia"/>
        </w:rPr>
      </w:pPr>
      <m:oMathPara>
        <m:oMath>
          <m:r>
            <w:rPr>
              <w:rFonts w:ascii="Cambria Math" w:hAnsi="Cambria Math"/>
            </w:rPr>
            <m:t>Bias=</m:t>
          </m:r>
          <m:f>
            <m:fPr>
              <m:type m:val="skw"/>
              <m:ctrlPr>
                <w:rPr>
                  <w:rFonts w:ascii="Cambria Math" w:hAnsi="Cambria Math"/>
                  <w:i/>
                </w:rPr>
              </m:ctrlPr>
            </m:fPr>
            <m:num>
              <m:sSub>
                <m:sSubPr>
                  <m:ctrlPr>
                    <w:rPr>
                      <w:rFonts w:ascii="Cambria Math" w:hAnsi="Cambria Math"/>
                      <w:i/>
                    </w:rPr>
                  </m:ctrlPr>
                </m:sSubPr>
                <m:e>
                  <m:r>
                    <w:rPr>
                      <w:rFonts w:ascii="Cambria Math" w:hAnsi="Cambria Math"/>
                    </w:rPr>
                    <m:t>RR</m:t>
                  </m:r>
                </m:e>
                <m:sub>
                  <m:r>
                    <w:rPr>
                      <w:rFonts w:ascii="Cambria Math" w:hAnsi="Cambria Math"/>
                    </w:rPr>
                    <m:t>b</m:t>
                  </m:r>
                </m:sub>
              </m:sSub>
            </m:num>
            <m:den>
              <m:sSub>
                <m:sSubPr>
                  <m:ctrlPr>
                    <w:rPr>
                      <w:rFonts w:ascii="Cambria Math" w:hAnsi="Cambria Math"/>
                      <w:i/>
                    </w:rPr>
                  </m:ctrlPr>
                </m:sSubPr>
                <m:e>
                  <m:r>
                    <w:rPr>
                      <w:rFonts w:ascii="Cambria Math" w:hAnsi="Cambria Math"/>
                    </w:rPr>
                    <m:t>RR</m:t>
                  </m:r>
                </m:e>
                <m:sub>
                  <m:r>
                    <w:rPr>
                      <w:rFonts w:ascii="Cambria Math" w:hAnsi="Cambria Math"/>
                    </w:rPr>
                    <m:t>u</m:t>
                  </m:r>
                </m:sub>
              </m:sSub>
            </m:den>
          </m:f>
          <m:r>
            <w:rPr>
              <w:rFonts w:ascii="Cambria Math" w:hAnsi="Cambria Math"/>
            </w:rPr>
            <m:t>=</m:t>
          </m:r>
          <m:f>
            <m:fPr>
              <m:type m:val="skw"/>
              <m:ctrlPr>
                <w:rPr>
                  <w:rFonts w:ascii="Cambria Math" w:hAnsi="Cambria Math"/>
                  <w:i/>
                </w:rPr>
              </m:ctrlPr>
            </m:fPr>
            <m:num>
              <m:r>
                <w:rPr>
                  <w:rFonts w:ascii="Cambria Math" w:hAnsi="Cambria Math"/>
                </w:rPr>
                <m:t>k(1-p)</m:t>
              </m:r>
            </m:num>
            <m:den>
              <m:r>
                <w:rPr>
                  <w:rFonts w:ascii="Cambria Math" w:hAnsi="Cambria Math"/>
                </w:rPr>
                <m:t>(k+p)</m:t>
              </m:r>
            </m:den>
          </m:f>
        </m:oMath>
      </m:oMathPara>
    </w:p>
    <w:p w:rsidR="005E207A" w:rsidRPr="00DD7ABD" w:rsidRDefault="005E207A" w:rsidP="005E207A">
      <w:pPr>
        <w:rPr>
          <w:rFonts w:eastAsiaTheme="minorEastAsia"/>
        </w:rPr>
      </w:pPr>
      <w:proofErr w:type="gramStart"/>
      <w:r w:rsidRPr="00DD7ABD">
        <w:rPr>
          <w:rFonts w:eastAsiaTheme="minorEastAsia"/>
        </w:rPr>
        <w:t>where</w:t>
      </w:r>
      <w:proofErr w:type="gramEnd"/>
      <w:r w:rsidRPr="00DD7ABD">
        <w:rPr>
          <w:rFonts w:eastAsiaTheme="minorEastAsia"/>
        </w:rPr>
        <w:t xml:space="preserve"> </w:t>
      </w:r>
      <w:proofErr w:type="spellStart"/>
      <w:r w:rsidRPr="00DD7ABD">
        <w:rPr>
          <w:rFonts w:eastAsiaTheme="minorEastAsia"/>
        </w:rPr>
        <w:t>RR</w:t>
      </w:r>
      <w:r w:rsidRPr="00DD7ABD">
        <w:rPr>
          <w:rFonts w:eastAsiaTheme="minorEastAsia"/>
          <w:vertAlign w:val="subscript"/>
        </w:rPr>
        <w:t>b</w:t>
      </w:r>
      <w:proofErr w:type="spellEnd"/>
      <w:r w:rsidRPr="00DD7ABD">
        <w:rPr>
          <w:rFonts w:eastAsiaTheme="minorEastAsia"/>
        </w:rPr>
        <w:t xml:space="preserve"> is the biased rate ratio, and </w:t>
      </w:r>
      <w:proofErr w:type="spellStart"/>
      <w:r w:rsidRPr="00DD7ABD">
        <w:rPr>
          <w:rFonts w:eastAsiaTheme="minorEastAsia"/>
        </w:rPr>
        <w:t>RR</w:t>
      </w:r>
      <w:r w:rsidRPr="00DD7ABD">
        <w:rPr>
          <w:rFonts w:eastAsiaTheme="minorEastAsia"/>
          <w:vertAlign w:val="subscript"/>
        </w:rPr>
        <w:t>u</w:t>
      </w:r>
      <w:proofErr w:type="spellEnd"/>
      <w:r w:rsidRPr="00DD7ABD">
        <w:rPr>
          <w:rFonts w:eastAsiaTheme="minorEastAsia"/>
        </w:rPr>
        <w:t xml:space="preserve"> is the unbiased rate ratio.</w:t>
      </w:r>
    </w:p>
    <w:p w:rsidR="005E207A" w:rsidRPr="00DD7ABD" w:rsidRDefault="005E207A" w:rsidP="005E207A">
      <w:pPr>
        <w:rPr>
          <w:rFonts w:eastAsiaTheme="minorEastAsia"/>
        </w:rPr>
      </w:pPr>
      <w:r w:rsidRPr="00DD7ABD">
        <w:rPr>
          <w:rFonts w:eastAsiaTheme="minorEastAsia"/>
        </w:rPr>
        <w:t xml:space="preserve">The bias calculations for the analysis samples used in our paper are presented in Table </w:t>
      </w:r>
      <w:r w:rsidR="00DE26A9" w:rsidRPr="00DD7ABD">
        <w:rPr>
          <w:rFonts w:eastAsiaTheme="minorEastAsia"/>
        </w:rPr>
        <w:t>D</w:t>
      </w:r>
      <w:r w:rsidR="007C589E" w:rsidRPr="00DD7ABD">
        <w:rPr>
          <w:rFonts w:eastAsiaTheme="minorEastAsia"/>
        </w:rPr>
        <w:t xml:space="preserve">1 </w:t>
      </w:r>
      <w:r w:rsidRPr="00DD7ABD">
        <w:rPr>
          <w:rFonts w:eastAsiaTheme="minorEastAsia"/>
        </w:rPr>
        <w:t>below.</w:t>
      </w:r>
    </w:p>
    <w:p w:rsidR="005E207A" w:rsidRPr="00DD7ABD" w:rsidRDefault="005E207A" w:rsidP="005E207A">
      <w:pPr>
        <w:contextualSpacing/>
        <w:jc w:val="center"/>
        <w:rPr>
          <w:b/>
        </w:rPr>
      </w:pPr>
      <w:bookmarkStart w:id="0" w:name="_GoBack"/>
      <w:r w:rsidRPr="00DD7ABD">
        <w:rPr>
          <w:b/>
        </w:rPr>
        <w:t xml:space="preserve">Table </w:t>
      </w:r>
      <w:r w:rsidR="00DE26A9" w:rsidRPr="00DD7ABD">
        <w:rPr>
          <w:b/>
        </w:rPr>
        <w:t>D1</w:t>
      </w:r>
      <w:r w:rsidRPr="00DD7ABD">
        <w:rPr>
          <w:b/>
        </w:rPr>
        <w:t>. Magnitude of the Immortal Time Bias</w:t>
      </w:r>
    </w:p>
    <w:tbl>
      <w:tblPr>
        <w:tblW w:w="6420" w:type="dxa"/>
        <w:jc w:val="center"/>
        <w:tblLook w:val="04A0" w:firstRow="1" w:lastRow="0" w:firstColumn="1" w:lastColumn="0" w:noHBand="0" w:noVBand="1"/>
      </w:tblPr>
      <w:tblGrid>
        <w:gridCol w:w="4440"/>
        <w:gridCol w:w="1980"/>
      </w:tblGrid>
      <w:tr w:rsidR="005E207A" w:rsidRPr="00DD7ABD" w:rsidTr="009E337B">
        <w:trPr>
          <w:trHeight w:val="360"/>
          <w:jc w:val="center"/>
        </w:trPr>
        <w:tc>
          <w:tcPr>
            <w:tcW w:w="4440" w:type="dxa"/>
            <w:tcBorders>
              <w:top w:val="single" w:sz="4" w:space="0" w:color="auto"/>
              <w:left w:val="single" w:sz="4" w:space="0" w:color="auto"/>
              <w:bottom w:val="single" w:sz="4" w:space="0" w:color="auto"/>
              <w:right w:val="single" w:sz="4" w:space="0" w:color="auto"/>
            </w:tcBorders>
            <w:shd w:val="clear" w:color="000000" w:fill="FFFFFF"/>
            <w:hideMark/>
          </w:tcPr>
          <w:bookmarkEnd w:id="0"/>
          <w:p w:rsidR="005E207A" w:rsidRPr="00DD7ABD" w:rsidRDefault="005E207A" w:rsidP="009E337B">
            <w:pPr>
              <w:spacing w:after="0" w:line="240" w:lineRule="auto"/>
              <w:rPr>
                <w:rFonts w:ascii="Calibri" w:eastAsia="Times New Roman" w:hAnsi="Calibri" w:cs="Times New Roman"/>
                <w:bCs/>
              </w:rPr>
            </w:pPr>
            <w:r w:rsidRPr="00DD7ABD">
              <w:rPr>
                <w:rFonts w:ascii="Calibri" w:eastAsia="Times New Roman" w:hAnsi="Calibri" w:cs="Times New Roman"/>
                <w:bCs/>
              </w:rPr>
              <w:t>Condition Group</w:t>
            </w:r>
          </w:p>
        </w:tc>
        <w:tc>
          <w:tcPr>
            <w:tcW w:w="1980" w:type="dxa"/>
            <w:tcBorders>
              <w:top w:val="single" w:sz="4" w:space="0" w:color="auto"/>
              <w:left w:val="nil"/>
              <w:bottom w:val="single" w:sz="4" w:space="0" w:color="auto"/>
              <w:right w:val="single" w:sz="4" w:space="0" w:color="auto"/>
            </w:tcBorders>
            <w:shd w:val="clear" w:color="auto" w:fill="auto"/>
            <w:noWrap/>
            <w:hideMark/>
          </w:tcPr>
          <w:p w:rsidR="005E207A" w:rsidRPr="00DD7ABD" w:rsidRDefault="005E207A" w:rsidP="009E337B">
            <w:pPr>
              <w:spacing w:after="0" w:line="240" w:lineRule="auto"/>
              <w:jc w:val="center"/>
              <w:rPr>
                <w:rFonts w:ascii="Calibri" w:eastAsia="Times New Roman" w:hAnsi="Calibri" w:cs="Times New Roman"/>
                <w:bCs/>
                <w:color w:val="000000"/>
              </w:rPr>
            </w:pPr>
            <w:r w:rsidRPr="00DD7ABD">
              <w:rPr>
                <w:rFonts w:ascii="Calibri" w:eastAsia="Times New Roman" w:hAnsi="Calibri" w:cs="Times New Roman"/>
                <w:bCs/>
                <w:color w:val="000000"/>
              </w:rPr>
              <w:t>Bias=</w:t>
            </w:r>
            <w:proofErr w:type="spellStart"/>
            <w:r w:rsidRPr="00DD7ABD">
              <w:rPr>
                <w:rFonts w:ascii="Calibri" w:eastAsia="Times New Roman" w:hAnsi="Calibri" w:cs="Times New Roman"/>
                <w:bCs/>
                <w:color w:val="000000"/>
              </w:rPr>
              <w:t>RR</w:t>
            </w:r>
            <w:r w:rsidRPr="00DD7ABD">
              <w:rPr>
                <w:rFonts w:ascii="Calibri" w:eastAsia="Times New Roman" w:hAnsi="Calibri" w:cs="Times New Roman"/>
                <w:bCs/>
                <w:color w:val="000000"/>
                <w:vertAlign w:val="subscript"/>
              </w:rPr>
              <w:t>b</w:t>
            </w:r>
            <w:proofErr w:type="spellEnd"/>
            <w:r w:rsidRPr="00DD7ABD">
              <w:rPr>
                <w:rFonts w:ascii="Calibri" w:eastAsia="Times New Roman" w:hAnsi="Calibri" w:cs="Times New Roman"/>
                <w:bCs/>
                <w:color w:val="000000"/>
              </w:rPr>
              <w:t>/</w:t>
            </w:r>
            <w:proofErr w:type="spellStart"/>
            <w:r w:rsidRPr="00DD7ABD">
              <w:rPr>
                <w:rFonts w:ascii="Calibri" w:eastAsia="Times New Roman" w:hAnsi="Calibri" w:cs="Times New Roman"/>
                <w:bCs/>
                <w:color w:val="000000"/>
              </w:rPr>
              <w:t>RR</w:t>
            </w:r>
            <w:r w:rsidRPr="00DD7ABD">
              <w:rPr>
                <w:rFonts w:ascii="Calibri" w:eastAsia="Times New Roman" w:hAnsi="Calibri" w:cs="Times New Roman"/>
                <w:bCs/>
                <w:color w:val="000000"/>
                <w:vertAlign w:val="subscript"/>
              </w:rPr>
              <w:t>u</w:t>
            </w:r>
            <w:proofErr w:type="spellEnd"/>
          </w:p>
        </w:tc>
      </w:tr>
      <w:tr w:rsidR="005E207A" w:rsidRPr="00DD7ABD" w:rsidTr="009E337B">
        <w:trPr>
          <w:trHeight w:val="360"/>
          <w:jc w:val="center"/>
        </w:trPr>
        <w:tc>
          <w:tcPr>
            <w:tcW w:w="4440" w:type="dxa"/>
            <w:tcBorders>
              <w:top w:val="nil"/>
              <w:left w:val="single" w:sz="4" w:space="0" w:color="auto"/>
              <w:right w:val="single" w:sz="4" w:space="0" w:color="auto"/>
            </w:tcBorders>
            <w:shd w:val="clear" w:color="auto" w:fill="auto"/>
            <w:noWrap/>
            <w:hideMark/>
          </w:tcPr>
          <w:p w:rsidR="005E207A" w:rsidRPr="00DD7ABD" w:rsidRDefault="005E207A" w:rsidP="009E337B">
            <w:pPr>
              <w:spacing w:after="0" w:line="240" w:lineRule="auto"/>
              <w:rPr>
                <w:rFonts w:ascii="Calibri" w:eastAsia="Times New Roman" w:hAnsi="Calibri" w:cs="Times New Roman"/>
                <w:color w:val="000000"/>
              </w:rPr>
            </w:pPr>
            <w:r w:rsidRPr="00DD7ABD">
              <w:rPr>
                <w:rFonts w:ascii="Calibri" w:eastAsia="Times New Roman" w:hAnsi="Calibri" w:cs="Times New Roman"/>
                <w:color w:val="000000"/>
              </w:rPr>
              <w:t>MDC=04 Respiratory</w:t>
            </w:r>
          </w:p>
          <w:p w:rsidR="005E207A" w:rsidRPr="00DD7ABD" w:rsidRDefault="005E207A" w:rsidP="009E337B">
            <w:pPr>
              <w:spacing w:after="0" w:line="240" w:lineRule="auto"/>
              <w:rPr>
                <w:rFonts w:ascii="Calibri" w:eastAsia="Times New Roman" w:hAnsi="Calibri" w:cs="Times New Roman"/>
                <w:color w:val="000000"/>
              </w:rPr>
            </w:pPr>
            <w:r w:rsidRPr="00DD7ABD">
              <w:rPr>
                <w:rFonts w:ascii="Calibri" w:eastAsia="Times New Roman" w:hAnsi="Calibri" w:cs="Times New Roman"/>
                <w:color w:val="000000"/>
              </w:rPr>
              <w:t> </w:t>
            </w:r>
          </w:p>
        </w:tc>
        <w:tc>
          <w:tcPr>
            <w:tcW w:w="1980" w:type="dxa"/>
            <w:tcBorders>
              <w:top w:val="nil"/>
              <w:left w:val="nil"/>
              <w:right w:val="single" w:sz="4" w:space="0" w:color="auto"/>
            </w:tcBorders>
            <w:shd w:val="clear" w:color="auto" w:fill="auto"/>
            <w:noWrap/>
            <w:hideMark/>
          </w:tcPr>
          <w:p w:rsidR="005E207A" w:rsidRPr="00DD7ABD" w:rsidRDefault="005E207A" w:rsidP="009E337B">
            <w:pPr>
              <w:spacing w:after="0" w:line="240" w:lineRule="auto"/>
              <w:jc w:val="center"/>
              <w:rPr>
                <w:rFonts w:ascii="Calibri" w:eastAsia="Times New Roman" w:hAnsi="Calibri" w:cs="Times New Roman"/>
                <w:color w:val="000000"/>
              </w:rPr>
            </w:pPr>
            <w:r w:rsidRPr="00DD7ABD">
              <w:rPr>
                <w:rFonts w:ascii="Calibri" w:eastAsia="Times New Roman" w:hAnsi="Calibri" w:cs="Times New Roman"/>
                <w:color w:val="000000"/>
              </w:rPr>
              <w:t>0.</w:t>
            </w:r>
            <w:r w:rsidR="00141D2D" w:rsidRPr="00DD7ABD">
              <w:rPr>
                <w:rFonts w:ascii="Calibri" w:eastAsia="Times New Roman" w:hAnsi="Calibri" w:cs="Times New Roman"/>
                <w:color w:val="000000"/>
              </w:rPr>
              <w:t>9</w:t>
            </w:r>
            <w:r w:rsidR="00667950" w:rsidRPr="00DD7ABD">
              <w:rPr>
                <w:rFonts w:ascii="Calibri" w:eastAsia="Times New Roman" w:hAnsi="Calibri" w:cs="Times New Roman"/>
                <w:color w:val="000000"/>
              </w:rPr>
              <w:t>87</w:t>
            </w:r>
          </w:p>
          <w:p w:rsidR="005E207A" w:rsidRPr="00DD7ABD" w:rsidRDefault="005E207A" w:rsidP="009E337B">
            <w:pPr>
              <w:spacing w:after="0" w:line="240" w:lineRule="auto"/>
              <w:jc w:val="center"/>
              <w:rPr>
                <w:rFonts w:ascii="Calibri" w:eastAsia="Times New Roman" w:hAnsi="Calibri" w:cs="Times New Roman"/>
                <w:color w:val="000000"/>
              </w:rPr>
            </w:pPr>
            <w:r w:rsidRPr="00DD7ABD">
              <w:rPr>
                <w:rFonts w:ascii="Calibri" w:eastAsia="Times New Roman" w:hAnsi="Calibri" w:cs="Times New Roman"/>
                <w:color w:val="000000"/>
              </w:rPr>
              <w:t> </w:t>
            </w:r>
          </w:p>
        </w:tc>
      </w:tr>
      <w:tr w:rsidR="005E207A" w:rsidRPr="00DD7ABD" w:rsidTr="009E337B">
        <w:trPr>
          <w:trHeight w:val="360"/>
          <w:jc w:val="center"/>
        </w:trPr>
        <w:tc>
          <w:tcPr>
            <w:tcW w:w="4440" w:type="dxa"/>
            <w:tcBorders>
              <w:top w:val="nil"/>
              <w:left w:val="single" w:sz="4" w:space="0" w:color="auto"/>
              <w:right w:val="single" w:sz="4" w:space="0" w:color="auto"/>
            </w:tcBorders>
            <w:shd w:val="clear" w:color="auto" w:fill="auto"/>
            <w:noWrap/>
            <w:hideMark/>
          </w:tcPr>
          <w:p w:rsidR="005E207A" w:rsidRPr="00DD7ABD" w:rsidRDefault="005E207A" w:rsidP="009E337B">
            <w:pPr>
              <w:spacing w:after="0" w:line="240" w:lineRule="auto"/>
              <w:rPr>
                <w:rFonts w:ascii="Calibri" w:eastAsia="Times New Roman" w:hAnsi="Calibri" w:cs="Times New Roman"/>
                <w:color w:val="000000"/>
              </w:rPr>
            </w:pPr>
            <w:r w:rsidRPr="00DD7ABD">
              <w:rPr>
                <w:rFonts w:ascii="Calibri" w:eastAsia="Times New Roman" w:hAnsi="Calibri" w:cs="Times New Roman"/>
                <w:color w:val="000000"/>
              </w:rPr>
              <w:t>MDC=05 Circulatory</w:t>
            </w:r>
          </w:p>
          <w:p w:rsidR="005E207A" w:rsidRPr="00DD7ABD" w:rsidRDefault="005E207A" w:rsidP="009E337B">
            <w:pPr>
              <w:spacing w:after="0" w:line="240" w:lineRule="auto"/>
              <w:rPr>
                <w:rFonts w:ascii="Calibri" w:eastAsia="Times New Roman" w:hAnsi="Calibri" w:cs="Times New Roman"/>
                <w:color w:val="000000"/>
              </w:rPr>
            </w:pPr>
            <w:r w:rsidRPr="00DD7ABD">
              <w:rPr>
                <w:rFonts w:ascii="Calibri" w:eastAsia="Times New Roman" w:hAnsi="Calibri" w:cs="Times New Roman"/>
                <w:color w:val="000000"/>
              </w:rPr>
              <w:t> </w:t>
            </w:r>
          </w:p>
        </w:tc>
        <w:tc>
          <w:tcPr>
            <w:tcW w:w="1980" w:type="dxa"/>
            <w:tcBorders>
              <w:top w:val="nil"/>
              <w:left w:val="nil"/>
              <w:right w:val="single" w:sz="4" w:space="0" w:color="auto"/>
            </w:tcBorders>
            <w:shd w:val="clear" w:color="auto" w:fill="auto"/>
            <w:noWrap/>
            <w:hideMark/>
          </w:tcPr>
          <w:p w:rsidR="005E207A" w:rsidRPr="00DD7ABD" w:rsidRDefault="005E207A" w:rsidP="009E337B">
            <w:pPr>
              <w:spacing w:after="0" w:line="240" w:lineRule="auto"/>
              <w:jc w:val="center"/>
              <w:rPr>
                <w:rFonts w:ascii="Calibri" w:eastAsia="Times New Roman" w:hAnsi="Calibri" w:cs="Times New Roman"/>
                <w:color w:val="000000"/>
              </w:rPr>
            </w:pPr>
            <w:r w:rsidRPr="00DD7ABD">
              <w:rPr>
                <w:rFonts w:ascii="Calibri" w:eastAsia="Times New Roman" w:hAnsi="Calibri" w:cs="Times New Roman"/>
                <w:color w:val="000000"/>
              </w:rPr>
              <w:t>0.</w:t>
            </w:r>
            <w:r w:rsidR="00667950" w:rsidRPr="00DD7ABD">
              <w:rPr>
                <w:rFonts w:ascii="Calibri" w:eastAsia="Times New Roman" w:hAnsi="Calibri" w:cs="Times New Roman"/>
                <w:color w:val="000000"/>
              </w:rPr>
              <w:t>984</w:t>
            </w:r>
          </w:p>
          <w:p w:rsidR="005E207A" w:rsidRPr="00DD7ABD" w:rsidRDefault="005E207A" w:rsidP="009E337B">
            <w:pPr>
              <w:spacing w:after="0" w:line="240" w:lineRule="auto"/>
              <w:jc w:val="center"/>
              <w:rPr>
                <w:rFonts w:ascii="Calibri" w:eastAsia="Times New Roman" w:hAnsi="Calibri" w:cs="Times New Roman"/>
                <w:color w:val="000000"/>
              </w:rPr>
            </w:pPr>
            <w:r w:rsidRPr="00DD7ABD">
              <w:rPr>
                <w:rFonts w:ascii="Calibri" w:eastAsia="Times New Roman" w:hAnsi="Calibri" w:cs="Times New Roman"/>
                <w:color w:val="000000"/>
              </w:rPr>
              <w:t> </w:t>
            </w:r>
          </w:p>
        </w:tc>
      </w:tr>
      <w:tr w:rsidR="005E207A" w:rsidRPr="00DD7ABD" w:rsidTr="009E337B">
        <w:trPr>
          <w:trHeight w:val="360"/>
          <w:jc w:val="center"/>
        </w:trPr>
        <w:tc>
          <w:tcPr>
            <w:tcW w:w="4440" w:type="dxa"/>
            <w:tcBorders>
              <w:top w:val="nil"/>
              <w:left w:val="single" w:sz="4" w:space="0" w:color="auto"/>
              <w:right w:val="single" w:sz="4" w:space="0" w:color="auto"/>
            </w:tcBorders>
            <w:shd w:val="clear" w:color="auto" w:fill="auto"/>
            <w:noWrap/>
            <w:hideMark/>
          </w:tcPr>
          <w:p w:rsidR="005E207A" w:rsidRPr="00DD7ABD" w:rsidRDefault="005E207A" w:rsidP="009E337B">
            <w:pPr>
              <w:spacing w:after="0" w:line="240" w:lineRule="auto"/>
              <w:rPr>
                <w:rFonts w:ascii="Calibri" w:eastAsia="Times New Roman" w:hAnsi="Calibri" w:cs="Times New Roman"/>
                <w:color w:val="000000"/>
              </w:rPr>
            </w:pPr>
            <w:r w:rsidRPr="00DD7ABD">
              <w:rPr>
                <w:rFonts w:ascii="Calibri" w:eastAsia="Times New Roman" w:hAnsi="Calibri" w:cs="Times New Roman"/>
                <w:color w:val="000000"/>
              </w:rPr>
              <w:t>MDC=06 Digestive</w:t>
            </w:r>
          </w:p>
          <w:p w:rsidR="005E207A" w:rsidRPr="00DD7ABD" w:rsidRDefault="005E207A" w:rsidP="009E337B">
            <w:pPr>
              <w:spacing w:after="0" w:line="240" w:lineRule="auto"/>
              <w:rPr>
                <w:rFonts w:ascii="Calibri" w:eastAsia="Times New Roman" w:hAnsi="Calibri" w:cs="Times New Roman"/>
                <w:color w:val="000000"/>
              </w:rPr>
            </w:pPr>
            <w:r w:rsidRPr="00DD7ABD">
              <w:rPr>
                <w:rFonts w:ascii="Calibri" w:eastAsia="Times New Roman" w:hAnsi="Calibri" w:cs="Times New Roman"/>
                <w:color w:val="000000"/>
              </w:rPr>
              <w:t> </w:t>
            </w:r>
          </w:p>
        </w:tc>
        <w:tc>
          <w:tcPr>
            <w:tcW w:w="1980" w:type="dxa"/>
            <w:tcBorders>
              <w:top w:val="nil"/>
              <w:left w:val="nil"/>
              <w:right w:val="single" w:sz="4" w:space="0" w:color="auto"/>
            </w:tcBorders>
            <w:shd w:val="clear" w:color="auto" w:fill="auto"/>
            <w:noWrap/>
            <w:hideMark/>
          </w:tcPr>
          <w:p w:rsidR="005E207A" w:rsidRPr="00DD7ABD" w:rsidRDefault="005E207A" w:rsidP="009E337B">
            <w:pPr>
              <w:spacing w:after="0" w:line="240" w:lineRule="auto"/>
              <w:jc w:val="center"/>
              <w:rPr>
                <w:rFonts w:ascii="Calibri" w:eastAsia="Times New Roman" w:hAnsi="Calibri" w:cs="Times New Roman"/>
                <w:color w:val="000000"/>
              </w:rPr>
            </w:pPr>
            <w:r w:rsidRPr="00DD7ABD">
              <w:rPr>
                <w:rFonts w:ascii="Calibri" w:eastAsia="Times New Roman" w:hAnsi="Calibri" w:cs="Times New Roman"/>
                <w:color w:val="000000"/>
              </w:rPr>
              <w:t>0.</w:t>
            </w:r>
            <w:r w:rsidR="00141D2D" w:rsidRPr="00DD7ABD">
              <w:rPr>
                <w:rFonts w:ascii="Calibri" w:eastAsia="Times New Roman" w:hAnsi="Calibri" w:cs="Times New Roman"/>
                <w:color w:val="000000"/>
              </w:rPr>
              <w:t>9</w:t>
            </w:r>
            <w:r w:rsidR="00667950" w:rsidRPr="00DD7ABD">
              <w:rPr>
                <w:rFonts w:ascii="Calibri" w:eastAsia="Times New Roman" w:hAnsi="Calibri" w:cs="Times New Roman"/>
                <w:color w:val="000000"/>
              </w:rPr>
              <w:t>82</w:t>
            </w:r>
          </w:p>
          <w:p w:rsidR="005E207A" w:rsidRPr="00DD7ABD" w:rsidRDefault="005E207A" w:rsidP="009E337B">
            <w:pPr>
              <w:spacing w:after="0" w:line="240" w:lineRule="auto"/>
              <w:jc w:val="center"/>
              <w:rPr>
                <w:rFonts w:ascii="Calibri" w:eastAsia="Times New Roman" w:hAnsi="Calibri" w:cs="Times New Roman"/>
                <w:color w:val="000000"/>
              </w:rPr>
            </w:pPr>
            <w:r w:rsidRPr="00DD7ABD">
              <w:rPr>
                <w:rFonts w:ascii="Calibri" w:eastAsia="Times New Roman" w:hAnsi="Calibri" w:cs="Times New Roman"/>
                <w:color w:val="000000"/>
              </w:rPr>
              <w:t> </w:t>
            </w:r>
          </w:p>
        </w:tc>
      </w:tr>
      <w:tr w:rsidR="005E207A" w:rsidRPr="00DD7ABD" w:rsidTr="009E337B">
        <w:trPr>
          <w:trHeight w:val="360"/>
          <w:jc w:val="center"/>
        </w:trPr>
        <w:tc>
          <w:tcPr>
            <w:tcW w:w="4440" w:type="dxa"/>
            <w:tcBorders>
              <w:top w:val="nil"/>
              <w:left w:val="single" w:sz="4" w:space="0" w:color="auto"/>
              <w:right w:val="single" w:sz="4" w:space="0" w:color="auto"/>
            </w:tcBorders>
            <w:shd w:val="clear" w:color="auto" w:fill="auto"/>
            <w:noWrap/>
            <w:hideMark/>
          </w:tcPr>
          <w:p w:rsidR="005E207A" w:rsidRPr="00DD7ABD" w:rsidRDefault="005E207A" w:rsidP="009E337B">
            <w:pPr>
              <w:spacing w:after="0" w:line="240" w:lineRule="auto"/>
              <w:rPr>
                <w:rFonts w:ascii="Calibri" w:eastAsia="Times New Roman" w:hAnsi="Calibri" w:cs="Times New Roman"/>
                <w:color w:val="000000"/>
              </w:rPr>
            </w:pPr>
            <w:r w:rsidRPr="00DD7ABD">
              <w:rPr>
                <w:rFonts w:ascii="Calibri" w:eastAsia="Times New Roman" w:hAnsi="Calibri" w:cs="Times New Roman"/>
                <w:color w:val="000000"/>
              </w:rPr>
              <w:t>MDC=08 Musculoskeletal &amp; Connective Tissue</w:t>
            </w:r>
          </w:p>
          <w:p w:rsidR="005E207A" w:rsidRPr="00DD7ABD" w:rsidRDefault="005E207A" w:rsidP="009E337B">
            <w:pPr>
              <w:spacing w:after="0" w:line="240" w:lineRule="auto"/>
              <w:rPr>
                <w:rFonts w:ascii="Calibri" w:eastAsia="Times New Roman" w:hAnsi="Calibri" w:cs="Times New Roman"/>
                <w:color w:val="000000"/>
              </w:rPr>
            </w:pPr>
            <w:r w:rsidRPr="00DD7ABD">
              <w:rPr>
                <w:rFonts w:ascii="Calibri" w:eastAsia="Times New Roman" w:hAnsi="Calibri" w:cs="Times New Roman"/>
                <w:color w:val="000000"/>
              </w:rPr>
              <w:t> </w:t>
            </w:r>
          </w:p>
        </w:tc>
        <w:tc>
          <w:tcPr>
            <w:tcW w:w="1980" w:type="dxa"/>
            <w:tcBorders>
              <w:top w:val="nil"/>
              <w:left w:val="nil"/>
              <w:right w:val="single" w:sz="4" w:space="0" w:color="auto"/>
            </w:tcBorders>
            <w:shd w:val="clear" w:color="auto" w:fill="auto"/>
            <w:noWrap/>
            <w:hideMark/>
          </w:tcPr>
          <w:p w:rsidR="005E207A" w:rsidRPr="00DD7ABD" w:rsidRDefault="005E207A" w:rsidP="009E337B">
            <w:pPr>
              <w:spacing w:after="0" w:line="240" w:lineRule="auto"/>
              <w:jc w:val="center"/>
              <w:rPr>
                <w:rFonts w:ascii="Calibri" w:eastAsia="Times New Roman" w:hAnsi="Calibri" w:cs="Times New Roman"/>
                <w:color w:val="000000"/>
              </w:rPr>
            </w:pPr>
            <w:r w:rsidRPr="00DD7ABD">
              <w:rPr>
                <w:rFonts w:ascii="Calibri" w:eastAsia="Times New Roman" w:hAnsi="Calibri" w:cs="Times New Roman"/>
                <w:color w:val="000000"/>
              </w:rPr>
              <w:t>0.</w:t>
            </w:r>
            <w:r w:rsidR="00141D2D" w:rsidRPr="00DD7ABD">
              <w:rPr>
                <w:rFonts w:ascii="Calibri" w:eastAsia="Times New Roman" w:hAnsi="Calibri" w:cs="Times New Roman"/>
                <w:color w:val="000000"/>
              </w:rPr>
              <w:t>9</w:t>
            </w:r>
            <w:r w:rsidR="00667950" w:rsidRPr="00DD7ABD">
              <w:rPr>
                <w:rFonts w:ascii="Calibri" w:eastAsia="Times New Roman" w:hAnsi="Calibri" w:cs="Times New Roman"/>
                <w:color w:val="000000"/>
              </w:rPr>
              <w:t>89</w:t>
            </w:r>
          </w:p>
          <w:p w:rsidR="005E207A" w:rsidRPr="00DD7ABD" w:rsidRDefault="005E207A" w:rsidP="009E337B">
            <w:pPr>
              <w:spacing w:after="0" w:line="240" w:lineRule="auto"/>
              <w:jc w:val="center"/>
              <w:rPr>
                <w:rFonts w:ascii="Calibri" w:eastAsia="Times New Roman" w:hAnsi="Calibri" w:cs="Times New Roman"/>
                <w:color w:val="000000"/>
              </w:rPr>
            </w:pPr>
            <w:r w:rsidRPr="00DD7ABD">
              <w:rPr>
                <w:rFonts w:ascii="Calibri" w:eastAsia="Times New Roman" w:hAnsi="Calibri" w:cs="Times New Roman"/>
                <w:color w:val="000000"/>
              </w:rPr>
              <w:t> </w:t>
            </w:r>
          </w:p>
        </w:tc>
      </w:tr>
      <w:tr w:rsidR="005E207A" w:rsidRPr="00DD7ABD" w:rsidTr="009E337B">
        <w:trPr>
          <w:trHeight w:val="360"/>
          <w:jc w:val="center"/>
        </w:trPr>
        <w:tc>
          <w:tcPr>
            <w:tcW w:w="4440" w:type="dxa"/>
            <w:tcBorders>
              <w:top w:val="nil"/>
              <w:left w:val="single" w:sz="4" w:space="0" w:color="auto"/>
              <w:bottom w:val="single" w:sz="4" w:space="0" w:color="auto"/>
              <w:right w:val="single" w:sz="4" w:space="0" w:color="auto"/>
            </w:tcBorders>
            <w:shd w:val="clear" w:color="auto" w:fill="auto"/>
            <w:noWrap/>
            <w:hideMark/>
          </w:tcPr>
          <w:p w:rsidR="005E207A" w:rsidRPr="00DD7ABD" w:rsidRDefault="005E207A" w:rsidP="009E337B">
            <w:pPr>
              <w:spacing w:after="0" w:line="240" w:lineRule="auto"/>
              <w:rPr>
                <w:rFonts w:ascii="Calibri" w:eastAsia="Times New Roman" w:hAnsi="Calibri" w:cs="Times New Roman"/>
                <w:color w:val="000000"/>
              </w:rPr>
            </w:pPr>
            <w:r w:rsidRPr="00DD7ABD">
              <w:rPr>
                <w:rFonts w:ascii="Calibri" w:eastAsia="Times New Roman" w:hAnsi="Calibri" w:cs="Times New Roman"/>
                <w:color w:val="000000"/>
              </w:rPr>
              <w:t>MDC=18 Infectious &amp; Parasitic DDs</w:t>
            </w:r>
          </w:p>
        </w:tc>
        <w:tc>
          <w:tcPr>
            <w:tcW w:w="1980" w:type="dxa"/>
            <w:tcBorders>
              <w:top w:val="nil"/>
              <w:left w:val="nil"/>
              <w:bottom w:val="single" w:sz="4" w:space="0" w:color="auto"/>
              <w:right w:val="single" w:sz="4" w:space="0" w:color="auto"/>
            </w:tcBorders>
            <w:shd w:val="clear" w:color="auto" w:fill="auto"/>
            <w:noWrap/>
            <w:hideMark/>
          </w:tcPr>
          <w:p w:rsidR="005E207A" w:rsidRPr="00DD7ABD" w:rsidRDefault="005E207A">
            <w:pPr>
              <w:spacing w:after="0" w:line="240" w:lineRule="auto"/>
              <w:jc w:val="center"/>
              <w:rPr>
                <w:rFonts w:ascii="Calibri" w:eastAsia="Times New Roman" w:hAnsi="Calibri" w:cs="Times New Roman"/>
                <w:color w:val="000000"/>
              </w:rPr>
            </w:pPr>
            <w:r w:rsidRPr="00DD7ABD">
              <w:rPr>
                <w:rFonts w:ascii="Calibri" w:eastAsia="Times New Roman" w:hAnsi="Calibri" w:cs="Times New Roman"/>
                <w:color w:val="000000"/>
              </w:rPr>
              <w:t>0.</w:t>
            </w:r>
            <w:r w:rsidR="00141D2D" w:rsidRPr="00DD7ABD">
              <w:rPr>
                <w:rFonts w:ascii="Calibri" w:eastAsia="Times New Roman" w:hAnsi="Calibri" w:cs="Times New Roman"/>
                <w:color w:val="000000"/>
              </w:rPr>
              <w:t>9</w:t>
            </w:r>
            <w:r w:rsidR="00667950" w:rsidRPr="00DD7ABD">
              <w:rPr>
                <w:rFonts w:ascii="Calibri" w:eastAsia="Times New Roman" w:hAnsi="Calibri" w:cs="Times New Roman"/>
                <w:color w:val="000000"/>
              </w:rPr>
              <w:t>85</w:t>
            </w:r>
          </w:p>
        </w:tc>
      </w:tr>
    </w:tbl>
    <w:p w:rsidR="005E207A" w:rsidRPr="00DD7ABD" w:rsidRDefault="005E207A" w:rsidP="005E207A"/>
    <w:p w:rsidR="00E62090" w:rsidRPr="00DD7ABD" w:rsidRDefault="00E62090" w:rsidP="005E207A"/>
    <w:sectPr w:rsidR="00E62090" w:rsidRPr="00DD7A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90" w:rsidRDefault="004D1E90" w:rsidP="000961ED">
      <w:pPr>
        <w:spacing w:after="0" w:line="240" w:lineRule="auto"/>
      </w:pPr>
      <w:r>
        <w:separator/>
      </w:r>
    </w:p>
  </w:endnote>
  <w:endnote w:type="continuationSeparator" w:id="0">
    <w:p w:rsidR="004D1E90" w:rsidRDefault="004D1E90" w:rsidP="0009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90" w:rsidRDefault="004D1E90" w:rsidP="000961ED">
      <w:pPr>
        <w:spacing w:after="0" w:line="240" w:lineRule="auto"/>
      </w:pPr>
      <w:r>
        <w:separator/>
      </w:r>
    </w:p>
  </w:footnote>
  <w:footnote w:type="continuationSeparator" w:id="0">
    <w:p w:rsidR="004D1E90" w:rsidRDefault="004D1E90" w:rsidP="000961ED">
      <w:pPr>
        <w:spacing w:after="0" w:line="240" w:lineRule="auto"/>
      </w:pPr>
      <w:r>
        <w:continuationSeparator/>
      </w:r>
    </w:p>
  </w:footnote>
  <w:footnote w:id="1">
    <w:p w:rsidR="005E207A" w:rsidRDefault="005E207A" w:rsidP="005E207A">
      <w:pPr>
        <w:pStyle w:val="FootnoteText"/>
      </w:pPr>
      <w:r>
        <w:rPr>
          <w:rStyle w:val="FootnoteReference"/>
        </w:rPr>
        <w:footnoteRef/>
      </w:r>
      <w:r>
        <w:t xml:space="preserve"> </w:t>
      </w:r>
      <w:proofErr w:type="spellStart"/>
      <w:r w:rsidRPr="005E3168">
        <w:t>Suissa</w:t>
      </w:r>
      <w:proofErr w:type="spellEnd"/>
      <w:r w:rsidRPr="005E3168">
        <w:t xml:space="preserve"> S. Immortal time bias in </w:t>
      </w:r>
      <w:proofErr w:type="spellStart"/>
      <w:r w:rsidRPr="005E3168">
        <w:t>pharmaco</w:t>
      </w:r>
      <w:proofErr w:type="spellEnd"/>
      <w:r w:rsidRPr="005E3168">
        <w:t xml:space="preserve">-epidemiology. Am J </w:t>
      </w:r>
      <w:proofErr w:type="spellStart"/>
      <w:r w:rsidRPr="005E3168">
        <w:t>Epidemiol</w:t>
      </w:r>
      <w:proofErr w:type="spellEnd"/>
      <w:r w:rsidRPr="005E3168">
        <w:t>. 2008. Feb 15</w:t>
      </w:r>
      <w:proofErr w:type="gramStart"/>
      <w:r w:rsidRPr="005E3168">
        <w:t>;167</w:t>
      </w:r>
      <w:proofErr w:type="gramEnd"/>
      <w:r w:rsidRPr="005E3168">
        <w:t xml:space="preserve">(4):492-9. </w:t>
      </w:r>
      <w:proofErr w:type="spellStart"/>
      <w:r w:rsidRPr="005E3168">
        <w:t>Epub</w:t>
      </w:r>
      <w:proofErr w:type="spellEnd"/>
      <w:r w:rsidRPr="005E3168">
        <w:t xml:space="preserve"> 2007 Dec 3.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EA7" w:rsidRDefault="007325FF">
    <w:pPr>
      <w:pStyle w:val="Header"/>
    </w:pPr>
    <w:r>
      <w:t>The Role of Long Term Acute Care Hospitals in Treating the Critically Ill and Medically Complex: An Analysis of Non-Ventilator Patients</w:t>
    </w:r>
    <w:r w:rsidR="008D1EA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2019"/>
    <w:multiLevelType w:val="hybridMultilevel"/>
    <w:tmpl w:val="0354120E"/>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C319B"/>
    <w:multiLevelType w:val="hybridMultilevel"/>
    <w:tmpl w:val="1FD46E8C"/>
    <w:lvl w:ilvl="0" w:tplc="EF3EA2EE">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522CE"/>
    <w:multiLevelType w:val="hybridMultilevel"/>
    <w:tmpl w:val="C3EA732E"/>
    <w:lvl w:ilvl="0" w:tplc="50DC9C8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ED"/>
    <w:rsid w:val="000961ED"/>
    <w:rsid w:val="00141D2D"/>
    <w:rsid w:val="001E7EB4"/>
    <w:rsid w:val="0034758F"/>
    <w:rsid w:val="004610E9"/>
    <w:rsid w:val="004D1E90"/>
    <w:rsid w:val="005E207A"/>
    <w:rsid w:val="00646ED9"/>
    <w:rsid w:val="00667950"/>
    <w:rsid w:val="007325FF"/>
    <w:rsid w:val="007C589E"/>
    <w:rsid w:val="008D1EA7"/>
    <w:rsid w:val="00966A04"/>
    <w:rsid w:val="00DD7ABD"/>
    <w:rsid w:val="00DE26A9"/>
    <w:rsid w:val="00E62090"/>
    <w:rsid w:val="00ED51BE"/>
    <w:rsid w:val="00F4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B64EF-0C67-436D-8B4B-82D5C990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1ED"/>
    <w:pPr>
      <w:ind w:left="720"/>
      <w:contextualSpacing/>
    </w:pPr>
  </w:style>
  <w:style w:type="paragraph" w:styleId="FootnoteText">
    <w:name w:val="footnote text"/>
    <w:basedOn w:val="Normal"/>
    <w:link w:val="FootnoteTextChar"/>
    <w:uiPriority w:val="99"/>
    <w:unhideWhenUsed/>
    <w:rsid w:val="000961ED"/>
    <w:pPr>
      <w:spacing w:after="0" w:line="240" w:lineRule="auto"/>
    </w:pPr>
    <w:rPr>
      <w:sz w:val="20"/>
      <w:szCs w:val="20"/>
    </w:rPr>
  </w:style>
  <w:style w:type="character" w:customStyle="1" w:styleId="FootnoteTextChar">
    <w:name w:val="Footnote Text Char"/>
    <w:basedOn w:val="DefaultParagraphFont"/>
    <w:link w:val="FootnoteText"/>
    <w:uiPriority w:val="99"/>
    <w:rsid w:val="000961ED"/>
    <w:rPr>
      <w:sz w:val="20"/>
      <w:szCs w:val="20"/>
    </w:rPr>
  </w:style>
  <w:style w:type="character" w:styleId="FootnoteReference">
    <w:name w:val="footnote reference"/>
    <w:basedOn w:val="DefaultParagraphFont"/>
    <w:uiPriority w:val="99"/>
    <w:semiHidden/>
    <w:unhideWhenUsed/>
    <w:rsid w:val="000961ED"/>
    <w:rPr>
      <w:vertAlign w:val="superscript"/>
    </w:rPr>
  </w:style>
  <w:style w:type="paragraph" w:styleId="BalloonText">
    <w:name w:val="Balloon Text"/>
    <w:basedOn w:val="Normal"/>
    <w:link w:val="BalloonTextChar"/>
    <w:uiPriority w:val="99"/>
    <w:semiHidden/>
    <w:unhideWhenUsed/>
    <w:rsid w:val="005E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7A"/>
    <w:rPr>
      <w:rFonts w:ascii="Tahoma" w:hAnsi="Tahoma" w:cs="Tahoma"/>
      <w:sz w:val="16"/>
      <w:szCs w:val="16"/>
    </w:rPr>
  </w:style>
  <w:style w:type="paragraph" w:styleId="Header">
    <w:name w:val="header"/>
    <w:basedOn w:val="Normal"/>
    <w:link w:val="HeaderChar"/>
    <w:uiPriority w:val="99"/>
    <w:unhideWhenUsed/>
    <w:rsid w:val="008D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EA7"/>
  </w:style>
  <w:style w:type="paragraph" w:styleId="Footer">
    <w:name w:val="footer"/>
    <w:basedOn w:val="Normal"/>
    <w:link w:val="FooterChar"/>
    <w:uiPriority w:val="99"/>
    <w:unhideWhenUsed/>
    <w:rsid w:val="008D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28444">
      <w:bodyDiv w:val="1"/>
      <w:marLeft w:val="0"/>
      <w:marRight w:val="0"/>
      <w:marTop w:val="0"/>
      <w:marBottom w:val="0"/>
      <w:divBdr>
        <w:top w:val="none" w:sz="0" w:space="0" w:color="auto"/>
        <w:left w:val="none" w:sz="0" w:space="0" w:color="auto"/>
        <w:bottom w:val="none" w:sz="0" w:space="0" w:color="auto"/>
        <w:right w:val="none" w:sz="0" w:space="0" w:color="auto"/>
      </w:divBdr>
    </w:div>
    <w:div w:id="309486383">
      <w:bodyDiv w:val="1"/>
      <w:marLeft w:val="0"/>
      <w:marRight w:val="0"/>
      <w:marTop w:val="0"/>
      <w:marBottom w:val="0"/>
      <w:divBdr>
        <w:top w:val="none" w:sz="0" w:space="0" w:color="auto"/>
        <w:left w:val="none" w:sz="0" w:space="0" w:color="auto"/>
        <w:bottom w:val="none" w:sz="0" w:space="0" w:color="auto"/>
        <w:right w:val="none" w:sz="0" w:space="0" w:color="auto"/>
      </w:divBdr>
    </w:div>
    <w:div w:id="978269815">
      <w:bodyDiv w:val="1"/>
      <w:marLeft w:val="0"/>
      <w:marRight w:val="0"/>
      <w:marTop w:val="0"/>
      <w:marBottom w:val="0"/>
      <w:divBdr>
        <w:top w:val="none" w:sz="0" w:space="0" w:color="auto"/>
        <w:left w:val="none" w:sz="0" w:space="0" w:color="auto"/>
        <w:bottom w:val="none" w:sz="0" w:space="0" w:color="auto"/>
        <w:right w:val="none" w:sz="0" w:space="0" w:color="auto"/>
      </w:divBdr>
    </w:div>
    <w:div w:id="988746969">
      <w:bodyDiv w:val="1"/>
      <w:marLeft w:val="0"/>
      <w:marRight w:val="0"/>
      <w:marTop w:val="0"/>
      <w:marBottom w:val="0"/>
      <w:divBdr>
        <w:top w:val="none" w:sz="0" w:space="0" w:color="auto"/>
        <w:left w:val="none" w:sz="0" w:space="0" w:color="auto"/>
        <w:bottom w:val="none" w:sz="0" w:space="0" w:color="auto"/>
        <w:right w:val="none" w:sz="0" w:space="0" w:color="auto"/>
      </w:divBdr>
    </w:div>
    <w:div w:id="1145514775">
      <w:bodyDiv w:val="1"/>
      <w:marLeft w:val="0"/>
      <w:marRight w:val="0"/>
      <w:marTop w:val="0"/>
      <w:marBottom w:val="0"/>
      <w:divBdr>
        <w:top w:val="none" w:sz="0" w:space="0" w:color="auto"/>
        <w:left w:val="none" w:sz="0" w:space="0" w:color="auto"/>
        <w:bottom w:val="none" w:sz="0" w:space="0" w:color="auto"/>
        <w:right w:val="none" w:sz="0" w:space="0" w:color="auto"/>
      </w:divBdr>
    </w:div>
    <w:div w:id="212226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Saavoss</dc:creator>
  <cp:lastModifiedBy>Berna</cp:lastModifiedBy>
  <cp:revision>2</cp:revision>
  <cp:lastPrinted>2015-01-20T22:06:00Z</cp:lastPrinted>
  <dcterms:created xsi:type="dcterms:W3CDTF">2015-04-01T23:43:00Z</dcterms:created>
  <dcterms:modified xsi:type="dcterms:W3CDTF">2015-04-01T23:43:00Z</dcterms:modified>
</cp:coreProperties>
</file>