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A6FF7" w14:textId="77777777" w:rsidR="00D52031" w:rsidRDefault="00D52031" w:rsidP="000C61CF">
      <w:pPr>
        <w:jc w:val="center"/>
        <w:rPr>
          <w:b/>
          <w:sz w:val="32"/>
          <w:szCs w:val="32"/>
        </w:rPr>
      </w:pPr>
    </w:p>
    <w:p w14:paraId="6BC60615" w14:textId="77777777" w:rsidR="00D52031" w:rsidRDefault="00D52031" w:rsidP="000C61CF">
      <w:pPr>
        <w:jc w:val="center"/>
        <w:rPr>
          <w:b/>
          <w:sz w:val="32"/>
          <w:szCs w:val="32"/>
        </w:rPr>
      </w:pPr>
    </w:p>
    <w:p w14:paraId="1E6CEFA6" w14:textId="4E18D5C4" w:rsidR="000C61CF" w:rsidRPr="006D7FC3" w:rsidRDefault="009E42CE" w:rsidP="000C61CF">
      <w:pPr>
        <w:jc w:val="center"/>
        <w:rPr>
          <w:b/>
          <w:sz w:val="32"/>
          <w:szCs w:val="32"/>
        </w:rPr>
      </w:pPr>
      <w:r>
        <w:rPr>
          <w:b/>
          <w:sz w:val="32"/>
          <w:szCs w:val="32"/>
        </w:rPr>
        <w:t>Healthy life years lost and excess bed days due to six patient safety incidents: Empirical evidence from English hospitals</w:t>
      </w:r>
    </w:p>
    <w:p w14:paraId="35219F23" w14:textId="77777777" w:rsidR="00102582" w:rsidRPr="00F53C87" w:rsidRDefault="00102582" w:rsidP="006A1349">
      <w:pPr>
        <w:spacing w:after="160" w:line="259" w:lineRule="auto"/>
        <w:jc w:val="center"/>
        <w:rPr>
          <w:rFonts w:cs="Times New Roman"/>
          <w:b/>
          <w:sz w:val="28"/>
          <w:szCs w:val="28"/>
        </w:rPr>
      </w:pPr>
    </w:p>
    <w:p w14:paraId="6B384F1D" w14:textId="77777777" w:rsidR="006A1349" w:rsidRDefault="006A1349">
      <w:pPr>
        <w:spacing w:after="160" w:line="259" w:lineRule="auto"/>
        <w:rPr>
          <w:rFonts w:cs="Times New Roman"/>
          <w:b/>
          <w:sz w:val="28"/>
          <w:szCs w:val="28"/>
        </w:rPr>
      </w:pPr>
    </w:p>
    <w:p w14:paraId="65E2CE97" w14:textId="77777777" w:rsidR="00102582" w:rsidRPr="00BC7CA9" w:rsidRDefault="00102582">
      <w:pPr>
        <w:spacing w:after="160" w:line="259" w:lineRule="auto"/>
        <w:rPr>
          <w:rFonts w:cs="Times New Roman"/>
          <w:b/>
          <w:sz w:val="28"/>
          <w:szCs w:val="28"/>
        </w:rPr>
      </w:pPr>
    </w:p>
    <w:p w14:paraId="6A3FFF5F" w14:textId="06E519A5" w:rsidR="006A1349" w:rsidRPr="00BC7CA9" w:rsidRDefault="006A1349" w:rsidP="006A1349">
      <w:pPr>
        <w:spacing w:after="160" w:line="259" w:lineRule="auto"/>
        <w:jc w:val="center"/>
        <w:rPr>
          <w:rFonts w:cs="Times New Roman"/>
          <w:b/>
          <w:sz w:val="28"/>
          <w:szCs w:val="28"/>
        </w:rPr>
      </w:pPr>
      <w:r w:rsidRPr="00BC7CA9">
        <w:rPr>
          <w:rFonts w:cs="Times New Roman"/>
          <w:b/>
          <w:sz w:val="28"/>
          <w:szCs w:val="28"/>
        </w:rPr>
        <w:t xml:space="preserve">Supplementary </w:t>
      </w:r>
      <w:r w:rsidR="000C61CF">
        <w:rPr>
          <w:rFonts w:cs="Times New Roman"/>
          <w:b/>
          <w:sz w:val="28"/>
          <w:szCs w:val="28"/>
        </w:rPr>
        <w:t>Digital Content</w:t>
      </w:r>
    </w:p>
    <w:p w14:paraId="3434D8D2" w14:textId="77777777" w:rsidR="006A1349" w:rsidRPr="00F53C87" w:rsidRDefault="006A1349">
      <w:pPr>
        <w:spacing w:after="160" w:line="259" w:lineRule="auto"/>
        <w:rPr>
          <w:rFonts w:cs="Times New Roman"/>
          <w:b/>
        </w:rPr>
      </w:pPr>
    </w:p>
    <w:p w14:paraId="6A6ECD0C" w14:textId="77777777" w:rsidR="006A1349" w:rsidRPr="00F53C87" w:rsidRDefault="006A1349">
      <w:pPr>
        <w:spacing w:after="160" w:line="259" w:lineRule="auto"/>
        <w:rPr>
          <w:rFonts w:cs="Times New Roman"/>
          <w:b/>
        </w:rPr>
      </w:pPr>
    </w:p>
    <w:p w14:paraId="37BD409E" w14:textId="77777777" w:rsidR="006A7335" w:rsidRPr="00F53C87" w:rsidRDefault="006A7335">
      <w:pPr>
        <w:spacing w:after="160" w:line="259" w:lineRule="auto"/>
        <w:rPr>
          <w:rFonts w:eastAsiaTheme="minorHAnsi" w:cs="Times New Roman"/>
          <w:lang w:eastAsia="en-US"/>
        </w:rPr>
      </w:pPr>
      <w:r w:rsidRPr="00F53C87">
        <w:rPr>
          <w:rFonts w:eastAsiaTheme="minorHAnsi" w:cs="Times New Roman"/>
          <w:lang w:eastAsia="en-US"/>
        </w:rPr>
        <w:t>This appendix has been provided by the authors to give readers additional information about their work.</w:t>
      </w:r>
    </w:p>
    <w:p w14:paraId="7264BF84" w14:textId="77777777" w:rsidR="006A7335" w:rsidRPr="00BC7CA9" w:rsidRDefault="006A7335">
      <w:pPr>
        <w:spacing w:after="160" w:line="259" w:lineRule="auto"/>
        <w:rPr>
          <w:rFonts w:eastAsiaTheme="minorHAnsi" w:cs="OTNEJMQuadraat"/>
          <w:sz w:val="20"/>
          <w:szCs w:val="20"/>
          <w:lang w:eastAsia="en-US"/>
        </w:rPr>
      </w:pPr>
    </w:p>
    <w:p w14:paraId="1E142E28" w14:textId="77777777" w:rsidR="006A7335" w:rsidRPr="00BC7CA9" w:rsidRDefault="006A7335">
      <w:pPr>
        <w:spacing w:after="160" w:line="259" w:lineRule="auto"/>
        <w:rPr>
          <w:rFonts w:eastAsiaTheme="minorHAnsi" w:cs="OTNEJMQuadraat"/>
          <w:sz w:val="20"/>
          <w:szCs w:val="20"/>
          <w:lang w:eastAsia="en-US"/>
        </w:rPr>
      </w:pPr>
    </w:p>
    <w:p w14:paraId="1DB7F0EF" w14:textId="77777777" w:rsidR="006414D4" w:rsidRPr="00BC7CA9" w:rsidRDefault="006414D4" w:rsidP="00F32E03">
      <w:pPr>
        <w:spacing w:after="160" w:line="259" w:lineRule="auto"/>
        <w:rPr>
          <w:b/>
          <w:sz w:val="28"/>
          <w:szCs w:val="28"/>
        </w:rPr>
        <w:sectPr w:rsidR="006414D4" w:rsidRPr="00BC7CA9" w:rsidSect="001E2212">
          <w:footerReference w:type="default" r:id="rId8"/>
          <w:pgSz w:w="11906" w:h="16838"/>
          <w:pgMar w:top="1440" w:right="1440" w:bottom="1440" w:left="1440" w:header="708" w:footer="708" w:gutter="0"/>
          <w:cols w:space="708"/>
          <w:docGrid w:linePitch="360"/>
        </w:sectPr>
      </w:pPr>
    </w:p>
    <w:sdt>
      <w:sdtPr>
        <w:rPr>
          <w:rFonts w:asciiTheme="minorHAnsi" w:eastAsiaTheme="minorEastAsia" w:hAnsiTheme="minorHAnsi" w:cs="Times New Roman"/>
          <w:color w:val="auto"/>
          <w:sz w:val="24"/>
          <w:szCs w:val="24"/>
          <w:lang w:val="en-GB" w:eastAsia="en-GB"/>
        </w:rPr>
        <w:id w:val="1133900659"/>
        <w:docPartObj>
          <w:docPartGallery w:val="Table of Contents"/>
          <w:docPartUnique/>
        </w:docPartObj>
      </w:sdtPr>
      <w:sdtEndPr>
        <w:rPr>
          <w:b/>
          <w:bCs/>
          <w:noProof/>
          <w:sz w:val="20"/>
          <w:szCs w:val="20"/>
        </w:rPr>
      </w:sdtEndPr>
      <w:sdtContent>
        <w:p w14:paraId="0D6262C8" w14:textId="77777777" w:rsidR="00CB1F10" w:rsidRPr="00BC7CA9" w:rsidRDefault="00CB1F10" w:rsidP="00F32E03">
          <w:pPr>
            <w:pStyle w:val="TOCHeading"/>
            <w:rPr>
              <w:rFonts w:asciiTheme="minorHAnsi" w:hAnsiTheme="minorHAnsi" w:cs="Times New Roman"/>
              <w:sz w:val="24"/>
              <w:szCs w:val="24"/>
            </w:rPr>
          </w:pPr>
          <w:r w:rsidRPr="00BC7CA9">
            <w:rPr>
              <w:rFonts w:asciiTheme="minorHAnsi" w:hAnsiTheme="minorHAnsi" w:cs="Times New Roman"/>
              <w:sz w:val="24"/>
              <w:szCs w:val="24"/>
            </w:rPr>
            <w:t>Contents</w:t>
          </w:r>
        </w:p>
        <w:p w14:paraId="3DC2901A" w14:textId="77777777" w:rsidR="006414D4" w:rsidRPr="00BC7CA9" w:rsidRDefault="006414D4" w:rsidP="00F32E03">
          <w:pPr>
            <w:pStyle w:val="TOC1"/>
            <w:tabs>
              <w:tab w:val="right" w:leader="dot" w:pos="9016"/>
            </w:tabs>
            <w:spacing w:line="240" w:lineRule="auto"/>
            <w:rPr>
              <w:rFonts w:cs="Times New Roman"/>
            </w:rPr>
          </w:pPr>
        </w:p>
        <w:p w14:paraId="49EED974" w14:textId="77777777" w:rsidR="006C6451" w:rsidRDefault="00CB1F10">
          <w:pPr>
            <w:pStyle w:val="TOC1"/>
            <w:tabs>
              <w:tab w:val="left" w:pos="440"/>
              <w:tab w:val="right" w:leader="dot" w:pos="9016"/>
            </w:tabs>
            <w:rPr>
              <w:noProof/>
            </w:rPr>
          </w:pPr>
          <w:r w:rsidRPr="00BC7CA9">
            <w:rPr>
              <w:rFonts w:cs="Times New Roman"/>
            </w:rPr>
            <w:fldChar w:fldCharType="begin"/>
          </w:r>
          <w:r w:rsidRPr="00BC7CA9">
            <w:rPr>
              <w:rFonts w:cs="Times New Roman"/>
            </w:rPr>
            <w:instrText xml:space="preserve"> TOC \o "1-3" \h \z \u </w:instrText>
          </w:r>
          <w:r w:rsidRPr="00BC7CA9">
            <w:rPr>
              <w:rFonts w:cs="Times New Roman"/>
            </w:rPr>
            <w:fldChar w:fldCharType="separate"/>
          </w:r>
          <w:hyperlink w:anchor="_Toc457312909" w:history="1">
            <w:r w:rsidR="006C6451" w:rsidRPr="004B7DB8">
              <w:rPr>
                <w:rStyle w:val="Hyperlink"/>
                <w:rFonts w:cs="Times New Roman"/>
                <w:noProof/>
              </w:rPr>
              <w:t>1.</w:t>
            </w:r>
            <w:r w:rsidR="006C6451">
              <w:rPr>
                <w:noProof/>
              </w:rPr>
              <w:tab/>
            </w:r>
            <w:r w:rsidR="006C6451" w:rsidRPr="004B7DB8">
              <w:rPr>
                <w:rStyle w:val="Hyperlink"/>
                <w:rFonts w:cs="Times New Roman"/>
                <w:noProof/>
              </w:rPr>
              <w:t>Supplementary Data: The Patient Safety Indicators</w:t>
            </w:r>
            <w:r w:rsidR="006C6451">
              <w:rPr>
                <w:noProof/>
                <w:webHidden/>
              </w:rPr>
              <w:tab/>
            </w:r>
            <w:r w:rsidR="006C6451">
              <w:rPr>
                <w:noProof/>
                <w:webHidden/>
              </w:rPr>
              <w:fldChar w:fldCharType="begin"/>
            </w:r>
            <w:r w:rsidR="006C6451">
              <w:rPr>
                <w:noProof/>
                <w:webHidden/>
              </w:rPr>
              <w:instrText xml:space="preserve"> PAGEREF _Toc457312909 \h </w:instrText>
            </w:r>
            <w:r w:rsidR="006C6451">
              <w:rPr>
                <w:noProof/>
                <w:webHidden/>
              </w:rPr>
            </w:r>
            <w:r w:rsidR="006C6451">
              <w:rPr>
                <w:noProof/>
                <w:webHidden/>
              </w:rPr>
              <w:fldChar w:fldCharType="separate"/>
            </w:r>
            <w:r w:rsidR="006C6451">
              <w:rPr>
                <w:noProof/>
                <w:webHidden/>
              </w:rPr>
              <w:t>2</w:t>
            </w:r>
            <w:r w:rsidR="006C6451">
              <w:rPr>
                <w:noProof/>
                <w:webHidden/>
              </w:rPr>
              <w:fldChar w:fldCharType="end"/>
            </w:r>
          </w:hyperlink>
        </w:p>
        <w:p w14:paraId="6B190D02" w14:textId="77777777" w:rsidR="006C6451" w:rsidRDefault="006C6451">
          <w:pPr>
            <w:pStyle w:val="TOC1"/>
            <w:tabs>
              <w:tab w:val="left" w:pos="440"/>
              <w:tab w:val="right" w:leader="dot" w:pos="9016"/>
            </w:tabs>
            <w:rPr>
              <w:noProof/>
            </w:rPr>
          </w:pPr>
          <w:hyperlink w:anchor="_Toc457312910" w:history="1">
            <w:r w:rsidRPr="004B7DB8">
              <w:rPr>
                <w:rStyle w:val="Hyperlink"/>
                <w:rFonts w:cs="Times New Roman"/>
                <w:noProof/>
              </w:rPr>
              <w:t>2.</w:t>
            </w:r>
            <w:r>
              <w:rPr>
                <w:noProof/>
              </w:rPr>
              <w:tab/>
            </w:r>
            <w:r w:rsidRPr="004B7DB8">
              <w:rPr>
                <w:rStyle w:val="Hyperlink"/>
                <w:rFonts w:cs="Times New Roman"/>
                <w:noProof/>
              </w:rPr>
              <w:t>Supplementary Methods</w:t>
            </w:r>
            <w:r>
              <w:rPr>
                <w:noProof/>
                <w:webHidden/>
              </w:rPr>
              <w:tab/>
            </w:r>
            <w:r>
              <w:rPr>
                <w:noProof/>
                <w:webHidden/>
              </w:rPr>
              <w:fldChar w:fldCharType="begin"/>
            </w:r>
            <w:r>
              <w:rPr>
                <w:noProof/>
                <w:webHidden/>
              </w:rPr>
              <w:instrText xml:space="preserve"> PAGEREF _Toc457312910 \h </w:instrText>
            </w:r>
            <w:r>
              <w:rPr>
                <w:noProof/>
                <w:webHidden/>
              </w:rPr>
            </w:r>
            <w:r>
              <w:rPr>
                <w:noProof/>
                <w:webHidden/>
              </w:rPr>
              <w:fldChar w:fldCharType="separate"/>
            </w:r>
            <w:r>
              <w:rPr>
                <w:noProof/>
                <w:webHidden/>
              </w:rPr>
              <w:t>7</w:t>
            </w:r>
            <w:r>
              <w:rPr>
                <w:noProof/>
                <w:webHidden/>
              </w:rPr>
              <w:fldChar w:fldCharType="end"/>
            </w:r>
          </w:hyperlink>
        </w:p>
        <w:p w14:paraId="3B14E5B6" w14:textId="77777777" w:rsidR="006C6451" w:rsidRDefault="006C6451">
          <w:pPr>
            <w:pStyle w:val="TOC2"/>
            <w:tabs>
              <w:tab w:val="left" w:pos="880"/>
              <w:tab w:val="right" w:leader="dot" w:pos="9016"/>
            </w:tabs>
            <w:rPr>
              <w:noProof/>
            </w:rPr>
          </w:pPr>
          <w:hyperlink w:anchor="_Toc457312911" w:history="1">
            <w:r w:rsidRPr="004B7DB8">
              <w:rPr>
                <w:rStyle w:val="Hyperlink"/>
                <w:rFonts w:cs="Times New Roman"/>
                <w:noProof/>
              </w:rPr>
              <w:t>2.1.</w:t>
            </w:r>
            <w:r>
              <w:rPr>
                <w:noProof/>
              </w:rPr>
              <w:tab/>
            </w:r>
            <w:r w:rsidRPr="004B7DB8">
              <w:rPr>
                <w:rStyle w:val="Hyperlink"/>
                <w:rFonts w:cs="Times New Roman"/>
                <w:noProof/>
              </w:rPr>
              <w:t>Propensity score estimation</w:t>
            </w:r>
            <w:r>
              <w:rPr>
                <w:noProof/>
                <w:webHidden/>
              </w:rPr>
              <w:tab/>
            </w:r>
            <w:r>
              <w:rPr>
                <w:noProof/>
                <w:webHidden/>
              </w:rPr>
              <w:fldChar w:fldCharType="begin"/>
            </w:r>
            <w:r>
              <w:rPr>
                <w:noProof/>
                <w:webHidden/>
              </w:rPr>
              <w:instrText xml:space="preserve"> PAGEREF _Toc457312911 \h </w:instrText>
            </w:r>
            <w:r>
              <w:rPr>
                <w:noProof/>
                <w:webHidden/>
              </w:rPr>
            </w:r>
            <w:r>
              <w:rPr>
                <w:noProof/>
                <w:webHidden/>
              </w:rPr>
              <w:fldChar w:fldCharType="separate"/>
            </w:r>
            <w:r>
              <w:rPr>
                <w:noProof/>
                <w:webHidden/>
              </w:rPr>
              <w:t>7</w:t>
            </w:r>
            <w:r>
              <w:rPr>
                <w:noProof/>
                <w:webHidden/>
              </w:rPr>
              <w:fldChar w:fldCharType="end"/>
            </w:r>
          </w:hyperlink>
        </w:p>
        <w:p w14:paraId="2BBD44D2" w14:textId="77777777" w:rsidR="006C6451" w:rsidRDefault="006C6451">
          <w:pPr>
            <w:pStyle w:val="TOC2"/>
            <w:tabs>
              <w:tab w:val="left" w:pos="880"/>
              <w:tab w:val="right" w:leader="dot" w:pos="9016"/>
            </w:tabs>
            <w:rPr>
              <w:noProof/>
            </w:rPr>
          </w:pPr>
          <w:hyperlink w:anchor="_Toc457312912" w:history="1">
            <w:r w:rsidRPr="004B7DB8">
              <w:rPr>
                <w:rStyle w:val="Hyperlink"/>
                <w:rFonts w:cs="Times New Roman"/>
                <w:noProof/>
              </w:rPr>
              <w:t>2.2.</w:t>
            </w:r>
            <w:r>
              <w:rPr>
                <w:noProof/>
              </w:rPr>
              <w:tab/>
            </w:r>
            <w:r w:rsidRPr="004B7DB8">
              <w:rPr>
                <w:rStyle w:val="Hyperlink"/>
                <w:rFonts w:cs="Times New Roman"/>
                <w:noProof/>
              </w:rPr>
              <w:t>Estimation of Survival Probabilities and Length of Stay</w:t>
            </w:r>
            <w:r>
              <w:rPr>
                <w:noProof/>
                <w:webHidden/>
              </w:rPr>
              <w:tab/>
            </w:r>
            <w:r>
              <w:rPr>
                <w:noProof/>
                <w:webHidden/>
              </w:rPr>
              <w:fldChar w:fldCharType="begin"/>
            </w:r>
            <w:r>
              <w:rPr>
                <w:noProof/>
                <w:webHidden/>
              </w:rPr>
              <w:instrText xml:space="preserve"> PAGEREF _Toc457312912 \h </w:instrText>
            </w:r>
            <w:r>
              <w:rPr>
                <w:noProof/>
                <w:webHidden/>
              </w:rPr>
            </w:r>
            <w:r>
              <w:rPr>
                <w:noProof/>
                <w:webHidden/>
              </w:rPr>
              <w:fldChar w:fldCharType="separate"/>
            </w:r>
            <w:r>
              <w:rPr>
                <w:noProof/>
                <w:webHidden/>
              </w:rPr>
              <w:t>12</w:t>
            </w:r>
            <w:r>
              <w:rPr>
                <w:noProof/>
                <w:webHidden/>
              </w:rPr>
              <w:fldChar w:fldCharType="end"/>
            </w:r>
          </w:hyperlink>
        </w:p>
        <w:p w14:paraId="1705EDA1" w14:textId="77777777" w:rsidR="006C6451" w:rsidRDefault="006C6451">
          <w:pPr>
            <w:pStyle w:val="TOC2"/>
            <w:tabs>
              <w:tab w:val="left" w:pos="880"/>
              <w:tab w:val="right" w:leader="dot" w:pos="9016"/>
            </w:tabs>
            <w:rPr>
              <w:noProof/>
            </w:rPr>
          </w:pPr>
          <w:hyperlink w:anchor="_Toc457312913" w:history="1">
            <w:r w:rsidRPr="004B7DB8">
              <w:rPr>
                <w:rStyle w:val="Hyperlink"/>
                <w:rFonts w:cs="Times New Roman"/>
                <w:noProof/>
              </w:rPr>
              <w:t>2.3.</w:t>
            </w:r>
            <w:r>
              <w:rPr>
                <w:noProof/>
              </w:rPr>
              <w:tab/>
            </w:r>
            <w:r w:rsidRPr="004B7DB8">
              <w:rPr>
                <w:rStyle w:val="Hyperlink"/>
                <w:rFonts w:cs="Times New Roman"/>
                <w:noProof/>
              </w:rPr>
              <w:t>Calculation of lost healthy life years</w:t>
            </w:r>
            <w:r>
              <w:rPr>
                <w:noProof/>
                <w:webHidden/>
              </w:rPr>
              <w:tab/>
            </w:r>
            <w:r>
              <w:rPr>
                <w:noProof/>
                <w:webHidden/>
              </w:rPr>
              <w:fldChar w:fldCharType="begin"/>
            </w:r>
            <w:r>
              <w:rPr>
                <w:noProof/>
                <w:webHidden/>
              </w:rPr>
              <w:instrText xml:space="preserve"> PAGEREF _Toc457312913 \h </w:instrText>
            </w:r>
            <w:r>
              <w:rPr>
                <w:noProof/>
                <w:webHidden/>
              </w:rPr>
            </w:r>
            <w:r>
              <w:rPr>
                <w:noProof/>
                <w:webHidden/>
              </w:rPr>
              <w:fldChar w:fldCharType="separate"/>
            </w:r>
            <w:r>
              <w:rPr>
                <w:noProof/>
                <w:webHidden/>
              </w:rPr>
              <w:t>14</w:t>
            </w:r>
            <w:r>
              <w:rPr>
                <w:noProof/>
                <w:webHidden/>
              </w:rPr>
              <w:fldChar w:fldCharType="end"/>
            </w:r>
          </w:hyperlink>
        </w:p>
        <w:p w14:paraId="5979FBF3" w14:textId="77777777" w:rsidR="006C6451" w:rsidRDefault="006C6451">
          <w:pPr>
            <w:pStyle w:val="TOC1"/>
            <w:tabs>
              <w:tab w:val="left" w:pos="440"/>
              <w:tab w:val="right" w:leader="dot" w:pos="9016"/>
            </w:tabs>
            <w:rPr>
              <w:noProof/>
            </w:rPr>
          </w:pPr>
          <w:hyperlink w:anchor="_Toc457312914" w:history="1">
            <w:r w:rsidRPr="004B7DB8">
              <w:rPr>
                <w:rStyle w:val="Hyperlink"/>
                <w:rFonts w:cs="Arial"/>
                <w:noProof/>
              </w:rPr>
              <w:t>3.</w:t>
            </w:r>
            <w:r>
              <w:rPr>
                <w:noProof/>
              </w:rPr>
              <w:tab/>
            </w:r>
            <w:r w:rsidRPr="004B7DB8">
              <w:rPr>
                <w:rStyle w:val="Hyperlink"/>
                <w:rFonts w:cs="Arial"/>
                <w:noProof/>
              </w:rPr>
              <w:t>Supplementary Tables</w:t>
            </w:r>
            <w:r>
              <w:rPr>
                <w:noProof/>
                <w:webHidden/>
              </w:rPr>
              <w:tab/>
            </w:r>
            <w:r>
              <w:rPr>
                <w:noProof/>
                <w:webHidden/>
              </w:rPr>
              <w:fldChar w:fldCharType="begin"/>
            </w:r>
            <w:r>
              <w:rPr>
                <w:noProof/>
                <w:webHidden/>
              </w:rPr>
              <w:instrText xml:space="preserve"> PAGEREF _Toc457312914 \h </w:instrText>
            </w:r>
            <w:r>
              <w:rPr>
                <w:noProof/>
                <w:webHidden/>
              </w:rPr>
            </w:r>
            <w:r>
              <w:rPr>
                <w:noProof/>
                <w:webHidden/>
              </w:rPr>
              <w:fldChar w:fldCharType="separate"/>
            </w:r>
            <w:r>
              <w:rPr>
                <w:noProof/>
                <w:webHidden/>
              </w:rPr>
              <w:t>17</w:t>
            </w:r>
            <w:r>
              <w:rPr>
                <w:noProof/>
                <w:webHidden/>
              </w:rPr>
              <w:fldChar w:fldCharType="end"/>
            </w:r>
          </w:hyperlink>
        </w:p>
        <w:p w14:paraId="37C3778A" w14:textId="77777777" w:rsidR="006C6451" w:rsidRDefault="006C6451">
          <w:pPr>
            <w:pStyle w:val="TOC2"/>
            <w:tabs>
              <w:tab w:val="right" w:leader="dot" w:pos="9016"/>
            </w:tabs>
            <w:rPr>
              <w:noProof/>
            </w:rPr>
          </w:pPr>
          <w:hyperlink w:anchor="_Toc457312915" w:history="1">
            <w:r w:rsidRPr="004B7DB8">
              <w:rPr>
                <w:rStyle w:val="Hyperlink"/>
                <w:rFonts w:cs="Arial"/>
                <w:noProof/>
              </w:rPr>
              <w:t>Table SDC1: Six AHRQ Patient Safety Incidents – Total national case numbers and observed incidence rates in England, 2005/06 to 2009/10</w:t>
            </w:r>
            <w:r>
              <w:rPr>
                <w:noProof/>
                <w:webHidden/>
              </w:rPr>
              <w:tab/>
            </w:r>
            <w:r>
              <w:rPr>
                <w:noProof/>
                <w:webHidden/>
              </w:rPr>
              <w:fldChar w:fldCharType="begin"/>
            </w:r>
            <w:r>
              <w:rPr>
                <w:noProof/>
                <w:webHidden/>
              </w:rPr>
              <w:instrText xml:space="preserve"> PAGEREF _Toc457312915 \h </w:instrText>
            </w:r>
            <w:r>
              <w:rPr>
                <w:noProof/>
                <w:webHidden/>
              </w:rPr>
            </w:r>
            <w:r>
              <w:rPr>
                <w:noProof/>
                <w:webHidden/>
              </w:rPr>
              <w:fldChar w:fldCharType="separate"/>
            </w:r>
            <w:r>
              <w:rPr>
                <w:noProof/>
                <w:webHidden/>
              </w:rPr>
              <w:t>17</w:t>
            </w:r>
            <w:r>
              <w:rPr>
                <w:noProof/>
                <w:webHidden/>
              </w:rPr>
              <w:fldChar w:fldCharType="end"/>
            </w:r>
          </w:hyperlink>
        </w:p>
        <w:p w14:paraId="60CDAFF0" w14:textId="77777777" w:rsidR="006C6451" w:rsidRDefault="006C6451">
          <w:pPr>
            <w:pStyle w:val="TOC2"/>
            <w:tabs>
              <w:tab w:val="right" w:leader="dot" w:pos="9016"/>
            </w:tabs>
            <w:rPr>
              <w:noProof/>
            </w:rPr>
          </w:pPr>
          <w:hyperlink w:anchor="_Toc457312916" w:history="1">
            <w:r w:rsidRPr="004B7DB8">
              <w:rPr>
                <w:rStyle w:val="Hyperlink"/>
                <w:rFonts w:cs="Arial"/>
                <w:noProof/>
              </w:rPr>
              <w:t>Table SDC2: Six AHRQ Patient Safety Incidents – Total case numbers and observed incidence rates in an average</w:t>
            </w:r>
            <w:r w:rsidRPr="004B7DB8">
              <w:rPr>
                <w:rStyle w:val="Hyperlink"/>
                <w:rFonts w:cs="Arial"/>
                <w:noProof/>
                <w:vertAlign w:val="superscript"/>
              </w:rPr>
              <w:t>1</w:t>
            </w:r>
            <w:r w:rsidRPr="004B7DB8">
              <w:rPr>
                <w:rStyle w:val="Hyperlink"/>
                <w:rFonts w:cs="Arial"/>
                <w:noProof/>
              </w:rPr>
              <w:t xml:space="preserve"> English hospital, 2005/06 to 2009/10</w:t>
            </w:r>
            <w:r>
              <w:rPr>
                <w:noProof/>
                <w:webHidden/>
              </w:rPr>
              <w:tab/>
            </w:r>
            <w:r>
              <w:rPr>
                <w:noProof/>
                <w:webHidden/>
              </w:rPr>
              <w:fldChar w:fldCharType="begin"/>
            </w:r>
            <w:r>
              <w:rPr>
                <w:noProof/>
                <w:webHidden/>
              </w:rPr>
              <w:instrText xml:space="preserve"> PAGEREF _Toc457312916 \h </w:instrText>
            </w:r>
            <w:r>
              <w:rPr>
                <w:noProof/>
                <w:webHidden/>
              </w:rPr>
            </w:r>
            <w:r>
              <w:rPr>
                <w:noProof/>
                <w:webHidden/>
              </w:rPr>
              <w:fldChar w:fldCharType="separate"/>
            </w:r>
            <w:r>
              <w:rPr>
                <w:noProof/>
                <w:webHidden/>
              </w:rPr>
              <w:t>18</w:t>
            </w:r>
            <w:r>
              <w:rPr>
                <w:noProof/>
                <w:webHidden/>
              </w:rPr>
              <w:fldChar w:fldCharType="end"/>
            </w:r>
          </w:hyperlink>
        </w:p>
        <w:p w14:paraId="4DE37CFA" w14:textId="77777777" w:rsidR="006C6451" w:rsidRDefault="006C6451">
          <w:pPr>
            <w:pStyle w:val="TOC2"/>
            <w:tabs>
              <w:tab w:val="right" w:leader="dot" w:pos="9016"/>
            </w:tabs>
            <w:rPr>
              <w:noProof/>
            </w:rPr>
          </w:pPr>
          <w:hyperlink w:anchor="_Toc457312917" w:history="1">
            <w:r w:rsidRPr="004B7DB8">
              <w:rPr>
                <w:rStyle w:val="Hyperlink"/>
                <w:rFonts w:cs="Arial"/>
                <w:noProof/>
              </w:rPr>
              <w:t>Tables SDC3a-f: Summary statistics and bias statistics, all PSIs, year 2009/10</w:t>
            </w:r>
            <w:r>
              <w:rPr>
                <w:noProof/>
                <w:webHidden/>
              </w:rPr>
              <w:tab/>
            </w:r>
            <w:r>
              <w:rPr>
                <w:noProof/>
                <w:webHidden/>
              </w:rPr>
              <w:fldChar w:fldCharType="begin"/>
            </w:r>
            <w:r>
              <w:rPr>
                <w:noProof/>
                <w:webHidden/>
              </w:rPr>
              <w:instrText xml:space="preserve"> PAGEREF _Toc457312917 \h </w:instrText>
            </w:r>
            <w:r>
              <w:rPr>
                <w:noProof/>
                <w:webHidden/>
              </w:rPr>
            </w:r>
            <w:r>
              <w:rPr>
                <w:noProof/>
                <w:webHidden/>
              </w:rPr>
              <w:fldChar w:fldCharType="separate"/>
            </w:r>
            <w:r>
              <w:rPr>
                <w:noProof/>
                <w:webHidden/>
              </w:rPr>
              <w:t>19</w:t>
            </w:r>
            <w:r>
              <w:rPr>
                <w:noProof/>
                <w:webHidden/>
              </w:rPr>
              <w:fldChar w:fldCharType="end"/>
            </w:r>
          </w:hyperlink>
        </w:p>
        <w:p w14:paraId="2B3E6727" w14:textId="77777777" w:rsidR="006C6451" w:rsidRDefault="006C6451">
          <w:pPr>
            <w:pStyle w:val="TOC2"/>
            <w:tabs>
              <w:tab w:val="right" w:leader="dot" w:pos="9016"/>
            </w:tabs>
            <w:rPr>
              <w:noProof/>
            </w:rPr>
          </w:pPr>
          <w:hyperlink w:anchor="_Toc457312918" w:history="1">
            <w:r w:rsidRPr="004B7DB8">
              <w:rPr>
                <w:rStyle w:val="Hyperlink"/>
                <w:rFonts w:cs="Arial"/>
                <w:noProof/>
              </w:rPr>
              <w:t>Table SDC4: Propensity score estimation sample descriptive statistics</w:t>
            </w:r>
            <w:r>
              <w:rPr>
                <w:noProof/>
                <w:webHidden/>
              </w:rPr>
              <w:tab/>
            </w:r>
            <w:r>
              <w:rPr>
                <w:noProof/>
                <w:webHidden/>
              </w:rPr>
              <w:fldChar w:fldCharType="begin"/>
            </w:r>
            <w:r>
              <w:rPr>
                <w:noProof/>
                <w:webHidden/>
              </w:rPr>
              <w:instrText xml:space="preserve"> PAGEREF _Toc457312918 \h </w:instrText>
            </w:r>
            <w:r>
              <w:rPr>
                <w:noProof/>
                <w:webHidden/>
              </w:rPr>
            </w:r>
            <w:r>
              <w:rPr>
                <w:noProof/>
                <w:webHidden/>
              </w:rPr>
              <w:fldChar w:fldCharType="separate"/>
            </w:r>
            <w:r>
              <w:rPr>
                <w:noProof/>
                <w:webHidden/>
              </w:rPr>
              <w:t>25</w:t>
            </w:r>
            <w:r>
              <w:rPr>
                <w:noProof/>
                <w:webHidden/>
              </w:rPr>
              <w:fldChar w:fldCharType="end"/>
            </w:r>
          </w:hyperlink>
        </w:p>
        <w:p w14:paraId="1407FEF7" w14:textId="77777777" w:rsidR="006C6451" w:rsidRDefault="006C6451">
          <w:pPr>
            <w:pStyle w:val="TOC2"/>
            <w:tabs>
              <w:tab w:val="right" w:leader="dot" w:pos="9016"/>
            </w:tabs>
            <w:rPr>
              <w:noProof/>
            </w:rPr>
          </w:pPr>
          <w:hyperlink w:anchor="_Toc457312919" w:history="1">
            <w:r w:rsidRPr="004B7DB8">
              <w:rPr>
                <w:rStyle w:val="Hyperlink"/>
                <w:rFonts w:cs="Arial"/>
                <w:noProof/>
              </w:rPr>
              <w:t>Table SDC5: Estimates of hospital mortality risk for the matched samples across years</w:t>
            </w:r>
            <w:r>
              <w:rPr>
                <w:noProof/>
                <w:webHidden/>
              </w:rPr>
              <w:tab/>
            </w:r>
            <w:r>
              <w:rPr>
                <w:noProof/>
                <w:webHidden/>
              </w:rPr>
              <w:fldChar w:fldCharType="begin"/>
            </w:r>
            <w:r>
              <w:rPr>
                <w:noProof/>
                <w:webHidden/>
              </w:rPr>
              <w:instrText xml:space="preserve"> PAGEREF _Toc457312919 \h </w:instrText>
            </w:r>
            <w:r>
              <w:rPr>
                <w:noProof/>
                <w:webHidden/>
              </w:rPr>
            </w:r>
            <w:r>
              <w:rPr>
                <w:noProof/>
                <w:webHidden/>
              </w:rPr>
              <w:fldChar w:fldCharType="separate"/>
            </w:r>
            <w:r>
              <w:rPr>
                <w:noProof/>
                <w:webHidden/>
              </w:rPr>
              <w:t>26</w:t>
            </w:r>
            <w:r>
              <w:rPr>
                <w:noProof/>
                <w:webHidden/>
              </w:rPr>
              <w:fldChar w:fldCharType="end"/>
            </w:r>
          </w:hyperlink>
        </w:p>
        <w:p w14:paraId="11CCFB43" w14:textId="77777777" w:rsidR="006C6451" w:rsidRDefault="006C6451">
          <w:pPr>
            <w:pStyle w:val="TOC2"/>
            <w:tabs>
              <w:tab w:val="right" w:leader="dot" w:pos="9016"/>
            </w:tabs>
            <w:rPr>
              <w:noProof/>
            </w:rPr>
          </w:pPr>
          <w:hyperlink w:anchor="_Toc457312920" w:history="1">
            <w:r w:rsidRPr="004B7DB8">
              <w:rPr>
                <w:rStyle w:val="Hyperlink"/>
                <w:rFonts w:cs="Arial"/>
                <w:noProof/>
              </w:rPr>
              <w:t>Table SDC6: LOS estimates for the matched samples across years</w:t>
            </w:r>
            <w:r>
              <w:rPr>
                <w:noProof/>
                <w:webHidden/>
              </w:rPr>
              <w:tab/>
            </w:r>
            <w:r>
              <w:rPr>
                <w:noProof/>
                <w:webHidden/>
              </w:rPr>
              <w:fldChar w:fldCharType="begin"/>
            </w:r>
            <w:r>
              <w:rPr>
                <w:noProof/>
                <w:webHidden/>
              </w:rPr>
              <w:instrText xml:space="preserve"> PAGEREF _Toc457312920 \h </w:instrText>
            </w:r>
            <w:r>
              <w:rPr>
                <w:noProof/>
                <w:webHidden/>
              </w:rPr>
            </w:r>
            <w:r>
              <w:rPr>
                <w:noProof/>
                <w:webHidden/>
              </w:rPr>
              <w:fldChar w:fldCharType="separate"/>
            </w:r>
            <w:r>
              <w:rPr>
                <w:noProof/>
                <w:webHidden/>
              </w:rPr>
              <w:t>27</w:t>
            </w:r>
            <w:r>
              <w:rPr>
                <w:noProof/>
                <w:webHidden/>
              </w:rPr>
              <w:fldChar w:fldCharType="end"/>
            </w:r>
          </w:hyperlink>
        </w:p>
        <w:p w14:paraId="7FCFEF49" w14:textId="77777777" w:rsidR="006C6451" w:rsidRDefault="006C6451">
          <w:pPr>
            <w:pStyle w:val="TOC2"/>
            <w:tabs>
              <w:tab w:val="right" w:leader="dot" w:pos="9016"/>
            </w:tabs>
            <w:rPr>
              <w:noProof/>
            </w:rPr>
          </w:pPr>
          <w:hyperlink w:anchor="_Toc457312921" w:history="1">
            <w:r w:rsidRPr="004B7DB8">
              <w:rPr>
                <w:rStyle w:val="Hyperlink"/>
                <w:rFonts w:cs="Arial"/>
                <w:noProof/>
              </w:rPr>
              <w:t>Table SDC7: Population QALY weights</w:t>
            </w:r>
            <w:r>
              <w:rPr>
                <w:noProof/>
                <w:webHidden/>
              </w:rPr>
              <w:tab/>
            </w:r>
            <w:r>
              <w:rPr>
                <w:noProof/>
                <w:webHidden/>
              </w:rPr>
              <w:fldChar w:fldCharType="begin"/>
            </w:r>
            <w:r>
              <w:rPr>
                <w:noProof/>
                <w:webHidden/>
              </w:rPr>
              <w:instrText xml:space="preserve"> PAGEREF _Toc457312921 \h </w:instrText>
            </w:r>
            <w:r>
              <w:rPr>
                <w:noProof/>
                <w:webHidden/>
              </w:rPr>
            </w:r>
            <w:r>
              <w:rPr>
                <w:noProof/>
                <w:webHidden/>
              </w:rPr>
              <w:fldChar w:fldCharType="separate"/>
            </w:r>
            <w:r>
              <w:rPr>
                <w:noProof/>
                <w:webHidden/>
              </w:rPr>
              <w:t>28</w:t>
            </w:r>
            <w:r>
              <w:rPr>
                <w:noProof/>
                <w:webHidden/>
              </w:rPr>
              <w:fldChar w:fldCharType="end"/>
            </w:r>
          </w:hyperlink>
        </w:p>
        <w:p w14:paraId="671BBB54" w14:textId="77777777" w:rsidR="006C6451" w:rsidRDefault="006C6451">
          <w:pPr>
            <w:pStyle w:val="TOC2"/>
            <w:tabs>
              <w:tab w:val="right" w:leader="dot" w:pos="9016"/>
            </w:tabs>
            <w:rPr>
              <w:noProof/>
            </w:rPr>
          </w:pPr>
          <w:hyperlink w:anchor="_Toc457312922" w:history="1">
            <w:r w:rsidRPr="004B7DB8">
              <w:rPr>
                <w:rStyle w:val="Hyperlink"/>
                <w:rFonts w:cs="Arial"/>
                <w:noProof/>
              </w:rPr>
              <w:t>Table SDC8: Reductions in quality-of-life associated with 240 comorbidities (Sullivan et al. 2011)</w:t>
            </w:r>
            <w:r>
              <w:rPr>
                <w:noProof/>
                <w:webHidden/>
              </w:rPr>
              <w:tab/>
            </w:r>
            <w:r>
              <w:rPr>
                <w:noProof/>
                <w:webHidden/>
              </w:rPr>
              <w:fldChar w:fldCharType="begin"/>
            </w:r>
            <w:r>
              <w:rPr>
                <w:noProof/>
                <w:webHidden/>
              </w:rPr>
              <w:instrText xml:space="preserve"> PAGEREF _Toc457312922 \h </w:instrText>
            </w:r>
            <w:r>
              <w:rPr>
                <w:noProof/>
                <w:webHidden/>
              </w:rPr>
            </w:r>
            <w:r>
              <w:rPr>
                <w:noProof/>
                <w:webHidden/>
              </w:rPr>
              <w:fldChar w:fldCharType="separate"/>
            </w:r>
            <w:r>
              <w:rPr>
                <w:noProof/>
                <w:webHidden/>
              </w:rPr>
              <w:t>29</w:t>
            </w:r>
            <w:r>
              <w:rPr>
                <w:noProof/>
                <w:webHidden/>
              </w:rPr>
              <w:fldChar w:fldCharType="end"/>
            </w:r>
          </w:hyperlink>
        </w:p>
        <w:p w14:paraId="2DEE7071" w14:textId="77777777" w:rsidR="006C6451" w:rsidRDefault="006C6451">
          <w:pPr>
            <w:pStyle w:val="TOC2"/>
            <w:tabs>
              <w:tab w:val="right" w:leader="dot" w:pos="9016"/>
            </w:tabs>
            <w:rPr>
              <w:noProof/>
            </w:rPr>
          </w:pPr>
          <w:hyperlink w:anchor="_Toc457312923" w:history="1">
            <w:r w:rsidRPr="004B7DB8">
              <w:rPr>
                <w:rStyle w:val="Hyperlink"/>
                <w:rFonts w:cs="Arial"/>
                <w:noProof/>
              </w:rPr>
              <w:t>Table SDC9: Life expectancy and healthy life expectancy remaining, by age-group</w:t>
            </w:r>
            <w:r>
              <w:rPr>
                <w:noProof/>
                <w:webHidden/>
              </w:rPr>
              <w:tab/>
            </w:r>
            <w:r>
              <w:rPr>
                <w:noProof/>
                <w:webHidden/>
              </w:rPr>
              <w:fldChar w:fldCharType="begin"/>
            </w:r>
            <w:r>
              <w:rPr>
                <w:noProof/>
                <w:webHidden/>
              </w:rPr>
              <w:instrText xml:space="preserve"> PAGEREF _Toc457312923 \h </w:instrText>
            </w:r>
            <w:r>
              <w:rPr>
                <w:noProof/>
                <w:webHidden/>
              </w:rPr>
            </w:r>
            <w:r>
              <w:rPr>
                <w:noProof/>
                <w:webHidden/>
              </w:rPr>
              <w:fldChar w:fldCharType="separate"/>
            </w:r>
            <w:r>
              <w:rPr>
                <w:noProof/>
                <w:webHidden/>
              </w:rPr>
              <w:t>32</w:t>
            </w:r>
            <w:r>
              <w:rPr>
                <w:noProof/>
                <w:webHidden/>
              </w:rPr>
              <w:fldChar w:fldCharType="end"/>
            </w:r>
          </w:hyperlink>
        </w:p>
        <w:p w14:paraId="2F5C5A3F" w14:textId="77777777" w:rsidR="006C6451" w:rsidRDefault="006C6451">
          <w:pPr>
            <w:pStyle w:val="TOC2"/>
            <w:tabs>
              <w:tab w:val="right" w:leader="dot" w:pos="9016"/>
            </w:tabs>
            <w:rPr>
              <w:noProof/>
            </w:rPr>
          </w:pPr>
          <w:hyperlink w:anchor="_Toc457312924" w:history="1">
            <w:r w:rsidRPr="004B7DB8">
              <w:rPr>
                <w:rStyle w:val="Hyperlink"/>
                <w:rFonts w:cs="Arial"/>
                <w:noProof/>
              </w:rPr>
              <w:t>Table SDC10: Loss of healthy-life-years due to six patient safety incidents, annual estimates for an average English hospital</w:t>
            </w:r>
            <w:r>
              <w:rPr>
                <w:noProof/>
                <w:webHidden/>
              </w:rPr>
              <w:tab/>
            </w:r>
            <w:r>
              <w:rPr>
                <w:noProof/>
                <w:webHidden/>
              </w:rPr>
              <w:fldChar w:fldCharType="begin"/>
            </w:r>
            <w:r>
              <w:rPr>
                <w:noProof/>
                <w:webHidden/>
              </w:rPr>
              <w:instrText xml:space="preserve"> PAGEREF _Toc457312924 \h </w:instrText>
            </w:r>
            <w:r>
              <w:rPr>
                <w:noProof/>
                <w:webHidden/>
              </w:rPr>
            </w:r>
            <w:r>
              <w:rPr>
                <w:noProof/>
                <w:webHidden/>
              </w:rPr>
              <w:fldChar w:fldCharType="separate"/>
            </w:r>
            <w:r>
              <w:rPr>
                <w:noProof/>
                <w:webHidden/>
              </w:rPr>
              <w:t>33</w:t>
            </w:r>
            <w:r>
              <w:rPr>
                <w:noProof/>
                <w:webHidden/>
              </w:rPr>
              <w:fldChar w:fldCharType="end"/>
            </w:r>
          </w:hyperlink>
        </w:p>
        <w:p w14:paraId="04FEE966" w14:textId="77777777" w:rsidR="006C6451" w:rsidRDefault="006C6451">
          <w:pPr>
            <w:pStyle w:val="TOC2"/>
            <w:tabs>
              <w:tab w:val="right" w:leader="dot" w:pos="9016"/>
            </w:tabs>
            <w:rPr>
              <w:noProof/>
            </w:rPr>
          </w:pPr>
          <w:hyperlink w:anchor="_Toc457312925" w:history="1">
            <w:r w:rsidRPr="004B7DB8">
              <w:rPr>
                <w:rStyle w:val="Hyperlink"/>
                <w:rFonts w:cs="Arial"/>
                <w:noProof/>
              </w:rPr>
              <w:t>Table SDC11: Excess bed days due to six patient safety incidents, annual estimates for an average English hospital</w:t>
            </w:r>
            <w:r>
              <w:rPr>
                <w:noProof/>
                <w:webHidden/>
              </w:rPr>
              <w:tab/>
            </w:r>
            <w:r>
              <w:rPr>
                <w:noProof/>
                <w:webHidden/>
              </w:rPr>
              <w:fldChar w:fldCharType="begin"/>
            </w:r>
            <w:r>
              <w:rPr>
                <w:noProof/>
                <w:webHidden/>
              </w:rPr>
              <w:instrText xml:space="preserve"> PAGEREF _Toc457312925 \h </w:instrText>
            </w:r>
            <w:r>
              <w:rPr>
                <w:noProof/>
                <w:webHidden/>
              </w:rPr>
            </w:r>
            <w:r>
              <w:rPr>
                <w:noProof/>
                <w:webHidden/>
              </w:rPr>
              <w:fldChar w:fldCharType="separate"/>
            </w:r>
            <w:r>
              <w:rPr>
                <w:noProof/>
                <w:webHidden/>
              </w:rPr>
              <w:t>34</w:t>
            </w:r>
            <w:r>
              <w:rPr>
                <w:noProof/>
                <w:webHidden/>
              </w:rPr>
              <w:fldChar w:fldCharType="end"/>
            </w:r>
          </w:hyperlink>
        </w:p>
        <w:p w14:paraId="424C9E9C" w14:textId="77777777" w:rsidR="006C6451" w:rsidRDefault="006C6451">
          <w:pPr>
            <w:pStyle w:val="TOC1"/>
            <w:tabs>
              <w:tab w:val="left" w:pos="440"/>
              <w:tab w:val="right" w:leader="dot" w:pos="9016"/>
            </w:tabs>
            <w:rPr>
              <w:noProof/>
            </w:rPr>
          </w:pPr>
          <w:hyperlink w:anchor="_Toc457312926" w:history="1">
            <w:r w:rsidRPr="004B7DB8">
              <w:rPr>
                <w:rStyle w:val="Hyperlink"/>
                <w:rFonts w:cs="Arial"/>
                <w:noProof/>
              </w:rPr>
              <w:t>4.</w:t>
            </w:r>
            <w:r>
              <w:rPr>
                <w:noProof/>
              </w:rPr>
              <w:tab/>
            </w:r>
            <w:r w:rsidRPr="004B7DB8">
              <w:rPr>
                <w:rStyle w:val="Hyperlink"/>
                <w:rFonts w:cs="Arial"/>
                <w:noProof/>
              </w:rPr>
              <w:t>Supplementary Figures</w:t>
            </w:r>
            <w:r>
              <w:rPr>
                <w:noProof/>
                <w:webHidden/>
              </w:rPr>
              <w:tab/>
            </w:r>
            <w:r>
              <w:rPr>
                <w:noProof/>
                <w:webHidden/>
              </w:rPr>
              <w:fldChar w:fldCharType="begin"/>
            </w:r>
            <w:r>
              <w:rPr>
                <w:noProof/>
                <w:webHidden/>
              </w:rPr>
              <w:instrText xml:space="preserve"> PAGEREF _Toc457312926 \h </w:instrText>
            </w:r>
            <w:r>
              <w:rPr>
                <w:noProof/>
                <w:webHidden/>
              </w:rPr>
            </w:r>
            <w:r>
              <w:rPr>
                <w:noProof/>
                <w:webHidden/>
              </w:rPr>
              <w:fldChar w:fldCharType="separate"/>
            </w:r>
            <w:r>
              <w:rPr>
                <w:noProof/>
                <w:webHidden/>
              </w:rPr>
              <w:t>35</w:t>
            </w:r>
            <w:r>
              <w:rPr>
                <w:noProof/>
                <w:webHidden/>
              </w:rPr>
              <w:fldChar w:fldCharType="end"/>
            </w:r>
          </w:hyperlink>
        </w:p>
        <w:p w14:paraId="106D9520" w14:textId="77777777" w:rsidR="006C6451" w:rsidRDefault="006C6451">
          <w:pPr>
            <w:pStyle w:val="TOC2"/>
            <w:tabs>
              <w:tab w:val="right" w:leader="dot" w:pos="9016"/>
            </w:tabs>
            <w:rPr>
              <w:noProof/>
            </w:rPr>
          </w:pPr>
          <w:hyperlink w:anchor="_Toc457312927" w:history="1">
            <w:r w:rsidRPr="004B7DB8">
              <w:rPr>
                <w:rStyle w:val="Hyperlink"/>
                <w:rFonts w:cs="Arial"/>
                <w:noProof/>
              </w:rPr>
              <w:t>Figures SDC1a-b: Overlay plots of Kernel densities of predicted propensity scores (Death in low-mortality HRG and Pressure ulcers)</w:t>
            </w:r>
            <w:r>
              <w:rPr>
                <w:noProof/>
                <w:webHidden/>
              </w:rPr>
              <w:tab/>
            </w:r>
            <w:r>
              <w:rPr>
                <w:noProof/>
                <w:webHidden/>
              </w:rPr>
              <w:fldChar w:fldCharType="begin"/>
            </w:r>
            <w:r>
              <w:rPr>
                <w:noProof/>
                <w:webHidden/>
              </w:rPr>
              <w:instrText xml:space="preserve"> PAGEREF _Toc457312927 \h </w:instrText>
            </w:r>
            <w:r>
              <w:rPr>
                <w:noProof/>
                <w:webHidden/>
              </w:rPr>
            </w:r>
            <w:r>
              <w:rPr>
                <w:noProof/>
                <w:webHidden/>
              </w:rPr>
              <w:fldChar w:fldCharType="separate"/>
            </w:r>
            <w:r>
              <w:rPr>
                <w:noProof/>
                <w:webHidden/>
              </w:rPr>
              <w:t>35</w:t>
            </w:r>
            <w:r>
              <w:rPr>
                <w:noProof/>
                <w:webHidden/>
              </w:rPr>
              <w:fldChar w:fldCharType="end"/>
            </w:r>
          </w:hyperlink>
        </w:p>
        <w:p w14:paraId="56FEA6EB" w14:textId="77777777" w:rsidR="006C6451" w:rsidRDefault="006C6451">
          <w:pPr>
            <w:pStyle w:val="TOC2"/>
            <w:tabs>
              <w:tab w:val="right" w:leader="dot" w:pos="9016"/>
            </w:tabs>
            <w:rPr>
              <w:noProof/>
            </w:rPr>
          </w:pPr>
          <w:hyperlink w:anchor="_Toc457312928" w:history="1">
            <w:r w:rsidRPr="004B7DB8">
              <w:rPr>
                <w:rStyle w:val="Hyperlink"/>
                <w:rFonts w:cs="Arial"/>
                <w:noProof/>
              </w:rPr>
              <w:t>Figures SDC1c-d: Overlay plots of Kernel densities of predicted propensity scores (Central-line infections and post-operative hip fractures)</w:t>
            </w:r>
            <w:r>
              <w:rPr>
                <w:noProof/>
                <w:webHidden/>
              </w:rPr>
              <w:tab/>
            </w:r>
            <w:r>
              <w:rPr>
                <w:noProof/>
                <w:webHidden/>
              </w:rPr>
              <w:fldChar w:fldCharType="begin"/>
            </w:r>
            <w:r>
              <w:rPr>
                <w:noProof/>
                <w:webHidden/>
              </w:rPr>
              <w:instrText xml:space="preserve"> PAGEREF _Toc457312928 \h </w:instrText>
            </w:r>
            <w:r>
              <w:rPr>
                <w:noProof/>
                <w:webHidden/>
              </w:rPr>
            </w:r>
            <w:r>
              <w:rPr>
                <w:noProof/>
                <w:webHidden/>
              </w:rPr>
              <w:fldChar w:fldCharType="separate"/>
            </w:r>
            <w:r>
              <w:rPr>
                <w:noProof/>
                <w:webHidden/>
              </w:rPr>
              <w:t>35</w:t>
            </w:r>
            <w:r>
              <w:rPr>
                <w:noProof/>
                <w:webHidden/>
              </w:rPr>
              <w:fldChar w:fldCharType="end"/>
            </w:r>
          </w:hyperlink>
        </w:p>
        <w:p w14:paraId="02566B5A" w14:textId="77777777" w:rsidR="006C6451" w:rsidRDefault="006C6451">
          <w:pPr>
            <w:pStyle w:val="TOC2"/>
            <w:tabs>
              <w:tab w:val="right" w:leader="dot" w:pos="9016"/>
            </w:tabs>
            <w:rPr>
              <w:noProof/>
            </w:rPr>
          </w:pPr>
          <w:hyperlink w:anchor="_Toc457312929" w:history="1">
            <w:r w:rsidRPr="004B7DB8">
              <w:rPr>
                <w:rStyle w:val="Hyperlink"/>
                <w:rFonts w:cs="Arial"/>
                <w:noProof/>
              </w:rPr>
              <w:t>Figures SDC1e-f: Overlay plots of Kernel densities of predicted propensity scores (DVT/PE and post-operative sepsis)</w:t>
            </w:r>
            <w:r>
              <w:rPr>
                <w:noProof/>
                <w:webHidden/>
              </w:rPr>
              <w:tab/>
            </w:r>
            <w:r>
              <w:rPr>
                <w:noProof/>
                <w:webHidden/>
              </w:rPr>
              <w:fldChar w:fldCharType="begin"/>
            </w:r>
            <w:r>
              <w:rPr>
                <w:noProof/>
                <w:webHidden/>
              </w:rPr>
              <w:instrText xml:space="preserve"> PAGEREF _Toc457312929 \h </w:instrText>
            </w:r>
            <w:r>
              <w:rPr>
                <w:noProof/>
                <w:webHidden/>
              </w:rPr>
            </w:r>
            <w:r>
              <w:rPr>
                <w:noProof/>
                <w:webHidden/>
              </w:rPr>
              <w:fldChar w:fldCharType="separate"/>
            </w:r>
            <w:r>
              <w:rPr>
                <w:noProof/>
                <w:webHidden/>
              </w:rPr>
              <w:t>36</w:t>
            </w:r>
            <w:r>
              <w:rPr>
                <w:noProof/>
                <w:webHidden/>
              </w:rPr>
              <w:fldChar w:fldCharType="end"/>
            </w:r>
          </w:hyperlink>
        </w:p>
        <w:p w14:paraId="48611757" w14:textId="77777777" w:rsidR="006C6451" w:rsidRDefault="006C6451">
          <w:pPr>
            <w:pStyle w:val="TOC1"/>
            <w:tabs>
              <w:tab w:val="left" w:pos="440"/>
              <w:tab w:val="right" w:leader="dot" w:pos="9016"/>
            </w:tabs>
            <w:rPr>
              <w:noProof/>
            </w:rPr>
          </w:pPr>
          <w:hyperlink w:anchor="_Toc457312930" w:history="1">
            <w:r w:rsidRPr="004B7DB8">
              <w:rPr>
                <w:rStyle w:val="Hyperlink"/>
                <w:rFonts w:cs="Arial"/>
                <w:noProof/>
              </w:rPr>
              <w:t>5.</w:t>
            </w:r>
            <w:r>
              <w:rPr>
                <w:noProof/>
              </w:rPr>
              <w:tab/>
            </w:r>
            <w:r w:rsidRPr="004B7DB8">
              <w:rPr>
                <w:rStyle w:val="Hyperlink"/>
                <w:rFonts w:cs="Arial"/>
                <w:noProof/>
              </w:rPr>
              <w:t>References</w:t>
            </w:r>
            <w:r>
              <w:rPr>
                <w:noProof/>
                <w:webHidden/>
              </w:rPr>
              <w:tab/>
            </w:r>
            <w:r>
              <w:rPr>
                <w:noProof/>
                <w:webHidden/>
              </w:rPr>
              <w:fldChar w:fldCharType="begin"/>
            </w:r>
            <w:r>
              <w:rPr>
                <w:noProof/>
                <w:webHidden/>
              </w:rPr>
              <w:instrText xml:space="preserve"> PAGEREF _Toc457312930 \h </w:instrText>
            </w:r>
            <w:r>
              <w:rPr>
                <w:noProof/>
                <w:webHidden/>
              </w:rPr>
            </w:r>
            <w:r>
              <w:rPr>
                <w:noProof/>
                <w:webHidden/>
              </w:rPr>
              <w:fldChar w:fldCharType="separate"/>
            </w:r>
            <w:r>
              <w:rPr>
                <w:noProof/>
                <w:webHidden/>
              </w:rPr>
              <w:t>37</w:t>
            </w:r>
            <w:r>
              <w:rPr>
                <w:noProof/>
                <w:webHidden/>
              </w:rPr>
              <w:fldChar w:fldCharType="end"/>
            </w:r>
          </w:hyperlink>
        </w:p>
        <w:p w14:paraId="0C27CE13" w14:textId="6E8B7362" w:rsidR="006414D4" w:rsidRPr="00BC7CA9" w:rsidRDefault="00CB1F10" w:rsidP="00B37BB5">
          <w:pPr>
            <w:pStyle w:val="TOC1"/>
            <w:tabs>
              <w:tab w:val="left" w:pos="440"/>
              <w:tab w:val="right" w:leader="dot" w:pos="9016"/>
            </w:tabs>
            <w:rPr>
              <w:rFonts w:cs="Times New Roman"/>
              <w:sz w:val="20"/>
              <w:szCs w:val="20"/>
            </w:rPr>
          </w:pPr>
          <w:r w:rsidRPr="00BC7CA9">
            <w:rPr>
              <w:rFonts w:cs="Times New Roman"/>
              <w:b/>
              <w:bCs/>
              <w:noProof/>
            </w:rPr>
            <w:fldChar w:fldCharType="end"/>
          </w:r>
        </w:p>
      </w:sdtContent>
    </w:sdt>
    <w:p w14:paraId="197F703A" w14:textId="77777777" w:rsidR="006C6451" w:rsidRDefault="006C6451">
      <w:pPr>
        <w:spacing w:after="160" w:line="259" w:lineRule="auto"/>
        <w:rPr>
          <w:rStyle w:val="Heading1Char"/>
          <w:rFonts w:asciiTheme="minorHAnsi" w:hAnsiTheme="minorHAnsi" w:cs="Times New Roman"/>
          <w:sz w:val="24"/>
          <w:szCs w:val="24"/>
        </w:rPr>
      </w:pPr>
      <w:bookmarkStart w:id="0" w:name="_Toc457312909"/>
      <w:r>
        <w:rPr>
          <w:rStyle w:val="Heading1Char"/>
          <w:rFonts w:asciiTheme="minorHAnsi" w:hAnsiTheme="minorHAnsi" w:cs="Times New Roman"/>
          <w:sz w:val="24"/>
          <w:szCs w:val="24"/>
        </w:rPr>
        <w:br w:type="page"/>
      </w:r>
    </w:p>
    <w:p w14:paraId="5B3E655B" w14:textId="4963ECC7" w:rsidR="00123092" w:rsidRPr="00123092" w:rsidRDefault="00B37BB5" w:rsidP="00123092">
      <w:pPr>
        <w:pStyle w:val="Heading1"/>
        <w:numPr>
          <w:ilvl w:val="0"/>
          <w:numId w:val="10"/>
        </w:numPr>
        <w:spacing w:line="360" w:lineRule="auto"/>
        <w:jc w:val="both"/>
        <w:rPr>
          <w:rStyle w:val="Heading1Char"/>
          <w:rFonts w:asciiTheme="minorHAnsi" w:hAnsiTheme="minorHAnsi" w:cs="Times New Roman"/>
          <w:sz w:val="24"/>
          <w:szCs w:val="24"/>
        </w:rPr>
      </w:pPr>
      <w:bookmarkStart w:id="1" w:name="_GoBack"/>
      <w:bookmarkEnd w:id="1"/>
      <w:r>
        <w:rPr>
          <w:rStyle w:val="Heading1Char"/>
          <w:rFonts w:asciiTheme="minorHAnsi" w:hAnsiTheme="minorHAnsi" w:cs="Times New Roman"/>
          <w:sz w:val="24"/>
          <w:szCs w:val="24"/>
        </w:rPr>
        <w:lastRenderedPageBreak/>
        <w:t xml:space="preserve">Supplementary Data: </w:t>
      </w:r>
      <w:r w:rsidR="00123092" w:rsidRPr="00123092">
        <w:rPr>
          <w:rStyle w:val="Heading1Char"/>
          <w:rFonts w:asciiTheme="minorHAnsi" w:hAnsiTheme="minorHAnsi" w:cs="Times New Roman"/>
          <w:sz w:val="24"/>
          <w:szCs w:val="24"/>
        </w:rPr>
        <w:t>The Patient Safety Indicators</w:t>
      </w:r>
      <w:bookmarkEnd w:id="0"/>
    </w:p>
    <w:p w14:paraId="664D3F83" w14:textId="24014075" w:rsidR="00D76B99" w:rsidRPr="00BC7CA9" w:rsidRDefault="00D76B99" w:rsidP="00BC7CA9">
      <w:pPr>
        <w:widowControl w:val="0"/>
        <w:autoSpaceDE w:val="0"/>
        <w:autoSpaceDN w:val="0"/>
        <w:adjustRightInd w:val="0"/>
        <w:spacing w:before="100" w:beforeAutospacing="1" w:after="240" w:line="360" w:lineRule="auto"/>
        <w:ind w:firstLine="720"/>
        <w:jc w:val="both"/>
        <w:rPr>
          <w:rFonts w:cs="Times New Roman"/>
        </w:rPr>
      </w:pPr>
      <w:r w:rsidRPr="00BC7CA9">
        <w:rPr>
          <w:rFonts w:cs="Times New Roman"/>
        </w:rPr>
        <w:t xml:space="preserve">The Patient Safety Indicators (PSIs) are a set of indicators providing information on potential in-hospital complications and adverse events following surgeries, procedures, and childbirth. They were developed by the University of California, San Francisco–Stanford University Evidence-based Practice </w:t>
      </w:r>
      <w:proofErr w:type="spellStart"/>
      <w:r w:rsidRPr="00BC7CA9">
        <w:rPr>
          <w:rFonts w:cs="Times New Roman"/>
        </w:rPr>
        <w:t>Center</w:t>
      </w:r>
      <w:proofErr w:type="spellEnd"/>
      <w:r w:rsidRPr="00BC7CA9">
        <w:rPr>
          <w:rFonts w:cs="Times New Roman"/>
        </w:rPr>
        <w:t xml:space="preserve"> and the University of California, Davis, for the US Agency for Healthcare Research and Quality. The AHRQ team used a five-step process: literature review, determination of face validity, consultation with clinical and coding experts, empirical analysis using data from previous datasets and indicators, and public release of software and related information </w:t>
      </w:r>
      <w:r w:rsidR="002604F0">
        <w:rPr>
          <w:rFonts w:cs="Times New Roman"/>
        </w:rPr>
        <w:fldChar w:fldCharType="begin"/>
      </w:r>
      <w:r w:rsidR="002604F0">
        <w:rPr>
          <w:rFonts w:cs="Times New Roman"/>
        </w:rPr>
        <w:instrText xml:space="preserve"> ADDIN EN.CITE &lt;EndNote&gt;&lt;Cite&gt;&lt;Author&gt;AHRQ&lt;/Author&gt;&lt;Year&gt;2002&lt;/Year&gt;&lt;RecNum&gt;696&lt;/RecNum&gt;&lt;DisplayText&gt;(1, 2)&lt;/DisplayText&gt;&lt;record&gt;&lt;rec-number&gt;696&lt;/rec-number&gt;&lt;foreign-keys&gt;&lt;key app="EN" db-id="fweew0v96zr2xze25xrvwf59dx52x9w0spr9" timestamp="1460980283"&gt;696&lt;/key&gt;&lt;/foreign-keys&gt;&lt;ref-type name="Government Document"&gt;46&lt;/ref-type&gt;&lt;contributors&gt;&lt;authors&gt;&lt;author&gt;AHRQ&lt;/author&gt;&lt;/authors&gt;&lt;secondary-authors&gt;&lt;author&gt;Agency for Healthcare Research and Quality,&lt;/author&gt;&lt;/secondary-authors&gt;&lt;/contributors&gt;&lt;titles&gt;&lt;title&gt;Measures of Patient Safety Based on Hospital Administrative Data: The Patient Safety Indicators - Technical Review 5&lt;/title&gt;&lt;/titles&gt;&lt;dates&gt;&lt;year&gt;2002&lt;/year&gt;&lt;/dates&gt;&lt;publisher&gt;Department of Health and Human Services&lt;/publisher&gt;&lt;urls&gt;&lt;/urls&gt;&lt;/record&gt;&lt;/Cite&gt;&lt;Cite&gt;&lt;Author&gt;AHRQ&lt;/Author&gt;&lt;Year&gt;2010&lt;/Year&gt;&lt;RecNum&gt;677&lt;/RecNum&gt;&lt;record&gt;&lt;rec-number&gt;677&lt;/rec-number&gt;&lt;foreign-keys&gt;&lt;key app="EN" db-id="fweew0v96zr2xze25xrvwf59dx52x9w0spr9" timestamp="1460980283"&gt;677&lt;/key&gt;&lt;/foreign-keys&gt;&lt;ref-type name="Government Document"&gt;46&lt;/ref-type&gt;&lt;contributors&gt;&lt;authors&gt;&lt;author&gt;AHRQ&lt;/author&gt;&lt;/authors&gt;&lt;secondary-authors&gt;&lt;author&gt;Agency for Healthcare Research and Quality,&lt;/author&gt;&lt;/secondary-authors&gt;&lt;/contributors&gt;&lt;titles&gt;&lt;title&gt;Patient Safety Indicators&lt;/title&gt;&lt;/titles&gt;&lt;dates&gt;&lt;year&gt;2010&lt;/year&gt;&lt;/dates&gt;&lt;pub-location&gt;Rockville, Maryland&lt;/pub-location&gt;&lt;publisher&gt;U.S. Department of Health and Human Services&lt;/publisher&gt;&lt;urls&gt;&lt;/urls&gt;&lt;/record&gt;&lt;/Cite&gt;&lt;/EndNote&gt;</w:instrText>
      </w:r>
      <w:r w:rsidR="002604F0">
        <w:rPr>
          <w:rFonts w:cs="Times New Roman"/>
        </w:rPr>
        <w:fldChar w:fldCharType="separate"/>
      </w:r>
      <w:r w:rsidR="002604F0">
        <w:rPr>
          <w:rFonts w:cs="Times New Roman"/>
          <w:noProof/>
        </w:rPr>
        <w:t>(1, 2)</w:t>
      </w:r>
      <w:r w:rsidR="002604F0">
        <w:rPr>
          <w:rFonts w:cs="Times New Roman"/>
        </w:rPr>
        <w:fldChar w:fldCharType="end"/>
      </w:r>
      <w:r w:rsidRPr="00BC7CA9">
        <w:rPr>
          <w:rFonts w:cs="Times New Roman"/>
        </w:rPr>
        <w:t xml:space="preserve">. The objective of the AHRQ experts was to define PSIs that constitute safety incidents and medical complications that medical experts judge to be potentially preventable under optimal medical care. For a review of the PSIs and more detailed explanation of the methodology see the AHRQ website, and for an in-depth discussion see </w:t>
      </w:r>
      <w:proofErr w:type="spellStart"/>
      <w:r w:rsidRPr="00BC7CA9">
        <w:rPr>
          <w:rFonts w:cs="Times New Roman"/>
        </w:rPr>
        <w:t>Henriks</w:t>
      </w:r>
      <w:r w:rsidR="00C73DE3">
        <w:rPr>
          <w:rFonts w:cs="Times New Roman"/>
        </w:rPr>
        <w:t>e</w:t>
      </w:r>
      <w:r w:rsidRPr="00BC7CA9">
        <w:rPr>
          <w:rFonts w:cs="Times New Roman"/>
        </w:rPr>
        <w:t>n</w:t>
      </w:r>
      <w:proofErr w:type="spellEnd"/>
      <w:r w:rsidRPr="00BC7CA9">
        <w:rPr>
          <w:rFonts w:cs="Times New Roman"/>
        </w:rPr>
        <w:t xml:space="preserve"> et al. </w:t>
      </w:r>
      <w:r w:rsidR="002604F0">
        <w:rPr>
          <w:rFonts w:cs="Times New Roman"/>
        </w:rPr>
        <w:fldChar w:fldCharType="begin"/>
      </w:r>
      <w:r w:rsidR="002604F0">
        <w:rPr>
          <w:rFonts w:cs="Times New Roman"/>
        </w:rPr>
        <w:instrText xml:space="preserve"> ADDIN EN.CITE &lt;EndNote&gt;&lt;Cite ExcludeAuth="1"&gt;&lt;Author&gt;Henriksen&lt;/Author&gt;&lt;Year&gt;2005&lt;/Year&gt;&lt;RecNum&gt;734&lt;/RecNum&gt;&lt;DisplayText&gt;(3)&lt;/DisplayText&gt;&lt;record&gt;&lt;rec-number&gt;734&lt;/rec-number&gt;&lt;foreign-keys&gt;&lt;key app="EN" db-id="fweew0v96zr2xze25xrvwf59dx52x9w0spr9" timestamp="1460980283"&gt;734&lt;/key&gt;&lt;/foreign-keys&gt;&lt;ref-type name="Book Section"&gt;5&lt;/ref-type&gt;&lt;contributors&gt;&lt;authors&gt;&lt;author&gt;Henriksen, Kerm&lt;/author&gt;&lt;author&gt;Battles, James B&lt;/author&gt;&lt;author&gt;Marks, Eric S&lt;/author&gt;&lt;author&gt;Lewin, David I&lt;/author&gt;&lt;author&gt;Rivard, Peter E&lt;/author&gt;&lt;author&gt;Elwy, A Rani&lt;/author&gt;&lt;author&gt;Loveland, Susan&lt;/author&gt;&lt;author&gt;Zhao, Shibei&lt;/author&gt;&lt;author&gt;Tsilimingras, Dennis&lt;/author&gt;&lt;author&gt;Elixhauser, Anne&lt;/author&gt;&lt;/authors&gt;&lt;secondary-authors&gt;&lt;author&gt;Henriksen, K&lt;/author&gt;&lt;author&gt;Battles, J B&lt;/author&gt;&lt;author&gt;Marks, E.S.&lt;/author&gt;&lt;author&gt;et al.&lt;/author&gt;&lt;/secondary-authors&gt;&lt;/contributors&gt;&lt;titles&gt;&lt;title&gt;Applying patient safety indicators (PSIs) across health care systems: achieving data comparability&lt;/title&gt;&lt;secondary-title&gt;Advances in Patient Safety: From Research to Implementation &lt;/secondary-title&gt;&lt;/titles&gt;&lt;volume&gt;Volume 2: Concepts and Methodology&lt;/volume&gt;&lt;dates&gt;&lt;year&gt;2005&lt;/year&gt;&lt;/dates&gt;&lt;pub-location&gt;Rockville, MD&lt;/pub-location&gt;&lt;publisher&gt;Agency for Healthcare Reserach and Quality&lt;/publisher&gt;&lt;urls&gt;&lt;/urls&gt;&lt;/record&gt;&lt;/Cite&gt;&lt;/EndNote&gt;</w:instrText>
      </w:r>
      <w:r w:rsidR="002604F0">
        <w:rPr>
          <w:rFonts w:cs="Times New Roman"/>
        </w:rPr>
        <w:fldChar w:fldCharType="separate"/>
      </w:r>
      <w:r w:rsidR="002604F0">
        <w:rPr>
          <w:rFonts w:cs="Times New Roman"/>
          <w:noProof/>
        </w:rPr>
        <w:t>(3)</w:t>
      </w:r>
      <w:r w:rsidR="002604F0">
        <w:rPr>
          <w:rFonts w:cs="Times New Roman"/>
        </w:rPr>
        <w:fldChar w:fldCharType="end"/>
      </w:r>
      <w:r w:rsidRPr="00BC7CA9">
        <w:rPr>
          <w:rFonts w:cs="Times New Roman"/>
        </w:rPr>
        <w:t xml:space="preserve">.   </w:t>
      </w:r>
    </w:p>
    <w:p w14:paraId="3C8A682C" w14:textId="608C4490" w:rsidR="00D76B99" w:rsidRPr="00BC7CA9" w:rsidRDefault="00D76B99" w:rsidP="00BC7CA9">
      <w:pPr>
        <w:widowControl w:val="0"/>
        <w:autoSpaceDE w:val="0"/>
        <w:autoSpaceDN w:val="0"/>
        <w:adjustRightInd w:val="0"/>
        <w:spacing w:before="100" w:beforeAutospacing="1" w:after="240" w:line="360" w:lineRule="auto"/>
        <w:ind w:firstLine="720"/>
        <w:jc w:val="both"/>
        <w:rPr>
          <w:rFonts w:cs="Times New Roman"/>
        </w:rPr>
      </w:pPr>
      <w:r w:rsidRPr="00BC7CA9">
        <w:rPr>
          <w:rFonts w:cs="Times New Roman"/>
        </w:rPr>
        <w:t xml:space="preserve">Much consideration of AHRQ focused on the exclusion of events that cannot be considered preventable. The AHRQ team achieved this (a) by narrowly defining the event (‘numerator’), and (b) by delineating subgroups of patients based on diagnoses and procedure codes in which particular </w:t>
      </w:r>
      <w:r w:rsidR="00193324">
        <w:rPr>
          <w:rFonts w:cs="Times New Roman"/>
        </w:rPr>
        <w:t>patients safety (</w:t>
      </w:r>
      <w:r w:rsidRPr="00BC7CA9">
        <w:rPr>
          <w:rFonts w:cs="Times New Roman"/>
        </w:rPr>
        <w:t>PS</w:t>
      </w:r>
      <w:r w:rsidR="00193324">
        <w:rPr>
          <w:rFonts w:cs="Times New Roman"/>
        </w:rPr>
        <w:t>)</w:t>
      </w:r>
      <w:r w:rsidRPr="00BC7CA9">
        <w:rPr>
          <w:rFonts w:cs="Times New Roman"/>
        </w:rPr>
        <w:t xml:space="preserve"> events are considered preventable (‘denominator’). </w:t>
      </w:r>
      <w:r w:rsidR="00EC7DA1" w:rsidRPr="00BC7CA9">
        <w:rPr>
          <w:rFonts w:cs="Times New Roman"/>
        </w:rPr>
        <w:t>For example, pressure ulcers are deemed not preventable in paraplegic patients by the committee. Therefore they do not constitute a patient safety incident in paraplegic patients, while they do in patients with full mobility. Hence, paraplegic patients are excluded from both the numerator and denominator</w:t>
      </w:r>
      <w:r w:rsidR="00E834A4" w:rsidRPr="00BC7CA9">
        <w:rPr>
          <w:rFonts w:cs="Times New Roman"/>
        </w:rPr>
        <w:t xml:space="preserve"> for this</w:t>
      </w:r>
      <w:r w:rsidR="00193324">
        <w:rPr>
          <w:rFonts w:cs="Times New Roman"/>
        </w:rPr>
        <w:t xml:space="preserve"> patient safety incident (</w:t>
      </w:r>
      <w:r w:rsidR="00E834A4" w:rsidRPr="00BC7CA9">
        <w:rPr>
          <w:rFonts w:cs="Times New Roman"/>
        </w:rPr>
        <w:t>PSI</w:t>
      </w:r>
      <w:r w:rsidR="00193324">
        <w:rPr>
          <w:rFonts w:cs="Times New Roman"/>
        </w:rPr>
        <w:t>)</w:t>
      </w:r>
      <w:r w:rsidR="00EC7DA1" w:rsidRPr="00BC7CA9">
        <w:rPr>
          <w:rFonts w:cs="Times New Roman"/>
        </w:rPr>
        <w:t xml:space="preserve">. </w:t>
      </w:r>
      <w:r w:rsidRPr="00BC7CA9">
        <w:rPr>
          <w:rFonts w:cs="Times New Roman"/>
        </w:rPr>
        <w:t xml:space="preserve">The AHRQ experts developed software modules that allow identifying nominator and denominator cases from recorded procedure and diagnoses codes in the International Classification of Diseases (ICD) version 9 that is used by US hospitals. For 10 PSIs, the coding algorithms could be successfully translated into the ICD-10 codes used by English hospitals </w:t>
      </w:r>
      <w:r w:rsidR="002604F0">
        <w:rPr>
          <w:rFonts w:cs="Times New Roman"/>
        </w:rPr>
        <w:fldChar w:fldCharType="begin"/>
      </w:r>
      <w:r w:rsidR="002604F0">
        <w:rPr>
          <w:rFonts w:cs="Times New Roman"/>
        </w:rPr>
        <w:instrText xml:space="preserve"> ADDIN EN.CITE &lt;EndNote&gt;&lt;Cite&gt;&lt;Author&gt;Bottle&lt;/Author&gt;&lt;Year&gt;2009&lt;/Year&gt;&lt;RecNum&gt;417&lt;/RecNum&gt;&lt;DisplayText&gt;(4)&lt;/DisplayText&gt;&lt;record&gt;&lt;rec-number&gt;417&lt;/rec-number&gt;&lt;foreign-keys&gt;&lt;key app="EN" db-id="fweew0v96zr2xze25xrvwf59dx52x9w0spr9" timestamp="1319013962"&gt;417&lt;/key&gt;&lt;/foreign-keys&gt;&lt;ref-type name="Journal Article"&gt;17&lt;/ref-type&gt;&lt;contributors&gt;&lt;authors&gt;&lt;author&gt;Bottle, A&lt;/author&gt;&lt;author&gt;Aylin, P&lt;/author&gt;&lt;/authors&gt;&lt;/contributors&gt;&lt;titles&gt;&lt;title&gt;Application of AHRQ patient safety indicators to English hospital data&lt;/title&gt;&lt;secondary-title&gt;Quality and Safety in Health Care&lt;/secondary-title&gt;&lt;/titles&gt;&lt;periodical&gt;&lt;full-title&gt;Quality and Safety in Health Care&lt;/full-title&gt;&lt;/periodical&gt;&lt;pages&gt;303-308&lt;/pages&gt;&lt;volume&gt;18&lt;/volume&gt;&lt;number&gt;4&lt;/number&gt;&lt;dates&gt;&lt;year&gt;2009&lt;/year&gt;&lt;pub-dates&gt;&lt;date&gt;August 1, 2009&lt;/date&gt;&lt;/pub-dates&gt;&lt;/dates&gt;&lt;urls&gt;&lt;related-urls&gt;&lt;url&gt;http://qualitysafety.bmj.com/content/18/4/303.abstract&lt;/url&gt;&lt;/related-urls&gt;&lt;/urls&gt;&lt;electronic-resource-num&gt;10.1136/qshc.2007.026096&lt;/electronic-resource-num&gt;&lt;/record&gt;&lt;/Cite&gt;&lt;/EndNote&gt;</w:instrText>
      </w:r>
      <w:r w:rsidR="002604F0">
        <w:rPr>
          <w:rFonts w:cs="Times New Roman"/>
        </w:rPr>
        <w:fldChar w:fldCharType="separate"/>
      </w:r>
      <w:r w:rsidR="002604F0">
        <w:rPr>
          <w:rFonts w:cs="Times New Roman"/>
          <w:noProof/>
        </w:rPr>
        <w:t>(4)</w:t>
      </w:r>
      <w:r w:rsidR="002604F0">
        <w:rPr>
          <w:rFonts w:cs="Times New Roman"/>
        </w:rPr>
        <w:fldChar w:fldCharType="end"/>
      </w:r>
      <w:r w:rsidRPr="00BC7CA9">
        <w:rPr>
          <w:rFonts w:cs="Times New Roman"/>
        </w:rPr>
        <w:t xml:space="preserve">. The number of PS cases is a subset of all cases of the clinical condition reported. For example, pressure ulcers are one of the complications of care that are considered a potential PS event. However, the AHRQ committee judged that they are not preventable in patients with severely restricted mobility, such as paraplegic patients, even under optimal care. Hence, pressure ulcers in paraplegic patients are excluded from the denominator (and automatically the numerator). Only patients with PSIs reported in the secondary and or higher diagnoses are considered cases because these are likely to be complications arising during the stay in hospitals. For all PSIs, only patients above 18 years of age are considered.  </w:t>
      </w:r>
    </w:p>
    <w:p w14:paraId="24CB22D3" w14:textId="3BE1DD4C" w:rsidR="00D76B99" w:rsidRPr="00BC7CA9" w:rsidRDefault="00D76B99" w:rsidP="00BC7CA9">
      <w:pPr>
        <w:widowControl w:val="0"/>
        <w:autoSpaceDE w:val="0"/>
        <w:autoSpaceDN w:val="0"/>
        <w:adjustRightInd w:val="0"/>
        <w:spacing w:before="100" w:beforeAutospacing="1" w:after="240" w:line="360" w:lineRule="auto"/>
        <w:ind w:firstLine="720"/>
        <w:jc w:val="both"/>
        <w:rPr>
          <w:rFonts w:cs="Times New Roman"/>
        </w:rPr>
      </w:pPr>
      <w:r w:rsidRPr="00BC7CA9">
        <w:rPr>
          <w:rFonts w:cs="Times New Roman"/>
        </w:rPr>
        <w:t xml:space="preserve">AHRQ envisaged that the PSIs provide the opportunity to assess the incidence of adverse events using patient level information found in the typical administrative hospital record, to estimate </w:t>
      </w:r>
      <w:r w:rsidRPr="00BC7CA9">
        <w:rPr>
          <w:rFonts w:cs="Times New Roman"/>
        </w:rPr>
        <w:lastRenderedPageBreak/>
        <w:t xml:space="preserve">and compare rates of patient safety incidents in hospitals, and help hospitals identify shortcomings in the quality of care that might need further study and attention </w:t>
      </w:r>
      <w:r w:rsidR="002604F0">
        <w:rPr>
          <w:rFonts w:cs="Times New Roman"/>
        </w:rPr>
        <w:fldChar w:fldCharType="begin"/>
      </w:r>
      <w:r w:rsidR="002604F0">
        <w:rPr>
          <w:rFonts w:cs="Times New Roman"/>
        </w:rPr>
        <w:instrText xml:space="preserve"> ADDIN EN.CITE &lt;EndNote&gt;&lt;Cite&gt;&lt;Author&gt;AHRQ&lt;/Author&gt;&lt;Year&gt;2002&lt;/Year&gt;&lt;RecNum&gt;696&lt;/RecNum&gt;&lt;DisplayText&gt;(1)&lt;/DisplayText&gt;&lt;record&gt;&lt;rec-number&gt;696&lt;/rec-number&gt;&lt;foreign-keys&gt;&lt;key app="EN" db-id="fweew0v96zr2xze25xrvwf59dx52x9w0spr9" timestamp="1460980283"&gt;696&lt;/key&gt;&lt;/foreign-keys&gt;&lt;ref-type name="Government Document"&gt;46&lt;/ref-type&gt;&lt;contributors&gt;&lt;authors&gt;&lt;author&gt;AHRQ&lt;/author&gt;&lt;/authors&gt;&lt;secondary-authors&gt;&lt;author&gt;Agency for Healthcare Research and Quality,&lt;/author&gt;&lt;/secondary-authors&gt;&lt;/contributors&gt;&lt;titles&gt;&lt;title&gt;Measures of Patient Safety Based on Hospital Administrative Data: The Patient Safety Indicators - Technical Review 5&lt;/title&gt;&lt;/titles&gt;&lt;dates&gt;&lt;year&gt;2002&lt;/year&gt;&lt;/dates&gt;&lt;publisher&gt;Department of Health and Human Services&lt;/publisher&gt;&lt;urls&gt;&lt;/urls&gt;&lt;/record&gt;&lt;/Cite&gt;&lt;/EndNote&gt;</w:instrText>
      </w:r>
      <w:r w:rsidR="002604F0">
        <w:rPr>
          <w:rFonts w:cs="Times New Roman"/>
        </w:rPr>
        <w:fldChar w:fldCharType="separate"/>
      </w:r>
      <w:r w:rsidR="002604F0">
        <w:rPr>
          <w:rFonts w:cs="Times New Roman"/>
          <w:noProof/>
        </w:rPr>
        <w:t>(1)</w:t>
      </w:r>
      <w:r w:rsidR="002604F0">
        <w:rPr>
          <w:rFonts w:cs="Times New Roman"/>
        </w:rPr>
        <w:fldChar w:fldCharType="end"/>
      </w:r>
      <w:r w:rsidRPr="00BC7CA9">
        <w:rPr>
          <w:rFonts w:cs="Times New Roman"/>
        </w:rPr>
        <w:t xml:space="preserve">.  Since they were first developed, there were changes in the coding and definitions of some PSIs; for the most recent information, the reader is referred to the website of AHRQ </w:t>
      </w:r>
      <w:hyperlink r:id="rId9" w:history="1">
        <w:r w:rsidRPr="00BC7CA9">
          <w:rPr>
            <w:rFonts w:cs="Times New Roman"/>
          </w:rPr>
          <w:t>www.qualityindicators.ahrq.gov</w:t>
        </w:r>
      </w:hyperlink>
      <w:r w:rsidRPr="00BC7CA9">
        <w:rPr>
          <w:rFonts w:cs="Times New Roman"/>
        </w:rPr>
        <w:t xml:space="preserve">. </w:t>
      </w:r>
    </w:p>
    <w:p w14:paraId="2003AD08" w14:textId="705E2FEF" w:rsidR="00D76B99" w:rsidRPr="00AD00FB" w:rsidRDefault="00D76B99" w:rsidP="00AD00FB">
      <w:pPr>
        <w:rPr>
          <w:b/>
        </w:rPr>
      </w:pPr>
      <w:bookmarkStart w:id="2" w:name="_Toc420865584"/>
      <w:r w:rsidRPr="00AD00FB">
        <w:rPr>
          <w:b/>
        </w:rPr>
        <w:t>Death in Low-mortality DRGs/HRGs (PSI 2)</w:t>
      </w:r>
      <w:bookmarkEnd w:id="2"/>
    </w:p>
    <w:p w14:paraId="4811BE1C" w14:textId="6FDA1B5D" w:rsidR="00D76B99" w:rsidRPr="00BC7CA9" w:rsidRDefault="00D76B99" w:rsidP="00BC7CA9">
      <w:pPr>
        <w:shd w:val="clear" w:color="auto" w:fill="FFFFFF"/>
        <w:spacing w:line="360" w:lineRule="auto"/>
        <w:ind w:firstLine="720"/>
        <w:jc w:val="both"/>
        <w:rPr>
          <w:rFonts w:cs="Times New Roman"/>
        </w:rPr>
      </w:pPr>
      <w:r w:rsidRPr="00BC7CA9">
        <w:rPr>
          <w:rFonts w:cs="Times New Roman"/>
        </w:rPr>
        <w:t xml:space="preserve">This group identifies patients who died with a diagnosis in one of the disease resource groups (DRG) </w:t>
      </w:r>
      <w:r w:rsidR="00EC5F49">
        <w:rPr>
          <w:rFonts w:cs="Times New Roman"/>
        </w:rPr>
        <w:t>-</w:t>
      </w:r>
      <w:r w:rsidRPr="00BC7CA9">
        <w:rPr>
          <w:rFonts w:cs="Times New Roman"/>
        </w:rPr>
        <w:t xml:space="preserve">or </w:t>
      </w:r>
      <w:r w:rsidR="00EC5F49">
        <w:rPr>
          <w:rFonts w:cs="Times New Roman"/>
        </w:rPr>
        <w:t xml:space="preserve">the UK equivalent </w:t>
      </w:r>
      <w:r w:rsidRPr="00BC7CA9">
        <w:rPr>
          <w:rFonts w:cs="Times New Roman"/>
        </w:rPr>
        <w:t>health resource groups (HRG) classifications</w:t>
      </w:r>
      <w:r w:rsidR="00EC5F49">
        <w:rPr>
          <w:rFonts w:cs="Times New Roman"/>
        </w:rPr>
        <w:t>-</w:t>
      </w:r>
      <w:r w:rsidRPr="00BC7CA9">
        <w:rPr>
          <w:rFonts w:cs="Times New Roman"/>
        </w:rPr>
        <w:t xml:space="preserve"> with a typically low mortality rate, where low is defined as (&lt; 0.5%). Such a patient may have experienced an unusual complication.  The rationale for inclusion of this indicator is that patients who die in a low-mortality diagnosis-related group (DRG) are more likely to have a patient safety or quality issues associated with their care than those who die in high-mortality DRGs. In-hospital deaths for low mortality Diagnosis Related Groups (DRGs) considers, for example, patients admitted for vaginal deliveries, orthopaedic procedures, mental disorders and substance abuse. It excludes from the denominator cases with trauma, cancer, and an </w:t>
      </w:r>
      <w:r w:rsidR="00EC5F49">
        <w:rPr>
          <w:rFonts w:cs="Times New Roman"/>
        </w:rPr>
        <w:t>immune-c</w:t>
      </w:r>
      <w:r w:rsidRPr="00BC7CA9">
        <w:rPr>
          <w:rFonts w:cs="Times New Roman"/>
        </w:rPr>
        <w:t xml:space="preserve">ompromised state, and others </w:t>
      </w:r>
      <w:r w:rsidR="002604F0">
        <w:rPr>
          <w:rFonts w:cs="Times New Roman"/>
        </w:rPr>
        <w:fldChar w:fldCharType="begin"/>
      </w:r>
      <w:r w:rsidR="002604F0">
        <w:rPr>
          <w:rFonts w:cs="Times New Roman"/>
        </w:rPr>
        <w:instrText xml:space="preserve"> ADDIN EN.CITE &lt;EndNote&gt;&lt;Cite&gt;&lt;Author&gt;AHRQ&lt;/Author&gt;&lt;Year&gt;2014&lt;/Year&gt;&lt;RecNum&gt;678&lt;/RecNum&gt;&lt;DisplayText&gt;(5)&lt;/DisplayText&gt;&lt;record&gt;&lt;rec-number&gt;678&lt;/rec-number&gt;&lt;foreign-keys&gt;&lt;key app="EN" db-id="fweew0v96zr2xze25xrvwf59dx52x9w0spr9" timestamp="1460980283"&gt;678&lt;/key&gt;&lt;/foreign-keys&gt;&lt;ref-type name="Government Document"&gt;46&lt;/ref-type&gt;&lt;contributors&gt;&lt;authors&gt;&lt;author&gt;AHRQ&lt;/author&gt;&lt;/authors&gt;&lt;secondary-authors&gt;&lt;author&gt;Agency for Healthcare Research and Quality,&lt;/author&gt;&lt;/secondary-authors&gt;&lt;/contributors&gt;&lt;titles&gt;&lt;title&gt;Death Rate in Low-Mortality Diagnosis Related Groups (DRGs) Technical Specifications&lt;/title&gt;&lt;/titles&gt;&lt;dates&gt;&lt;year&gt;2014&lt;/year&gt;&lt;/dates&gt;&lt;publisher&gt;U.S. Department of Health and Human Services&lt;/publisher&gt;&lt;urls&gt;&lt;/urls&gt;&lt;/record&gt;&lt;/Cite&gt;&lt;/EndNote&gt;</w:instrText>
      </w:r>
      <w:r w:rsidR="002604F0">
        <w:rPr>
          <w:rFonts w:cs="Times New Roman"/>
        </w:rPr>
        <w:fldChar w:fldCharType="separate"/>
      </w:r>
      <w:r w:rsidR="002604F0">
        <w:rPr>
          <w:rFonts w:cs="Times New Roman"/>
          <w:noProof/>
        </w:rPr>
        <w:t>(5)</w:t>
      </w:r>
      <w:r w:rsidR="002604F0">
        <w:rPr>
          <w:rFonts w:cs="Times New Roman"/>
        </w:rPr>
        <w:fldChar w:fldCharType="end"/>
      </w:r>
      <w:r w:rsidRPr="00BC7CA9">
        <w:rPr>
          <w:rFonts w:cs="Times New Roman"/>
        </w:rPr>
        <w:t>. The incidence rate is below 1 patients in 1000</w:t>
      </w:r>
      <w:r w:rsidR="00BC3CD1" w:rsidRPr="00BC7CA9">
        <w:rPr>
          <w:rFonts w:cs="Times New Roman"/>
        </w:rPr>
        <w:t xml:space="preserve"> (see table S1)</w:t>
      </w:r>
      <w:r w:rsidRPr="00BC7CA9">
        <w:rPr>
          <w:rFonts w:cs="Times New Roman"/>
        </w:rPr>
        <w:t xml:space="preserve">. </w:t>
      </w:r>
    </w:p>
    <w:p w14:paraId="6BB70678" w14:textId="6E6402B0" w:rsidR="00D76B99" w:rsidRPr="00AD00FB" w:rsidRDefault="00D76B99" w:rsidP="00AD00FB">
      <w:pPr>
        <w:rPr>
          <w:b/>
        </w:rPr>
      </w:pPr>
      <w:bookmarkStart w:id="3" w:name="_Toc420865585"/>
      <w:r w:rsidRPr="00AD00FB">
        <w:rPr>
          <w:b/>
        </w:rPr>
        <w:t>Decubitus Ulcer (PSI 3)</w:t>
      </w:r>
      <w:bookmarkEnd w:id="3"/>
    </w:p>
    <w:p w14:paraId="678022AD" w14:textId="65974A9E" w:rsidR="00D76B99" w:rsidRPr="00BC7CA9" w:rsidRDefault="00D76B99" w:rsidP="00BC7CA9">
      <w:pPr>
        <w:autoSpaceDE w:val="0"/>
        <w:autoSpaceDN w:val="0"/>
        <w:adjustRightInd w:val="0"/>
        <w:spacing w:line="360" w:lineRule="auto"/>
        <w:ind w:firstLine="720"/>
        <w:jc w:val="both"/>
        <w:rPr>
          <w:rFonts w:cs="Times New Roman"/>
        </w:rPr>
      </w:pPr>
      <w:r w:rsidRPr="00BC7CA9">
        <w:rPr>
          <w:rFonts w:cs="Times New Roman"/>
        </w:rPr>
        <w:t xml:space="preserve">Pressure ulcers are caused when an area of skin and the tissues below are damaged as a result of being placed under pressure sufficient to impair its blood supply. Typically they occur in a person confined to bed or a chair by an illness. All patients are potentially at risk of developing a pressure ulcer. However, they are more likely to occur in people who are seriously ill, have a neurological condition, impaired mobility, impaired nutrition, or poor posture or a deformity. The use of equipment such as seating or beds which are not specifically designed to provide pressure relief, and substandard nursing care can cause pressure ulcers. Pressure ulcers cause extreme discomfort to the patient and often lead to life threatening infections. The AHRQ PSI considers pressure ulcers of stage III or IV among medical and surgical discharges. The denominator excludes stays less than 5 days, cases with severe mobility restrictions, and with diseases of the skin or skin grafts </w:t>
      </w:r>
      <w:r w:rsidR="002604F0">
        <w:rPr>
          <w:rFonts w:cs="Times New Roman"/>
        </w:rPr>
        <w:fldChar w:fldCharType="begin"/>
      </w:r>
      <w:r w:rsidR="002604F0">
        <w:rPr>
          <w:rFonts w:cs="Times New Roman"/>
        </w:rPr>
        <w:instrText xml:space="preserve"> ADDIN EN.CITE &lt;EndNote&gt;&lt;Cite&gt;&lt;Author&gt;AHRQ&lt;/Author&gt;&lt;Year&gt;2014&lt;/Year&gt;&lt;RecNum&gt;679&lt;/RecNum&gt;&lt;DisplayText&gt;(6)&lt;/DisplayText&gt;&lt;record&gt;&lt;rec-number&gt;679&lt;/rec-number&gt;&lt;foreign-keys&gt;&lt;key app="EN" db-id="fweew0v96zr2xze25xrvwf59dx52x9w0spr9" timestamp="1460980283"&gt;679&lt;/key&gt;&lt;/foreign-keys&gt;&lt;ref-type name="Government Document"&gt;46&lt;/ref-type&gt;&lt;contributors&gt;&lt;authors&gt;&lt;author&gt;AHRQ&lt;/author&gt;&lt;/authors&gt;&lt;secondary-authors&gt;&lt;author&gt;Agency for Healthcare Research and Quality,&lt;/author&gt;&lt;/secondary-authors&gt;&lt;/contributors&gt;&lt;titles&gt;&lt;title&gt;Pressure Ulcer Rate Technical Specification,&lt;/title&gt;&lt;/titles&gt;&lt;dates&gt;&lt;year&gt;2014&lt;/year&gt;&lt;/dates&gt;&lt;publisher&gt;U.S. Department of Health and Human Services&lt;/publisher&gt;&lt;urls&gt;&lt;/urls&gt;&lt;/record&gt;&lt;/Cite&gt;&lt;/EndNote&gt;</w:instrText>
      </w:r>
      <w:r w:rsidR="002604F0">
        <w:rPr>
          <w:rFonts w:cs="Times New Roman"/>
        </w:rPr>
        <w:fldChar w:fldCharType="separate"/>
      </w:r>
      <w:r w:rsidR="002604F0">
        <w:rPr>
          <w:rFonts w:cs="Times New Roman"/>
          <w:noProof/>
        </w:rPr>
        <w:t>(6)</w:t>
      </w:r>
      <w:r w:rsidR="002604F0">
        <w:rPr>
          <w:rFonts w:cs="Times New Roman"/>
        </w:rPr>
        <w:fldChar w:fldCharType="end"/>
      </w:r>
      <w:r w:rsidRPr="00BC7CA9">
        <w:rPr>
          <w:rFonts w:cs="Times New Roman"/>
        </w:rPr>
        <w:t xml:space="preserve">. The incidence rate increased from above 8 patients per 1000 to close to 20.  It is possible that this does not reflect a true increase in cases, but rather changes in reporting of ulcers </w:t>
      </w:r>
      <w:r w:rsidR="002604F0">
        <w:rPr>
          <w:rFonts w:cs="Times New Roman"/>
        </w:rPr>
        <w:fldChar w:fldCharType="begin"/>
      </w:r>
      <w:r w:rsidR="002604F0">
        <w:rPr>
          <w:rFonts w:cs="Times New Roman"/>
        </w:rPr>
        <w:instrText xml:space="preserve"> ADDIN EN.CITE &lt;EndNote&gt;&lt;Cite&gt;&lt;Author&gt;Tissue Viability Society&lt;/Author&gt;&lt;Year&gt;2012&lt;/Year&gt;&lt;RecNum&gt;711&lt;/RecNum&gt;&lt;DisplayText&gt;(7)&lt;/DisplayText&gt;&lt;record&gt;&lt;rec-number&gt;711&lt;/rec-number&gt;&lt;foreign-keys&gt;&lt;key app="EN" db-id="fweew0v96zr2xze25xrvwf59dx52x9w0spr9" timestamp="1460980283"&gt;711&lt;/key&gt;&lt;/foreign-keys&gt;&lt;ref-type name="Book"&gt;6&lt;/ref-type&gt;&lt;contributors&gt;&lt;authors&gt;&lt;author&gt;Tissue Viability Society,&lt;/author&gt;&lt;/authors&gt;&lt;secondary-authors&gt;&lt;author&gt;Tissue Viability Society,&lt;/author&gt;&lt;/secondary-authors&gt;&lt;/contributors&gt;&lt;titles&gt;&lt;title&gt;Achieving Consensus in Pressure Ulcer Reporting&lt;/title&gt;&lt;/titles&gt;&lt;dates&gt;&lt;year&gt;2012&lt;/year&gt;&lt;/dates&gt;&lt;urls&gt;&lt;/urls&gt;&lt;/record&gt;&lt;/Cite&gt;&lt;/EndNote&gt;</w:instrText>
      </w:r>
      <w:r w:rsidR="002604F0">
        <w:rPr>
          <w:rFonts w:cs="Times New Roman"/>
        </w:rPr>
        <w:fldChar w:fldCharType="separate"/>
      </w:r>
      <w:r w:rsidR="002604F0">
        <w:rPr>
          <w:rFonts w:cs="Times New Roman"/>
          <w:noProof/>
        </w:rPr>
        <w:t>(7)</w:t>
      </w:r>
      <w:r w:rsidR="002604F0">
        <w:rPr>
          <w:rFonts w:cs="Times New Roman"/>
        </w:rPr>
        <w:fldChar w:fldCharType="end"/>
      </w:r>
      <w:r w:rsidRPr="00BC7CA9">
        <w:rPr>
          <w:rFonts w:cs="Times New Roman"/>
        </w:rPr>
        <w:t xml:space="preserve">.  </w:t>
      </w:r>
    </w:p>
    <w:p w14:paraId="39BF3511" w14:textId="77777777" w:rsidR="00D76B99" w:rsidRPr="00AD00FB" w:rsidRDefault="00D76B99" w:rsidP="00AD00FB">
      <w:pPr>
        <w:rPr>
          <w:b/>
        </w:rPr>
      </w:pPr>
      <w:bookmarkStart w:id="4" w:name="_Toc420865586"/>
      <w:r w:rsidRPr="00AD00FB">
        <w:rPr>
          <w:b/>
        </w:rPr>
        <w:t>Central Venous Catheter-Related Blood Stream Infection (PSI 7)</w:t>
      </w:r>
      <w:bookmarkEnd w:id="4"/>
    </w:p>
    <w:p w14:paraId="7763AE6E" w14:textId="57D8CB9E" w:rsidR="00D76B99" w:rsidRPr="00BC7CA9" w:rsidRDefault="00D76B99" w:rsidP="00BC7CA9">
      <w:pPr>
        <w:spacing w:line="360" w:lineRule="auto"/>
        <w:ind w:firstLine="720"/>
        <w:jc w:val="both"/>
        <w:rPr>
          <w:rFonts w:cs="Times New Roman"/>
        </w:rPr>
      </w:pPr>
      <w:r w:rsidRPr="00BC7CA9">
        <w:rPr>
          <w:rFonts w:cs="Times New Roman"/>
        </w:rPr>
        <w:t xml:space="preserve">Vascular catheters (also called central lines) are thin, flexible plastic tubes that are inserted into patients’ veins for the purpose of taking blood or giving IV fluids and medications. Infections from vascular catheters can occur in the skin (at the site where the catheter was inserted) or in the </w:t>
      </w:r>
      <w:r w:rsidRPr="00BC7CA9">
        <w:rPr>
          <w:rFonts w:cs="Times New Roman"/>
        </w:rPr>
        <w:lastRenderedPageBreak/>
        <w:t xml:space="preserve">bloodstream. If central lines are not correctly inserted or kept clean, they can allow germs to enter the body and cause serious blood infections that may in turn lead serious problems and even death. There is a concern that more cases actually occur outside the ICU and in patients receiving </w:t>
      </w:r>
      <w:r w:rsidR="00532669" w:rsidRPr="00BC7CA9">
        <w:rPr>
          <w:rFonts w:cs="Times New Roman"/>
        </w:rPr>
        <w:t>haemodialysis</w:t>
      </w:r>
      <w:r w:rsidRPr="00BC7CA9">
        <w:rPr>
          <w:rFonts w:cs="Times New Roman"/>
        </w:rPr>
        <w:t>. Efforts to track, report, and prevent bloodstream infections in the United States have improved in recent years. Hospital staff members can prevent most by following infection control guidelines. These include guidelines for inserting the central line, for keeping the insertion site clean, and for removing the central line as soon as it is not needed. AHRQ’s PSI 7 indictor considers all medical and surgical discharges, and obstetric cases. It excludes</w:t>
      </w:r>
      <w:r w:rsidR="004C1C5F">
        <w:rPr>
          <w:rFonts w:cs="Times New Roman"/>
        </w:rPr>
        <w:t xml:space="preserve"> cases with cancer and an immuno-</w:t>
      </w:r>
      <w:r w:rsidRPr="00BC7CA9">
        <w:rPr>
          <w:rFonts w:cs="Times New Roman"/>
        </w:rPr>
        <w:t xml:space="preserve">compromised state, among others </w:t>
      </w:r>
      <w:r w:rsidR="002604F0">
        <w:rPr>
          <w:rFonts w:cs="Times New Roman"/>
        </w:rPr>
        <w:fldChar w:fldCharType="begin"/>
      </w:r>
      <w:r w:rsidR="002604F0">
        <w:rPr>
          <w:rFonts w:cs="Times New Roman"/>
        </w:rPr>
        <w:instrText xml:space="preserve"> ADDIN EN.CITE &lt;EndNote&gt;&lt;Cite&gt;&lt;Author&gt;AHRQ&lt;/Author&gt;&lt;Year&gt;2014&lt;/Year&gt;&lt;RecNum&gt;680&lt;/RecNum&gt;&lt;DisplayText&gt;(8)&lt;/DisplayText&gt;&lt;record&gt;&lt;rec-number&gt;680&lt;/rec-number&gt;&lt;foreign-keys&gt;&lt;key app="EN" db-id="fweew0v96zr2xze25xrvwf59dx52x9w0spr9" timestamp="1460980283"&gt;680&lt;/key&gt;&lt;/foreign-keys&gt;&lt;ref-type name="Government Document"&gt;46&lt;/ref-type&gt;&lt;contributors&gt;&lt;authors&gt;&lt;author&gt;AHRQ&lt;/author&gt;&lt;/authors&gt;&lt;secondary-authors&gt;&lt;author&gt;Agency for Healthcare Research and Quality,&lt;/author&gt;&lt;/secondary-authors&gt;&lt;/contributors&gt;&lt;titles&gt;&lt;title&gt;Central Venous Catheter-Related Blood Stream Infection Rate Technical Specifications&lt;/title&gt;&lt;/titles&gt;&lt;dates&gt;&lt;year&gt;2014&lt;/year&gt;&lt;/dates&gt;&lt;publisher&gt;U.S. Department of Health and Human Services&lt;/publisher&gt;&lt;urls&gt;&lt;/urls&gt;&lt;/record&gt;&lt;/Cite&gt;&lt;/EndNote&gt;</w:instrText>
      </w:r>
      <w:r w:rsidR="002604F0">
        <w:rPr>
          <w:rFonts w:cs="Times New Roman"/>
        </w:rPr>
        <w:fldChar w:fldCharType="separate"/>
      </w:r>
      <w:r w:rsidR="002604F0">
        <w:rPr>
          <w:rFonts w:cs="Times New Roman"/>
          <w:noProof/>
        </w:rPr>
        <w:t>(8)</w:t>
      </w:r>
      <w:r w:rsidR="002604F0">
        <w:rPr>
          <w:rFonts w:cs="Times New Roman"/>
        </w:rPr>
        <w:fldChar w:fldCharType="end"/>
      </w:r>
      <w:r w:rsidRPr="00BC7CA9">
        <w:rPr>
          <w:rFonts w:cs="Times New Roman"/>
        </w:rPr>
        <w:t xml:space="preserve">. Central-line infections are relatively rare in comparison to the five other PSIs we investigate. Less than 1 patient per 1000 is affected.  </w:t>
      </w:r>
    </w:p>
    <w:p w14:paraId="4627A952" w14:textId="77777777" w:rsidR="00D76B99" w:rsidRPr="00AD00FB" w:rsidRDefault="00D76B99" w:rsidP="00AD00FB">
      <w:pPr>
        <w:rPr>
          <w:b/>
        </w:rPr>
      </w:pPr>
      <w:bookmarkStart w:id="5" w:name="_Toc420865587"/>
      <w:r w:rsidRPr="00AD00FB">
        <w:rPr>
          <w:b/>
        </w:rPr>
        <w:t>Postoperative Hip Fracture (PSI 8)</w:t>
      </w:r>
      <w:bookmarkEnd w:id="5"/>
    </w:p>
    <w:p w14:paraId="7A979643" w14:textId="7C807066" w:rsidR="00D76B99" w:rsidRPr="00BC7CA9" w:rsidRDefault="00D76B99" w:rsidP="00BC7CA9">
      <w:pPr>
        <w:autoSpaceDE w:val="0"/>
        <w:autoSpaceDN w:val="0"/>
        <w:adjustRightInd w:val="0"/>
        <w:spacing w:line="360" w:lineRule="auto"/>
        <w:ind w:firstLine="720"/>
        <w:jc w:val="both"/>
        <w:rPr>
          <w:rFonts w:cs="Times New Roman"/>
        </w:rPr>
      </w:pPr>
      <w:r w:rsidRPr="00BC7CA9">
        <w:rPr>
          <w:rFonts w:cs="Times New Roman"/>
        </w:rPr>
        <w:t xml:space="preserve">Hip fracture is a common serious injury that occurs mainly in older people. For many previously fit patients it means loss of prior full mobility, and for some frailer patients the permanent loss of the ability to live at home. Hip fracture is one of the most serious consequences of elderly falls, and therefore preventing falls is key to preventing hip fractures. Hip fractures are associated with higher anxiety and depression scores, loss of confidence and are associated with increased </w:t>
      </w:r>
      <w:r w:rsidR="009A66CD" w:rsidRPr="00BC7CA9">
        <w:rPr>
          <w:rFonts w:cs="Times New Roman"/>
        </w:rPr>
        <w:t>length of stay</w:t>
      </w:r>
      <w:r w:rsidRPr="00BC7CA9">
        <w:rPr>
          <w:rFonts w:cs="Times New Roman"/>
        </w:rPr>
        <w:t xml:space="preserve"> and higher rates of discharge to long-term institutional care. AHRQ’s PSI 8 considers postoperative hip fracture for surgical patients. It excludes from the denominator cases that are susceptible to falling (e.g. stroke cases), cases with self-inflicted injury, and obstetric cases </w:t>
      </w:r>
      <w:r w:rsidR="002604F0">
        <w:rPr>
          <w:rFonts w:cs="Times New Roman"/>
        </w:rPr>
        <w:fldChar w:fldCharType="begin"/>
      </w:r>
      <w:r w:rsidR="002604F0">
        <w:rPr>
          <w:rFonts w:cs="Times New Roman"/>
        </w:rPr>
        <w:instrText xml:space="preserve"> ADDIN EN.CITE &lt;EndNote&gt;&lt;Cite&gt;&lt;Author&gt;AHRQ&lt;/Author&gt;&lt;Year&gt;2014&lt;/Year&gt;&lt;RecNum&gt;681&lt;/RecNum&gt;&lt;DisplayText&gt;(9)&lt;/DisplayText&gt;&lt;record&gt;&lt;rec-number&gt;681&lt;/rec-number&gt;&lt;foreign-keys&gt;&lt;key app="EN" db-id="fweew0v96zr2xze25xrvwf59dx52x9w0spr9" timestamp="1460980283"&gt;681&lt;/key&gt;&lt;/foreign-keys&gt;&lt;ref-type name="Government Document"&gt;46&lt;/ref-type&gt;&lt;contributors&gt;&lt;authors&gt;&lt;author&gt;AHRQ&lt;/author&gt;&lt;/authors&gt;&lt;secondary-authors&gt;&lt;author&gt;Agency for Healthcare Research and Quality,&lt;/author&gt;&lt;/secondary-authors&gt;&lt;/contributors&gt;&lt;titles&gt;&lt;title&gt;Postoperative Hip Fracture Rate Technical Specifications,&lt;/title&gt;&lt;/titles&gt;&lt;dates&gt;&lt;year&gt;2014&lt;/year&gt;&lt;/dates&gt;&lt;publisher&gt;U.S. Department of Health and Human Services&lt;/publisher&gt;&lt;urls&gt;&lt;/urls&gt;&lt;/record&gt;&lt;/Cite&gt;&lt;/EndNote&gt;</w:instrText>
      </w:r>
      <w:r w:rsidR="002604F0">
        <w:rPr>
          <w:rFonts w:cs="Times New Roman"/>
        </w:rPr>
        <w:fldChar w:fldCharType="separate"/>
      </w:r>
      <w:r w:rsidR="002604F0">
        <w:rPr>
          <w:rFonts w:cs="Times New Roman"/>
          <w:noProof/>
        </w:rPr>
        <w:t>(9)</w:t>
      </w:r>
      <w:r w:rsidR="002604F0">
        <w:rPr>
          <w:rFonts w:cs="Times New Roman"/>
        </w:rPr>
        <w:fldChar w:fldCharType="end"/>
      </w:r>
      <w:r w:rsidRPr="00BC7CA9">
        <w:rPr>
          <w:rFonts w:cs="Times New Roman"/>
        </w:rPr>
        <w:t xml:space="preserve">. Of the six PSIs, postoperative hip fractures are least common. There are less than 300 cases reported each year, although there seems to be slight upward trend.  </w:t>
      </w:r>
    </w:p>
    <w:p w14:paraId="246C82A0" w14:textId="77777777" w:rsidR="00D76B99" w:rsidRPr="00AD00FB" w:rsidRDefault="00D76B99" w:rsidP="00AD00FB">
      <w:pPr>
        <w:rPr>
          <w:b/>
        </w:rPr>
      </w:pPr>
      <w:bookmarkStart w:id="6" w:name="_Toc420865588"/>
      <w:r w:rsidRPr="00AD00FB">
        <w:rPr>
          <w:b/>
        </w:rPr>
        <w:t>Deep Vein Thrombosis or Pulmonary Embolism (PSI 12)</w:t>
      </w:r>
      <w:bookmarkEnd w:id="6"/>
    </w:p>
    <w:p w14:paraId="71DBF862" w14:textId="5E5BEBE7" w:rsidR="00D76B99" w:rsidRPr="00BC7CA9" w:rsidRDefault="00D76B99" w:rsidP="00BC7CA9">
      <w:pPr>
        <w:autoSpaceDE w:val="0"/>
        <w:autoSpaceDN w:val="0"/>
        <w:adjustRightInd w:val="0"/>
        <w:spacing w:line="360" w:lineRule="auto"/>
        <w:ind w:firstLine="720"/>
        <w:jc w:val="both"/>
        <w:rPr>
          <w:rFonts w:cs="Times New Roman"/>
        </w:rPr>
      </w:pPr>
      <w:r w:rsidRPr="00BC7CA9">
        <w:rPr>
          <w:rFonts w:cs="Times New Roman"/>
        </w:rPr>
        <w:t xml:space="preserve">Venous thromboembolic (VTE) diseases cover a spectrum ranging from asymptomatic deep vein thrombosis (DVT) to fatal pulmonary embolism (PE). They are the result of a blood clot (a thrombus) forming in a vein and then dislodging to travel in the blood (an embolus). If the blood clot dislodges and travels to the lungs, this can lead to a potentially fatal PE. However, diagnosis is often far from straightforward and many cases are only diagnosed post-mortem. In addition, although treatments for blood clots are well established once a diagnosis is suspected or has been made, there is currently a wide variation in how such treatments are provided. The majority of deaths are as the result of preventable hospital-acquired blood clots but some are the result of a blood clot acquired in the community. Early diagnosis and appropriate management improves outcomes but is sometimes more difficult to achieve than might be imagined. The treatment for a blood clot in the leg or the lung, once a diagnosis has been confirmed, is itself not without risk since anticoagulants and thrombolytic </w:t>
      </w:r>
      <w:r w:rsidRPr="00BC7CA9">
        <w:rPr>
          <w:rFonts w:cs="Times New Roman"/>
        </w:rPr>
        <w:lastRenderedPageBreak/>
        <w:t xml:space="preserve">drugs can cause serious bleeding in some patients </w:t>
      </w:r>
      <w:r w:rsidR="002604F0">
        <w:rPr>
          <w:rFonts w:cs="Times New Roman"/>
        </w:rPr>
        <w:fldChar w:fldCharType="begin"/>
      </w:r>
      <w:r w:rsidR="002604F0">
        <w:rPr>
          <w:rFonts w:cs="Times New Roman"/>
        </w:rPr>
        <w:instrText xml:space="preserve"> ADDIN EN.CITE &lt;EndNote&gt;&lt;Cite&gt;&lt;Author&gt;AHRQ&lt;/Author&gt;&lt;Year&gt;2014&lt;/Year&gt;&lt;RecNum&gt;688&lt;/RecNum&gt;&lt;DisplayText&gt;(10)&lt;/DisplayText&gt;&lt;record&gt;&lt;rec-number&gt;688&lt;/rec-number&gt;&lt;foreign-keys&gt;&lt;key app="EN" db-id="fweew0v96zr2xze25xrvwf59dx52x9w0spr9" timestamp="1460980283"&gt;688&lt;/key&gt;&lt;/foreign-keys&gt;&lt;ref-type name="Government Document"&gt;46&lt;/ref-type&gt;&lt;contributors&gt;&lt;authors&gt;&lt;author&gt;AHRQ&lt;/author&gt;&lt;/authors&gt;&lt;secondary-authors&gt;&lt;author&gt;Agency for Healtcare Research and Quality,&lt;/author&gt;&lt;/secondary-authors&gt;&lt;/contributors&gt;&lt;titles&gt;&lt;title&gt;PSI 12: Perioperative Pulmonary Embolism (PE) or Deep Vein Thrombosis (DVT) - Selected Best Practices and Suggestions for Improvement&lt;/title&gt;&lt;/titles&gt;&lt;dates&gt;&lt;year&gt;2014&lt;/year&gt;&lt;/dates&gt;&lt;publisher&gt;U.S. Department of Health and Social Services&lt;/publisher&gt;&lt;urls&gt;&lt;/urls&gt;&lt;/record&gt;&lt;/Cite&gt;&lt;/EndNote&gt;</w:instrText>
      </w:r>
      <w:r w:rsidR="002604F0">
        <w:rPr>
          <w:rFonts w:cs="Times New Roman"/>
        </w:rPr>
        <w:fldChar w:fldCharType="separate"/>
      </w:r>
      <w:r w:rsidR="002604F0">
        <w:rPr>
          <w:rFonts w:cs="Times New Roman"/>
          <w:noProof/>
        </w:rPr>
        <w:t>(10)</w:t>
      </w:r>
      <w:r w:rsidR="002604F0">
        <w:rPr>
          <w:rFonts w:cs="Times New Roman"/>
        </w:rPr>
        <w:fldChar w:fldCharType="end"/>
      </w:r>
      <w:r w:rsidRPr="00BC7CA9">
        <w:rPr>
          <w:rFonts w:cs="Times New Roman"/>
        </w:rPr>
        <w:t>. AHRQ’s PSI 12 indicator considers secondary diagnoses of PE and DVT in surgical discharges for patients ages 18 years and older</w:t>
      </w:r>
      <w:r w:rsidR="00C73DE3">
        <w:rPr>
          <w:rFonts w:cs="Times New Roman"/>
        </w:rPr>
        <w:t xml:space="preserve"> </w:t>
      </w:r>
      <w:r w:rsidR="002604F0">
        <w:rPr>
          <w:rFonts w:cs="Times New Roman"/>
        </w:rPr>
        <w:fldChar w:fldCharType="begin"/>
      </w:r>
      <w:r w:rsidR="002604F0">
        <w:rPr>
          <w:rFonts w:cs="Times New Roman"/>
        </w:rPr>
        <w:instrText xml:space="preserve"> ADDIN EN.CITE &lt;EndNote&gt;&lt;Cite&gt;&lt;Author&gt;AHRQ&lt;/Author&gt;&lt;Year&gt;2014&lt;/Year&gt;&lt;RecNum&gt;682&lt;/RecNum&gt;&lt;DisplayText&gt;(11)&lt;/DisplayText&gt;&lt;record&gt;&lt;rec-number&gt;682&lt;/rec-number&gt;&lt;foreign-keys&gt;&lt;key app="EN" db-id="fweew0v96zr2xze25xrvwf59dx52x9w0spr9" timestamp="1460980283"&gt;682&lt;/key&gt;&lt;/foreign-keys&gt;&lt;ref-type name="Government Document"&gt;46&lt;/ref-type&gt;&lt;contributors&gt;&lt;authors&gt;&lt;author&gt;AHRQ&lt;/author&gt;&lt;/authors&gt;&lt;secondary-authors&gt;&lt;author&gt;Agency for Healthcare Research and Quality,&lt;/author&gt;&lt;/secondary-authors&gt;&lt;/contributors&gt;&lt;titles&gt;&lt;title&gt;Perioperative Pulmonary Embolism or Deep Vein Thrombosis Rate Technical Specifications&lt;/title&gt;&lt;/titles&gt;&lt;dates&gt;&lt;year&gt;2014&lt;/year&gt;&lt;/dates&gt;&lt;publisher&gt;U.S. Department of Health and Human Services&lt;/publisher&gt;&lt;urls&gt;&lt;/urls&gt;&lt;/record&gt;&lt;/Cite&gt;&lt;/EndNote&gt;</w:instrText>
      </w:r>
      <w:r w:rsidR="002604F0">
        <w:rPr>
          <w:rFonts w:cs="Times New Roman"/>
        </w:rPr>
        <w:fldChar w:fldCharType="separate"/>
      </w:r>
      <w:r w:rsidR="002604F0">
        <w:rPr>
          <w:rFonts w:cs="Times New Roman"/>
          <w:noProof/>
        </w:rPr>
        <w:t>(11)</w:t>
      </w:r>
      <w:r w:rsidR="002604F0">
        <w:rPr>
          <w:rFonts w:cs="Times New Roman"/>
        </w:rPr>
        <w:fldChar w:fldCharType="end"/>
      </w:r>
      <w:r w:rsidRPr="00BC7CA9">
        <w:rPr>
          <w:rFonts w:cs="Times New Roman"/>
        </w:rPr>
        <w:t xml:space="preserve">. The denominator excludes cases in which interruption of vena cava occurs before or on the same day as the first operating room procedure; and obstetric discharges. Incidence is between 1 and 2 per 1000 patients. </w:t>
      </w:r>
    </w:p>
    <w:p w14:paraId="1ED4B3A7" w14:textId="77777777" w:rsidR="00D76B99" w:rsidRPr="00AD00FB" w:rsidRDefault="00D76B99" w:rsidP="00AD00FB">
      <w:pPr>
        <w:rPr>
          <w:b/>
        </w:rPr>
      </w:pPr>
      <w:bookmarkStart w:id="7" w:name="_Toc420865589"/>
      <w:r w:rsidRPr="00AD00FB">
        <w:rPr>
          <w:b/>
        </w:rPr>
        <w:t>Postoperative Sepsis (PSI 13)</w:t>
      </w:r>
      <w:bookmarkEnd w:id="7"/>
    </w:p>
    <w:p w14:paraId="68949FDC" w14:textId="5B5D51EC" w:rsidR="00D76B99" w:rsidRPr="00BC7CA9" w:rsidRDefault="00D76B99" w:rsidP="00BC7CA9">
      <w:pPr>
        <w:spacing w:line="360" w:lineRule="auto"/>
        <w:ind w:firstLine="720"/>
        <w:jc w:val="both"/>
        <w:rPr>
          <w:rFonts w:eastAsiaTheme="majorEastAsia" w:cs="Times New Roman"/>
          <w:color w:val="2E74B5" w:themeColor="accent1" w:themeShade="BF"/>
        </w:rPr>
      </w:pPr>
      <w:r w:rsidRPr="00BC7CA9">
        <w:rPr>
          <w:rFonts w:cs="Times New Roman"/>
        </w:rPr>
        <w:t xml:space="preserve">Sepsis can develop as a result of bacterial, viral, or fungal infection and can arise from infections as common as urinary tract infection and skin infection. Severe sepsis, which occurs when sepsis is accompanied by organ failure, is a serious infection with extremely high rates of death; roughly 30% of patients die within 1 month of diagnosis and 50% die within 6 months </w:t>
      </w:r>
      <w:r w:rsidR="002604F0">
        <w:rPr>
          <w:rFonts w:cs="Times New Roman"/>
        </w:rPr>
        <w:fldChar w:fldCharType="begin"/>
      </w:r>
      <w:r w:rsidR="002604F0">
        <w:rPr>
          <w:rFonts w:cs="Times New Roman"/>
        </w:rPr>
        <w:instrText xml:space="preserve"> ADDIN EN.CITE &lt;EndNote&gt;&lt;Cite&gt;&lt;Author&gt;AHRQ&lt;/Author&gt;&lt;Year&gt;2014&lt;/Year&gt;&lt;RecNum&gt;683&lt;/RecNum&gt;&lt;DisplayText&gt;(12)&lt;/DisplayText&gt;&lt;record&gt;&lt;rec-number&gt;683&lt;/rec-number&gt;&lt;foreign-keys&gt;&lt;key app="EN" db-id="fweew0v96zr2xze25xrvwf59dx52x9w0spr9" timestamp="1460980283"&gt;683&lt;/key&gt;&lt;/foreign-keys&gt;&lt;ref-type name="Government Document"&gt;46&lt;/ref-type&gt;&lt;contributors&gt;&lt;authors&gt;&lt;author&gt;AHRQ&lt;/author&gt;&lt;/authors&gt;&lt;secondary-authors&gt;&lt;author&gt;Agency for Healthcare Research and Quality,&lt;/author&gt;&lt;/secondary-authors&gt;&lt;/contributors&gt;&lt;titles&gt;&lt;title&gt;Postoperative Sepsis Rate - Technical Specifications&lt;/title&gt;&lt;/titles&gt;&lt;dates&gt;&lt;year&gt;2014&lt;/year&gt;&lt;/dates&gt;&lt;publisher&gt;U.S. Department of Health and Human Services&lt;/publisher&gt;&lt;urls&gt;&lt;/urls&gt;&lt;/record&gt;&lt;/Cite&gt;&lt;/EndNote&gt;</w:instrText>
      </w:r>
      <w:r w:rsidR="002604F0">
        <w:rPr>
          <w:rFonts w:cs="Times New Roman"/>
        </w:rPr>
        <w:fldChar w:fldCharType="separate"/>
      </w:r>
      <w:r w:rsidR="002604F0">
        <w:rPr>
          <w:rFonts w:cs="Times New Roman"/>
          <w:noProof/>
        </w:rPr>
        <w:t>(12)</w:t>
      </w:r>
      <w:r w:rsidR="002604F0">
        <w:rPr>
          <w:rFonts w:cs="Times New Roman"/>
        </w:rPr>
        <w:fldChar w:fldCharType="end"/>
      </w:r>
      <w:r w:rsidRPr="00BC7CA9">
        <w:rPr>
          <w:rFonts w:cs="Times New Roman"/>
        </w:rPr>
        <w:t xml:space="preserve">. Moreover, treatment that is not comprehensive may leave the patient vulnerable to ancillary insults, such as kidney failure or depressed heart rate, and patients may suffer from permanent organ damage. AHRQ developed a ‘Surviving Sepsis Campaign bundle’ that has been associated with a decrease in mortality </w:t>
      </w:r>
      <w:r w:rsidR="002604F0">
        <w:rPr>
          <w:rFonts w:cs="Times New Roman"/>
        </w:rPr>
        <w:fldChar w:fldCharType="begin"/>
      </w:r>
      <w:r w:rsidR="002604F0">
        <w:rPr>
          <w:rFonts w:cs="Times New Roman"/>
        </w:rPr>
        <w:instrText xml:space="preserve"> ADDIN EN.CITE &lt;EndNote&gt;&lt;Cite&gt;&lt;Author&gt;AHRQ&lt;/Author&gt;&lt;Year&gt;2014&lt;/Year&gt;&lt;RecNum&gt;698&lt;/RecNum&gt;&lt;DisplayText&gt;(13)&lt;/DisplayText&gt;&lt;record&gt;&lt;rec-number&gt;698&lt;/rec-number&gt;&lt;foreign-keys&gt;&lt;key app="EN" db-id="fweew0v96zr2xze25xrvwf59dx52x9w0spr9" timestamp="1460980283"&gt;698&lt;/key&gt;&lt;/foreign-keys&gt;&lt;ref-type name="Government Document"&gt;46&lt;/ref-type&gt;&lt;contributors&gt;&lt;authors&gt;&lt;author&gt;AHRQ&lt;/author&gt;&lt;/authors&gt;&lt;secondary-authors&gt;&lt;author&gt;Agency for Healthcare Research and Quality,&lt;/author&gt;&lt;/secondary-authors&gt;&lt;/contributors&gt;&lt;titles&gt;&lt;title&gt;PS 13: Postoperative Sepsis - Selected Best Practice and Suggestions for Improvements&lt;/title&gt;&lt;tertiary-title&gt;AHRQ Quality Indicators Toolkit&lt;/tertiary-title&gt;&lt;/titles&gt;&lt;dates&gt;&lt;year&gt;2014&lt;/year&gt;&lt;/dates&gt;&lt;publisher&gt;U.S. Department of Health and Human Services&lt;/publisher&gt;&lt;urls&gt;&lt;/urls&gt;&lt;/record&gt;&lt;/Cite&gt;&lt;/EndNote&gt;</w:instrText>
      </w:r>
      <w:r w:rsidR="002604F0">
        <w:rPr>
          <w:rFonts w:cs="Times New Roman"/>
        </w:rPr>
        <w:fldChar w:fldCharType="separate"/>
      </w:r>
      <w:r w:rsidR="002604F0">
        <w:rPr>
          <w:rFonts w:cs="Times New Roman"/>
          <w:noProof/>
        </w:rPr>
        <w:t>(13)</w:t>
      </w:r>
      <w:r w:rsidR="002604F0">
        <w:rPr>
          <w:rFonts w:cs="Times New Roman"/>
        </w:rPr>
        <w:fldChar w:fldCharType="end"/>
      </w:r>
      <w:r w:rsidRPr="00BC7CA9">
        <w:rPr>
          <w:rFonts w:cs="Times New Roman"/>
        </w:rPr>
        <w:t>. AHRQs PS</w:t>
      </w:r>
      <w:r w:rsidR="004C1C5F">
        <w:rPr>
          <w:rFonts w:cs="Times New Roman"/>
        </w:rPr>
        <w:t xml:space="preserve">I </w:t>
      </w:r>
      <w:r w:rsidRPr="00BC7CA9">
        <w:rPr>
          <w:rFonts w:cs="Times New Roman"/>
        </w:rPr>
        <w:t xml:space="preserve">13 indicator considers elective surgical cases, and excludes from the denominator cases with a principal diagnosis of infection, an immunocompromised state, cancer, obstetric discharges, and cases with stays less than four days. </w:t>
      </w:r>
      <w:r w:rsidR="002604F0">
        <w:rPr>
          <w:rFonts w:cs="Times New Roman"/>
        </w:rPr>
        <w:fldChar w:fldCharType="begin"/>
      </w:r>
      <w:r w:rsidR="002604F0">
        <w:rPr>
          <w:rFonts w:cs="Times New Roman"/>
        </w:rPr>
        <w:instrText xml:space="preserve"> ADDIN EN.CITE &lt;EndNote&gt;&lt;Cite&gt;&lt;Author&gt;AHRQ&lt;/Author&gt;&lt;Year&gt;2014&lt;/Year&gt;&lt;RecNum&gt;683&lt;/RecNum&gt;&lt;DisplayText&gt;(12)&lt;/DisplayText&gt;&lt;record&gt;&lt;rec-number&gt;683&lt;/rec-number&gt;&lt;foreign-keys&gt;&lt;key app="EN" db-id="fweew0v96zr2xze25xrvwf59dx52x9w0spr9" timestamp="1460980283"&gt;683&lt;/key&gt;&lt;/foreign-keys&gt;&lt;ref-type name="Government Document"&gt;46&lt;/ref-type&gt;&lt;contributors&gt;&lt;authors&gt;&lt;author&gt;AHRQ&lt;/author&gt;&lt;/authors&gt;&lt;secondary-authors&gt;&lt;author&gt;Agency for Healthcare Research and Quality,&lt;/author&gt;&lt;/secondary-authors&gt;&lt;/contributors&gt;&lt;titles&gt;&lt;title&gt;Postoperative Sepsis Rate - Technical Specifications&lt;/title&gt;&lt;/titles&gt;&lt;dates&gt;&lt;year&gt;2014&lt;/year&gt;&lt;/dates&gt;&lt;publisher&gt;U.S. Department of Health and Human Services&lt;/publisher&gt;&lt;urls&gt;&lt;/urls&gt;&lt;/record&gt;&lt;/Cite&gt;&lt;/EndNote&gt;</w:instrText>
      </w:r>
      <w:r w:rsidR="002604F0">
        <w:rPr>
          <w:rFonts w:cs="Times New Roman"/>
        </w:rPr>
        <w:fldChar w:fldCharType="separate"/>
      </w:r>
      <w:r w:rsidR="002604F0">
        <w:rPr>
          <w:rFonts w:cs="Times New Roman"/>
          <w:noProof/>
        </w:rPr>
        <w:t>(12)</w:t>
      </w:r>
      <w:r w:rsidR="002604F0">
        <w:rPr>
          <w:rFonts w:cs="Times New Roman"/>
        </w:rPr>
        <w:fldChar w:fldCharType="end"/>
      </w:r>
      <w:r w:rsidRPr="00BC7CA9">
        <w:rPr>
          <w:rFonts w:cs="Times New Roman"/>
        </w:rPr>
        <w:t xml:space="preserve">. Numbers of Sepsis cases were fluctuating between 2280 and 2,103 for the years between 2006 and 2010, and were markedly lower only in 2005 with 1,772 cases. It is the second most common PSI, with an incidence of between 6 and 7 per 1000 patients. </w:t>
      </w:r>
      <w:r w:rsidRPr="00BC7CA9">
        <w:rPr>
          <w:rFonts w:eastAsiaTheme="majorEastAsia" w:cs="Times New Roman"/>
          <w:color w:val="2E74B5" w:themeColor="accent1" w:themeShade="BF"/>
        </w:rPr>
        <w:br w:type="page"/>
      </w:r>
    </w:p>
    <w:p w14:paraId="28C5A206" w14:textId="5810FF70" w:rsidR="006A7335" w:rsidRPr="00616F4F" w:rsidRDefault="006A7335" w:rsidP="009964C1">
      <w:pPr>
        <w:pStyle w:val="Heading1"/>
        <w:numPr>
          <w:ilvl w:val="0"/>
          <w:numId w:val="10"/>
        </w:numPr>
        <w:spacing w:line="360" w:lineRule="auto"/>
        <w:jc w:val="both"/>
        <w:rPr>
          <w:rStyle w:val="Heading1Char"/>
          <w:rFonts w:asciiTheme="minorHAnsi" w:hAnsiTheme="minorHAnsi" w:cs="Times New Roman"/>
          <w:sz w:val="24"/>
          <w:szCs w:val="24"/>
        </w:rPr>
      </w:pPr>
      <w:bookmarkStart w:id="8" w:name="_Toc457312910"/>
      <w:r w:rsidRPr="00616F4F">
        <w:rPr>
          <w:rStyle w:val="Heading1Char"/>
          <w:rFonts w:asciiTheme="minorHAnsi" w:hAnsiTheme="minorHAnsi" w:cs="Times New Roman"/>
          <w:sz w:val="24"/>
          <w:szCs w:val="24"/>
        </w:rPr>
        <w:lastRenderedPageBreak/>
        <w:t xml:space="preserve">Supplementary </w:t>
      </w:r>
      <w:r w:rsidR="00CB1F10" w:rsidRPr="00616F4F">
        <w:rPr>
          <w:rStyle w:val="Heading1Char"/>
          <w:rFonts w:asciiTheme="minorHAnsi" w:hAnsiTheme="minorHAnsi" w:cs="Times New Roman"/>
          <w:sz w:val="24"/>
          <w:szCs w:val="24"/>
        </w:rPr>
        <w:t>M</w:t>
      </w:r>
      <w:r w:rsidRPr="00616F4F">
        <w:rPr>
          <w:rStyle w:val="Heading1Char"/>
          <w:rFonts w:asciiTheme="minorHAnsi" w:hAnsiTheme="minorHAnsi" w:cs="Times New Roman"/>
          <w:sz w:val="24"/>
          <w:szCs w:val="24"/>
        </w:rPr>
        <w:t>ethods</w:t>
      </w:r>
      <w:bookmarkEnd w:id="8"/>
    </w:p>
    <w:p w14:paraId="1D4EF02F" w14:textId="5F8BE620" w:rsidR="000575BA" w:rsidRPr="00BC7CA9" w:rsidRDefault="000575BA" w:rsidP="009964C1">
      <w:pPr>
        <w:pStyle w:val="Heading2"/>
        <w:numPr>
          <w:ilvl w:val="1"/>
          <w:numId w:val="10"/>
        </w:numPr>
        <w:spacing w:line="360" w:lineRule="auto"/>
        <w:jc w:val="both"/>
        <w:rPr>
          <w:rFonts w:asciiTheme="minorHAnsi" w:hAnsiTheme="minorHAnsi" w:cs="Times New Roman"/>
          <w:sz w:val="22"/>
          <w:szCs w:val="22"/>
        </w:rPr>
      </w:pPr>
      <w:bookmarkStart w:id="9" w:name="_Toc457312911"/>
      <w:r w:rsidRPr="00BC7CA9">
        <w:rPr>
          <w:rFonts w:asciiTheme="minorHAnsi" w:hAnsiTheme="minorHAnsi" w:cs="Times New Roman"/>
          <w:sz w:val="22"/>
          <w:szCs w:val="22"/>
        </w:rPr>
        <w:t>Propensity score estimation</w:t>
      </w:r>
      <w:bookmarkEnd w:id="9"/>
    </w:p>
    <w:p w14:paraId="1BDAF2CF" w14:textId="6E61ABC5" w:rsidR="00FD7E9C" w:rsidRDefault="000575BA" w:rsidP="00BC7CA9">
      <w:pPr>
        <w:spacing w:before="100" w:beforeAutospacing="1" w:line="360" w:lineRule="auto"/>
        <w:ind w:firstLine="720"/>
        <w:jc w:val="both"/>
        <w:rPr>
          <w:rFonts w:cs="Times New Roman"/>
        </w:rPr>
      </w:pPr>
      <w:r w:rsidRPr="00BC7CA9">
        <w:rPr>
          <w:rFonts w:cs="Times New Roman"/>
        </w:rPr>
        <w:t xml:space="preserve">The procedure adopted by the AHRQ experts defines </w:t>
      </w:r>
      <w:r w:rsidR="00E10FFF">
        <w:rPr>
          <w:rFonts w:cs="Times New Roman"/>
        </w:rPr>
        <w:t xml:space="preserve">so-called </w:t>
      </w:r>
      <w:r w:rsidRPr="00BC7CA9">
        <w:rPr>
          <w:rFonts w:cs="Times New Roman"/>
        </w:rPr>
        <w:t xml:space="preserve">numerator and denominator cases based on purely clinical characteristics.  </w:t>
      </w:r>
      <w:r w:rsidR="00E10FFF">
        <w:rPr>
          <w:rFonts w:cs="Times New Roman"/>
        </w:rPr>
        <w:t xml:space="preserve">The numerator patients are the ones who actually suffered an incident, the denominator patients are all patients who are at risk of the incident and for whom the incident is be considered preventable.  Numerator cases are part of the denominator cases.  </w:t>
      </w:r>
      <w:r w:rsidRPr="00BC7CA9">
        <w:rPr>
          <w:rFonts w:cs="Times New Roman"/>
        </w:rPr>
        <w:t xml:space="preserve">The presumption of the AHRQ experts is that the denominator patients are in principle equally susceptible to experience the PS incidences as the actual cases, after patients with exclusion conditions are dropped from the investigation.  </w:t>
      </w:r>
      <w:r w:rsidR="00E10FFF">
        <w:rPr>
          <w:rFonts w:cs="Times New Roman"/>
        </w:rPr>
        <w:t xml:space="preserve">The exclusion conditions are clinical conditions which essentially determine the patients in whom an incident is not considered preventable even with very good standard of care; for example, paraplegic patients </w:t>
      </w:r>
      <w:r w:rsidR="00FD7E9C">
        <w:rPr>
          <w:rFonts w:cs="Times New Roman"/>
        </w:rPr>
        <w:t xml:space="preserve">are significantly more likely to suffer a pressure ulcers, </w:t>
      </w:r>
      <w:r w:rsidR="00E10FFF">
        <w:rPr>
          <w:rFonts w:cs="Times New Roman"/>
        </w:rPr>
        <w:t xml:space="preserve">hence they are not considered a safety incident for patients with this condition and paraplegic patients are not part of the denominator cases for the PSI pressure ulcer.  </w:t>
      </w:r>
    </w:p>
    <w:p w14:paraId="61618ADB" w14:textId="39A1A9DE" w:rsidR="000575BA" w:rsidRPr="00BC7CA9" w:rsidRDefault="000575BA" w:rsidP="00BC7CA9">
      <w:pPr>
        <w:spacing w:before="100" w:beforeAutospacing="1" w:line="360" w:lineRule="auto"/>
        <w:ind w:firstLine="720"/>
        <w:jc w:val="both"/>
        <w:rPr>
          <w:rFonts w:cs="Times New Roman"/>
        </w:rPr>
      </w:pPr>
      <w:r w:rsidRPr="00BC7CA9">
        <w:rPr>
          <w:rFonts w:cs="Times New Roman"/>
        </w:rPr>
        <w:t xml:space="preserve">Some studies use the number of numerator and denominator cases to estimate incidence rates, and incremental impact of the PS events on mortality, </w:t>
      </w:r>
      <w:r w:rsidR="00B74CCD" w:rsidRPr="00BC7CA9">
        <w:rPr>
          <w:rFonts w:cs="Times New Roman"/>
        </w:rPr>
        <w:t>bed days</w:t>
      </w:r>
      <w:r w:rsidRPr="00BC7CA9">
        <w:rPr>
          <w:rFonts w:cs="Times New Roman"/>
        </w:rPr>
        <w:t xml:space="preserve"> or costs.  This is then simply done by taking the difference in those outcomes across numerator and denominator patients (minus numerator patients).  However, there is a concern that excluding patients based on medically defined exclusion conditions is in itself insufficient adjustment for systematic differences across numerator and denominator cases that make cases more susceptible to experiencing a PS event.  If this is a concern, then the evaluation of the impact of the PS event based on a naïve comparison between cases and denominator patients would wrongly attribute difference in observed outcomes in PS patients to the occurrence of the PS incident, when in fact it could at least partly be explained by other differences related to the patients themselves, or the treating hospital.  </w:t>
      </w:r>
    </w:p>
    <w:p w14:paraId="617DEF2E" w14:textId="52902516" w:rsidR="000853D6" w:rsidRPr="00BC7CA9" w:rsidRDefault="00F179E2" w:rsidP="00BC7CA9">
      <w:pPr>
        <w:spacing w:before="100" w:beforeAutospacing="1" w:line="360" w:lineRule="auto"/>
        <w:ind w:firstLine="720"/>
        <w:jc w:val="both"/>
        <w:rPr>
          <w:rFonts w:cs="Times New Roman"/>
        </w:rPr>
      </w:pPr>
      <w:r w:rsidRPr="00BC7CA9">
        <w:rPr>
          <w:rFonts w:cs="Times New Roman"/>
        </w:rPr>
        <w:t>In order to address this problem, we use</w:t>
      </w:r>
      <w:r w:rsidR="000575BA" w:rsidRPr="00BC7CA9">
        <w:rPr>
          <w:rFonts w:cs="Times New Roman"/>
        </w:rPr>
        <w:t xml:space="preserve"> propensity score matching to qualify the AHRQ denominator (minus numerator) patients further on basis of how well they match the </w:t>
      </w:r>
      <w:r w:rsidR="00F04E1D">
        <w:rPr>
          <w:rFonts w:cs="Times New Roman"/>
        </w:rPr>
        <w:t xml:space="preserve">numerator </w:t>
      </w:r>
      <w:r w:rsidR="005A57FE">
        <w:rPr>
          <w:rFonts w:cs="Times New Roman"/>
        </w:rPr>
        <w:t xml:space="preserve">or PS </w:t>
      </w:r>
      <w:r w:rsidR="00F04E1D">
        <w:rPr>
          <w:rFonts w:cs="Times New Roman"/>
        </w:rPr>
        <w:t xml:space="preserve">patients (or </w:t>
      </w:r>
      <w:r w:rsidR="000575BA" w:rsidRPr="00BC7CA9">
        <w:rPr>
          <w:rFonts w:cs="Times New Roman"/>
        </w:rPr>
        <w:t>cases</w:t>
      </w:r>
      <w:r w:rsidR="00F04E1D">
        <w:rPr>
          <w:rFonts w:cs="Times New Roman"/>
        </w:rPr>
        <w:t>)</w:t>
      </w:r>
      <w:r w:rsidR="000575BA" w:rsidRPr="00BC7CA9">
        <w:rPr>
          <w:rFonts w:cs="Times New Roman"/>
        </w:rPr>
        <w:t xml:space="preserve"> on </w:t>
      </w:r>
      <w:r w:rsidRPr="00BC7CA9">
        <w:rPr>
          <w:rFonts w:cs="Times New Roman"/>
        </w:rPr>
        <w:t>10</w:t>
      </w:r>
      <w:r w:rsidR="000575BA" w:rsidRPr="00BC7CA9">
        <w:rPr>
          <w:rFonts w:cs="Times New Roman"/>
        </w:rPr>
        <w:t xml:space="preserve"> observable characteristics</w:t>
      </w:r>
      <w:r w:rsidRPr="00BC7CA9">
        <w:rPr>
          <w:rFonts w:cs="Times New Roman"/>
        </w:rPr>
        <w:t xml:space="preserve"> </w:t>
      </w:r>
      <w:r w:rsidR="002604F0">
        <w:rPr>
          <w:rFonts w:cs="Times New Roman"/>
        </w:rPr>
        <w:fldChar w:fldCharType="begin"/>
      </w:r>
      <w:r w:rsidR="002604F0">
        <w:rPr>
          <w:rFonts w:cs="Times New Roman"/>
        </w:rPr>
        <w:instrText xml:space="preserve"> ADDIN EN.CITE &lt;EndNote&gt;&lt;Cite&gt;&lt;Author&gt;Rubin&lt;/Author&gt;&lt;Year&gt;1979&lt;/Year&gt;&lt;RecNum&gt;737&lt;/RecNum&gt;&lt;DisplayText&gt;(14)&lt;/DisplayText&gt;&lt;record&gt;&lt;rec-number&gt;737&lt;/rec-number&gt;&lt;foreign-keys&gt;&lt;key app="EN" db-id="fweew0v96zr2xze25xrvwf59dx52x9w0spr9" timestamp="1460980283"&gt;737&lt;/key&gt;&lt;/foreign-keys&gt;&lt;ref-type name="Journal Article"&gt;17&lt;/ref-type&gt;&lt;contributors&gt;&lt;authors&gt;&lt;author&gt;Rubin, Donald B.&lt;/author&gt;&lt;/authors&gt;&lt;/contributors&gt;&lt;titles&gt;&lt;title&gt;Using Multivariate Matched Sampling and Regression Adjustment to Control Bias in Observational Studies&lt;/title&gt;&lt;secondary-title&gt;Journal of the American Statistical Association&lt;/secondary-title&gt;&lt;/titles&gt;&lt;periodical&gt;&lt;full-title&gt;Journal of the American Statistical Association&lt;/full-title&gt;&lt;/periodical&gt;&lt;pages&gt;318-328&lt;/pages&gt;&lt;volume&gt;74&lt;/volume&gt;&lt;number&gt;366a&lt;/number&gt;&lt;dates&gt;&lt;year&gt;1979&lt;/year&gt;&lt;pub-dates&gt;&lt;date&gt;1979/06/01&lt;/date&gt;&lt;/pub-dates&gt;&lt;/dates&gt;&lt;publisher&gt;Taylor &amp;amp; Francis&lt;/publisher&gt;&lt;isbn&gt;0162-1459&lt;/isbn&gt;&lt;urls&gt;&lt;related-urls&gt;&lt;url&gt;http://dx.doi.org/10.1080/01621459.1979.10482513&lt;/url&gt;&lt;/related-urls&gt;&lt;/urls&gt;&lt;electronic-resource-num&gt;10.1080/01621459.1979.10482513&lt;/electronic-resource-num&gt;&lt;access-date&gt;2014/12/28&lt;/access-date&gt;&lt;/record&gt;&lt;/Cite&gt;&lt;/EndNote&gt;</w:instrText>
      </w:r>
      <w:r w:rsidR="002604F0">
        <w:rPr>
          <w:rFonts w:cs="Times New Roman"/>
        </w:rPr>
        <w:fldChar w:fldCharType="separate"/>
      </w:r>
      <w:r w:rsidR="002604F0">
        <w:rPr>
          <w:rFonts w:cs="Times New Roman"/>
          <w:noProof/>
        </w:rPr>
        <w:t>(14)</w:t>
      </w:r>
      <w:r w:rsidR="002604F0">
        <w:rPr>
          <w:rFonts w:cs="Times New Roman"/>
        </w:rPr>
        <w:fldChar w:fldCharType="end"/>
      </w:r>
      <w:r w:rsidRPr="00BC7CA9">
        <w:rPr>
          <w:rFonts w:cs="Times New Roman"/>
        </w:rPr>
        <w:t xml:space="preserve">. </w:t>
      </w:r>
      <w:r w:rsidR="000575BA" w:rsidRPr="00BC7CA9">
        <w:rPr>
          <w:rFonts w:cs="Times New Roman"/>
        </w:rPr>
        <w:t>In principle, all denominator control patients are considered potential matches, but the final impact evaluation of differences in mortality risk</w:t>
      </w:r>
      <w:r w:rsidR="000853D6" w:rsidRPr="00BC7CA9">
        <w:rPr>
          <w:rFonts w:cs="Times New Roman"/>
        </w:rPr>
        <w:t>, expected remaining healthy life-expectancy</w:t>
      </w:r>
      <w:r w:rsidR="000575BA" w:rsidRPr="00BC7CA9">
        <w:rPr>
          <w:rFonts w:cs="Times New Roman"/>
        </w:rPr>
        <w:t xml:space="preserve"> and </w:t>
      </w:r>
      <w:r w:rsidRPr="00BC7CA9">
        <w:rPr>
          <w:rFonts w:cs="Times New Roman"/>
        </w:rPr>
        <w:t>bed days</w:t>
      </w:r>
      <w:r w:rsidR="000575BA" w:rsidRPr="00BC7CA9">
        <w:rPr>
          <w:rFonts w:cs="Times New Roman"/>
        </w:rPr>
        <w:t xml:space="preserve"> </w:t>
      </w:r>
      <w:r w:rsidR="000853D6" w:rsidRPr="00BC7CA9">
        <w:rPr>
          <w:rFonts w:cs="Times New Roman"/>
        </w:rPr>
        <w:t>are</w:t>
      </w:r>
      <w:r w:rsidR="000575BA" w:rsidRPr="00BC7CA9">
        <w:rPr>
          <w:rFonts w:cs="Times New Roman"/>
        </w:rPr>
        <w:t xml:space="preserve"> based on the control patients that are closest</w:t>
      </w:r>
      <w:r w:rsidRPr="00BC7CA9">
        <w:rPr>
          <w:rFonts w:cs="Times New Roman"/>
        </w:rPr>
        <w:t xml:space="preserve"> matches for each </w:t>
      </w:r>
      <w:r w:rsidR="00F04E1D">
        <w:rPr>
          <w:rFonts w:cs="Times New Roman"/>
        </w:rPr>
        <w:t>numerator patient or case</w:t>
      </w:r>
      <w:r w:rsidRPr="00BC7CA9">
        <w:rPr>
          <w:rFonts w:cs="Times New Roman"/>
        </w:rPr>
        <w:t xml:space="preserve">. The basic idea of propensity score matching is to find in a large group of untreated individuals, i.e. patients without PS incidence, those individuals who are similar to the PS patients in all relevant characteristics that make them equally likely to </w:t>
      </w:r>
      <w:r w:rsidRPr="00BC7CA9">
        <w:rPr>
          <w:rFonts w:cs="Times New Roman"/>
        </w:rPr>
        <w:lastRenderedPageBreak/>
        <w:t xml:space="preserve">experience the PS incident. Differences in outcomes of this carefully selected control group and of </w:t>
      </w:r>
      <w:r w:rsidR="00F04E1D">
        <w:rPr>
          <w:rFonts w:cs="Times New Roman"/>
        </w:rPr>
        <w:t>the cases or PS patients</w:t>
      </w:r>
      <w:r w:rsidRPr="00BC7CA9">
        <w:rPr>
          <w:rFonts w:cs="Times New Roman"/>
        </w:rPr>
        <w:t xml:space="preserve"> can then be attributed solely to the PS incident. </w:t>
      </w:r>
    </w:p>
    <w:p w14:paraId="39AC85FA" w14:textId="3407A465" w:rsidR="000853D6" w:rsidRPr="00BC7CA9" w:rsidRDefault="00F179E2" w:rsidP="00BC7CA9">
      <w:pPr>
        <w:spacing w:before="100" w:beforeAutospacing="1" w:line="360" w:lineRule="auto"/>
        <w:ind w:firstLine="720"/>
        <w:jc w:val="both"/>
        <w:rPr>
          <w:rFonts w:cs="Times New Roman"/>
        </w:rPr>
      </w:pPr>
      <w:r w:rsidRPr="00BC7CA9">
        <w:rPr>
          <w:rFonts w:cs="Times New Roman"/>
        </w:rPr>
        <w:t>The underlying identifying assumption is known as un</w:t>
      </w:r>
      <w:r w:rsidR="00FD7E9C">
        <w:rPr>
          <w:rFonts w:cs="Times New Roman"/>
        </w:rPr>
        <w:t>-</w:t>
      </w:r>
      <w:r w:rsidRPr="00BC7CA9">
        <w:rPr>
          <w:rFonts w:cs="Times New Roman"/>
        </w:rPr>
        <w:t xml:space="preserve">confoundedness, which implies that all variables that influence treatment assignment (i.e. experiencing a PS incidence) and potential outcomes simultaneously have to be observed by the researcher. A further requirement is the common support condition. It rules out the phenomenon of perfect predictability of a PS incident given the covariates. It ensures that persons with the same </w:t>
      </w:r>
      <w:r w:rsidR="00D92DD4" w:rsidRPr="00BC7CA9">
        <w:rPr>
          <w:rFonts w:cs="Times New Roman"/>
        </w:rPr>
        <w:t>covariate values</w:t>
      </w:r>
      <w:r w:rsidRPr="00BC7CA9">
        <w:rPr>
          <w:rFonts w:cs="Times New Roman"/>
        </w:rPr>
        <w:t xml:space="preserve"> have a positive probability of both experiencing a PS incident or not </w:t>
      </w:r>
      <w:r w:rsidR="002604F0">
        <w:rPr>
          <w:rFonts w:cs="Times New Roman"/>
        </w:rPr>
        <w:fldChar w:fldCharType="begin"/>
      </w:r>
      <w:r w:rsidR="002604F0">
        <w:rPr>
          <w:rFonts w:cs="Times New Roman"/>
        </w:rPr>
        <w:instrText xml:space="preserve"> ADDIN EN.CITE &lt;EndNote&gt;&lt;Cite&gt;&lt;Author&gt;Heckman&lt;/Author&gt;&lt;Year&gt;1999&lt;/Year&gt;&lt;RecNum&gt;713&lt;/RecNum&gt;&lt;DisplayText&gt;(15)&lt;/DisplayText&gt;&lt;record&gt;&lt;rec-number&gt;713&lt;/rec-number&gt;&lt;foreign-keys&gt;&lt;key app="EN" db-id="fweew0v96zr2xze25xrvwf59dx52x9w0spr9" timestamp="1460980283"&gt;713&lt;/key&gt;&lt;/foreign-keys&gt;&lt;ref-type name="Journal Article"&gt;17&lt;/ref-type&gt;&lt;contributors&gt;&lt;authors&gt;&lt;author&gt;Heckman, James J&lt;/author&gt;&lt;author&gt;LaLonde, Robert J&lt;/author&gt;&lt;author&gt;Smith, Jeffrey A&lt;/author&gt;&lt;/authors&gt;&lt;/contributors&gt;&lt;titles&gt;&lt;title&gt;The economics and econometrics of active labor market programs&lt;/title&gt;&lt;secondary-title&gt;Handbook of labor economics&lt;/secondary-title&gt;&lt;/titles&gt;&lt;periodical&gt;&lt;full-title&gt;Handbook of labor economics&lt;/full-title&gt;&lt;/periodical&gt;&lt;pages&gt;1865-2097&lt;/pages&gt;&lt;volume&gt;3&lt;/volume&gt;&lt;dates&gt;&lt;year&gt;1999&lt;/year&gt;&lt;/dates&gt;&lt;isbn&gt;1573-4463&lt;/isbn&gt;&lt;urls&gt;&lt;/urls&gt;&lt;/record&gt;&lt;/Cite&gt;&lt;/EndNote&gt;</w:instrText>
      </w:r>
      <w:r w:rsidR="002604F0">
        <w:rPr>
          <w:rFonts w:cs="Times New Roman"/>
        </w:rPr>
        <w:fldChar w:fldCharType="separate"/>
      </w:r>
      <w:r w:rsidR="002604F0">
        <w:rPr>
          <w:rFonts w:cs="Times New Roman"/>
          <w:noProof/>
        </w:rPr>
        <w:t>(15)</w:t>
      </w:r>
      <w:r w:rsidR="002604F0">
        <w:rPr>
          <w:rFonts w:cs="Times New Roman"/>
        </w:rPr>
        <w:fldChar w:fldCharType="end"/>
      </w:r>
      <w:r w:rsidRPr="00BC7CA9">
        <w:rPr>
          <w:rFonts w:cs="Times New Roman"/>
        </w:rPr>
        <w:t xml:space="preserve">. The usual approach towards matching entails the use of balancing scores, which require that matched observations must have the same distribution of observable (and unobservable) characteristics independently of PS status. The average treatment effect on the treated (ATT) is then defined as the average observed differences between the mortality and </w:t>
      </w:r>
      <w:r w:rsidR="00B50B85" w:rsidRPr="00BC7CA9">
        <w:rPr>
          <w:rFonts w:cs="Times New Roman"/>
        </w:rPr>
        <w:t>bed days</w:t>
      </w:r>
      <w:r w:rsidRPr="00BC7CA9">
        <w:rPr>
          <w:rFonts w:cs="Times New Roman"/>
        </w:rPr>
        <w:t xml:space="preserve"> of patients who experienced a PS event and the matched controls that are observationally very similar to the PS patients, except for the fact that they did not experience the PS event.  The excess mortality risk is then used to determine loss in</w:t>
      </w:r>
      <w:r w:rsidR="00B74CCD" w:rsidRPr="00BC7CA9">
        <w:rPr>
          <w:rFonts w:cs="Times New Roman"/>
        </w:rPr>
        <w:t xml:space="preserve"> terms of</w:t>
      </w:r>
      <w:r w:rsidRPr="00BC7CA9">
        <w:rPr>
          <w:rFonts w:cs="Times New Roman"/>
        </w:rPr>
        <w:t xml:space="preserve"> HLYs</w:t>
      </w:r>
      <w:r w:rsidR="00D92DD4" w:rsidRPr="00BC7CA9">
        <w:rPr>
          <w:rFonts w:cs="Times New Roman"/>
        </w:rPr>
        <w:t xml:space="preserve">. </w:t>
      </w:r>
    </w:p>
    <w:p w14:paraId="232285BD" w14:textId="2A9CAC00" w:rsidR="00F179E2" w:rsidRPr="00BC7CA9" w:rsidRDefault="00F179E2" w:rsidP="00BC7CA9">
      <w:pPr>
        <w:spacing w:before="100" w:beforeAutospacing="1" w:line="360" w:lineRule="auto"/>
        <w:ind w:firstLine="720"/>
        <w:jc w:val="both"/>
        <w:rPr>
          <w:rFonts w:cs="Times New Roman"/>
        </w:rPr>
      </w:pPr>
      <w:r w:rsidRPr="00BC7CA9">
        <w:rPr>
          <w:rFonts w:cs="Times New Roman"/>
        </w:rPr>
        <w:t xml:space="preserve">The PSI ‘Death in low-mortality DRG’ is a special case in our analysis, because by definition the treatment –experiencing the PSI ‘death’- perfectly predicts outcome ‘death’, and not experiencing the PSI perfectly predicts survival. This means that any patients in the denominator group that may have died not due to an adverse event but rather due to underlying medical problems are selected into the ‘treatment’ group of PS patients via the AHRQ algorithm. For this PSI, we cannot control for selection into the ‘treatment’ and take the difference between patients and matched controls as a </w:t>
      </w:r>
      <w:r w:rsidR="00D92DD4" w:rsidRPr="00BC7CA9">
        <w:rPr>
          <w:rFonts w:cs="Times New Roman"/>
        </w:rPr>
        <w:t>95</w:t>
      </w:r>
      <w:r w:rsidRPr="00BC7CA9">
        <w:rPr>
          <w:rFonts w:cs="Times New Roman"/>
        </w:rPr>
        <w:t>% increase in mortality risk</w:t>
      </w:r>
      <w:r w:rsidR="00D92DD4" w:rsidRPr="00BC7CA9">
        <w:rPr>
          <w:rFonts w:cs="Times New Roman"/>
        </w:rPr>
        <w:t>, the AHRQ definition</w:t>
      </w:r>
      <w:r w:rsidRPr="00BC7CA9">
        <w:rPr>
          <w:rFonts w:cs="Times New Roman"/>
        </w:rPr>
        <w:t>.  This effect</w:t>
      </w:r>
      <w:r w:rsidR="00D92DD4" w:rsidRPr="00BC7CA9">
        <w:rPr>
          <w:rFonts w:cs="Times New Roman"/>
        </w:rPr>
        <w:t>ive</w:t>
      </w:r>
      <w:r w:rsidRPr="00BC7CA9">
        <w:rPr>
          <w:rFonts w:cs="Times New Roman"/>
        </w:rPr>
        <w:t xml:space="preserve">ly means that we accept the AHRQ definitions and exclusion conditions for this PSI without further qualification.   </w:t>
      </w:r>
    </w:p>
    <w:p w14:paraId="33FFBB29" w14:textId="2854A475" w:rsidR="00F95375" w:rsidRPr="00AD00FB" w:rsidRDefault="005C4DB4" w:rsidP="00AD00FB">
      <w:pPr>
        <w:rPr>
          <w:b/>
        </w:rPr>
      </w:pPr>
      <w:r w:rsidRPr="00AD00FB">
        <w:rPr>
          <w:b/>
        </w:rPr>
        <w:t>Covariate adjustment</w:t>
      </w:r>
    </w:p>
    <w:p w14:paraId="1F461DB9" w14:textId="2DAF5271" w:rsidR="000853D6" w:rsidRPr="00BC7CA9" w:rsidRDefault="00B74CCD" w:rsidP="00BC7CA9">
      <w:pPr>
        <w:spacing w:before="100" w:beforeAutospacing="1" w:line="360" w:lineRule="auto"/>
        <w:ind w:firstLine="720"/>
        <w:jc w:val="both"/>
        <w:rPr>
          <w:rFonts w:cs="Times New Roman"/>
        </w:rPr>
      </w:pPr>
      <w:r w:rsidRPr="00BC7CA9">
        <w:rPr>
          <w:rFonts w:cs="Times New Roman"/>
        </w:rPr>
        <w:t xml:space="preserve">Propensity score estimation requires estimating </w:t>
      </w:r>
      <w:r w:rsidR="00D92DD4" w:rsidRPr="00BC7CA9">
        <w:rPr>
          <w:rFonts w:cs="Times New Roman"/>
        </w:rPr>
        <w:t xml:space="preserve">the probability of experiencing the ‘treatment’, the PS event, given a set of covariates. We can only include covariates that influence simultaneously the occurrence of the PS incident and the outcome variable, but that are themselves unaffected by the PS incident </w:t>
      </w:r>
      <w:r w:rsidR="002604F0">
        <w:rPr>
          <w:rFonts w:cs="Times New Roman"/>
        </w:rPr>
        <w:fldChar w:fldCharType="begin"/>
      </w:r>
      <w:r w:rsidR="002604F0">
        <w:rPr>
          <w:rFonts w:cs="Times New Roman"/>
        </w:rPr>
        <w:instrText xml:space="preserve"> ADDIN EN.CITE &lt;EndNote&gt;&lt;Cite&gt;&lt;Author&gt;Smith&lt;/Author&gt;&lt;Year&gt;2005&lt;/Year&gt;&lt;RecNum&gt;715&lt;/RecNum&gt;&lt;DisplayText&gt;(16)&lt;/DisplayText&gt;&lt;record&gt;&lt;rec-number&gt;715&lt;/rec-number&gt;&lt;foreign-keys&gt;&lt;key app="EN" db-id="fweew0v96zr2xze25xrvwf59dx52x9w0spr9" timestamp="1460980283"&gt;715&lt;/key&gt;&lt;/foreign-keys&gt;&lt;ref-type name="Journal Article"&gt;17&lt;/ref-type&gt;&lt;contributors&gt;&lt;authors&gt;&lt;author&gt;Smith, Jeffrey A&lt;/author&gt;&lt;author&gt;Todd, Petra E&lt;/author&gt;&lt;/authors&gt;&lt;/contributors&gt;&lt;titles&gt;&lt;title&gt;Does matching overcome LaLonde&amp;apos;s critique of nonexperimental estimators?&lt;/title&gt;&lt;secondary-title&gt;Journal of econometrics&lt;/secondary-title&gt;&lt;/titles&gt;&lt;periodical&gt;&lt;full-title&gt;Journal of Econometrics&lt;/full-title&gt;&lt;/periodical&gt;&lt;pages&gt;305-353&lt;/pages&gt;&lt;volume&gt;125&lt;/volume&gt;&lt;number&gt;1&lt;/number&gt;&lt;dates&gt;&lt;year&gt;2005&lt;/year&gt;&lt;/dates&gt;&lt;isbn&gt;0304-4076&lt;/isbn&gt;&lt;urls&gt;&lt;/urls&gt;&lt;/record&gt;&lt;/Cite&gt;&lt;/EndNote&gt;</w:instrText>
      </w:r>
      <w:r w:rsidR="002604F0">
        <w:rPr>
          <w:rFonts w:cs="Times New Roman"/>
        </w:rPr>
        <w:fldChar w:fldCharType="separate"/>
      </w:r>
      <w:r w:rsidR="002604F0">
        <w:rPr>
          <w:rFonts w:cs="Times New Roman"/>
          <w:noProof/>
        </w:rPr>
        <w:t>(16)</w:t>
      </w:r>
      <w:r w:rsidR="002604F0">
        <w:rPr>
          <w:rFonts w:cs="Times New Roman"/>
        </w:rPr>
        <w:fldChar w:fldCharType="end"/>
      </w:r>
      <w:r w:rsidR="00D92DD4" w:rsidRPr="00BC7CA9">
        <w:rPr>
          <w:rFonts w:eastAsiaTheme="minorHAnsi" w:cs="Times New Roman"/>
        </w:rPr>
        <w:t xml:space="preserve">. </w:t>
      </w:r>
      <w:r w:rsidR="00D92DD4" w:rsidRPr="00BC7CA9">
        <w:rPr>
          <w:rFonts w:cs="Times New Roman"/>
        </w:rPr>
        <w:t xml:space="preserve">Tables </w:t>
      </w:r>
      <w:r w:rsidR="00402D6C" w:rsidRPr="00BC7CA9">
        <w:rPr>
          <w:rFonts w:cs="Times New Roman"/>
        </w:rPr>
        <w:t>S3a</w:t>
      </w:r>
      <w:r w:rsidR="00D92DD4" w:rsidRPr="00BC7CA9">
        <w:rPr>
          <w:rFonts w:cs="Times New Roman"/>
        </w:rPr>
        <w:t xml:space="preserve"> to </w:t>
      </w:r>
      <w:r w:rsidR="00402D6C" w:rsidRPr="00BC7CA9">
        <w:rPr>
          <w:rFonts w:cs="Times New Roman"/>
        </w:rPr>
        <w:t>S3f</w:t>
      </w:r>
      <w:r w:rsidR="00D92DD4" w:rsidRPr="00BC7CA9">
        <w:rPr>
          <w:rFonts w:cs="Times New Roman"/>
        </w:rPr>
        <w:t xml:space="preserve"> present summary statistics separately for the unmatched and the matches samples and variables used for the propensity score estimation, by PSI and </w:t>
      </w:r>
      <w:r w:rsidR="000853D6" w:rsidRPr="00BC7CA9">
        <w:rPr>
          <w:rFonts w:cs="Times New Roman"/>
        </w:rPr>
        <w:t>for the year 2009/10 (other years available from the authors on request)</w:t>
      </w:r>
      <w:r w:rsidR="00D92DD4" w:rsidRPr="00BC7CA9">
        <w:rPr>
          <w:rFonts w:cs="Times New Roman"/>
        </w:rPr>
        <w:t xml:space="preserve">. Note that the propensity score estimation sample consists of PS patients and both unmatched and matched controls, hence it </w:t>
      </w:r>
      <w:r w:rsidR="003F3159" w:rsidRPr="00BC7CA9">
        <w:rPr>
          <w:rFonts w:cs="Times New Roman"/>
        </w:rPr>
        <w:t xml:space="preserve">is </w:t>
      </w:r>
      <w:r w:rsidR="00D92DD4" w:rsidRPr="00BC7CA9">
        <w:rPr>
          <w:rFonts w:cs="Times New Roman"/>
        </w:rPr>
        <w:t xml:space="preserve">significantly larger than the final matched sample that is used for estimation of the treatment effects. </w:t>
      </w:r>
      <w:r w:rsidR="000853D6" w:rsidRPr="00BC7CA9">
        <w:rPr>
          <w:rFonts w:cs="Times New Roman"/>
        </w:rPr>
        <w:t xml:space="preserve">We have a large pool of patients to choose from which makes it easier to find close matches.  </w:t>
      </w:r>
      <w:r w:rsidR="000853D6" w:rsidRPr="00BC7CA9">
        <w:rPr>
          <w:rFonts w:cs="Times New Roman"/>
        </w:rPr>
        <w:lastRenderedPageBreak/>
        <w:t xml:space="preserve">For most PSIs the overall number of control patients exceeds one million, compared to PS patients of at most a few thousand per year.  </w:t>
      </w:r>
    </w:p>
    <w:p w14:paraId="2B76972A" w14:textId="2CF43090" w:rsidR="00B74CCD" w:rsidRPr="00BC7CA9" w:rsidRDefault="00D92DD4" w:rsidP="00BC7CA9">
      <w:pPr>
        <w:spacing w:before="100" w:beforeAutospacing="1" w:line="360" w:lineRule="auto"/>
        <w:ind w:firstLine="720"/>
        <w:jc w:val="both"/>
        <w:rPr>
          <w:rFonts w:cs="Times New Roman"/>
        </w:rPr>
      </w:pPr>
      <w:r w:rsidRPr="00BC7CA9">
        <w:rPr>
          <w:rFonts w:cs="Times New Roman"/>
        </w:rPr>
        <w:t>We use the same variables for all PSIs, but the size of the estimation samples vary considerably across PSI because of differences in the exclusion conditions</w:t>
      </w:r>
      <w:r w:rsidRPr="00BC7CA9">
        <w:rPr>
          <w:rFonts w:eastAsiaTheme="minorHAnsi" w:cs="Times New Roman"/>
        </w:rPr>
        <w:t>. For example, the exclusion conditions for Sepsis are very strict, therefore, the group of patients in which Sepsis is considered a potentially preventable patient safety incident</w:t>
      </w:r>
      <w:r w:rsidR="00402D6C" w:rsidRPr="00BC7CA9">
        <w:rPr>
          <w:rFonts w:eastAsiaTheme="minorHAnsi" w:cs="Times New Roman"/>
        </w:rPr>
        <w:t xml:space="preserve"> by the AHRQ committee</w:t>
      </w:r>
      <w:r w:rsidRPr="00BC7CA9">
        <w:rPr>
          <w:rFonts w:eastAsiaTheme="minorHAnsi" w:cs="Times New Roman"/>
        </w:rPr>
        <w:t xml:space="preserve"> is relatively small. </w:t>
      </w:r>
      <w:r w:rsidR="00402D6C" w:rsidRPr="00BC7CA9">
        <w:rPr>
          <w:rFonts w:eastAsiaTheme="minorHAnsi" w:cs="Times New Roman"/>
        </w:rPr>
        <w:t xml:space="preserve">Among patient characteristics, we include age at the start of the inpatient spell, gender, and as indicators of patient complexity, the weighted </w:t>
      </w:r>
      <w:proofErr w:type="spellStart"/>
      <w:r w:rsidR="00402D6C" w:rsidRPr="00BC7CA9">
        <w:rPr>
          <w:rFonts w:eastAsiaTheme="minorHAnsi" w:cs="Times New Roman"/>
        </w:rPr>
        <w:t>Charlson</w:t>
      </w:r>
      <w:proofErr w:type="spellEnd"/>
      <w:r w:rsidR="00402D6C" w:rsidRPr="00BC7CA9">
        <w:rPr>
          <w:rFonts w:eastAsiaTheme="minorHAnsi" w:cs="Times New Roman"/>
        </w:rPr>
        <w:t xml:space="preserve"> comorbidity index </w:t>
      </w:r>
      <w:r w:rsidR="002604F0">
        <w:rPr>
          <w:rFonts w:eastAsiaTheme="minorHAnsi" w:cs="Times New Roman"/>
        </w:rPr>
        <w:fldChar w:fldCharType="begin"/>
      </w:r>
      <w:r w:rsidR="002604F0">
        <w:rPr>
          <w:rFonts w:eastAsiaTheme="minorHAnsi" w:cs="Times New Roman"/>
        </w:rPr>
        <w:instrText xml:space="preserve"> ADDIN EN.CITE &lt;EndNote&gt;&lt;Cite&gt;&lt;Author&gt;D&amp;apos;Hoore&lt;/Author&gt;&lt;Year&gt;1996&lt;/Year&gt;&lt;RecNum&gt;716&lt;/RecNum&gt;&lt;DisplayText&gt;(17)&lt;/DisplayText&gt;&lt;record&gt;&lt;rec-number&gt;716&lt;/rec-number&gt;&lt;foreign-keys&gt;&lt;key app="EN" db-id="fweew0v96zr2xze25xrvwf59dx52x9w0spr9" timestamp="1460980283"&gt;716&lt;/key&gt;&lt;/foreign-keys&gt;&lt;ref-type name="Journal Article"&gt;17&lt;/ref-type&gt;&lt;contributors&gt;&lt;authors&gt;&lt;author&gt;D&amp;apos;Hoore, William&lt;/author&gt;&lt;author&gt;Bouckaert, André&lt;/author&gt;&lt;author&gt;Tilquin, Charles&lt;/author&gt;&lt;/authors&gt;&lt;/contributors&gt;&lt;titles&gt;&lt;title&gt;Practical considerations on the use of the Charlson comorbidity index with administrative data bases&lt;/title&gt;&lt;secondary-title&gt;Journal of clinical epidemiology&lt;/secondary-title&gt;&lt;/titles&gt;&lt;periodical&gt;&lt;full-title&gt;Journal of Clinical Epidemiology&lt;/full-title&gt;&lt;/periodical&gt;&lt;pages&gt;1429-1433&lt;/pages&gt;&lt;volume&gt;49&lt;/volume&gt;&lt;number&gt;12&lt;/number&gt;&lt;dates&gt;&lt;year&gt;1996&lt;/year&gt;&lt;/dates&gt;&lt;isbn&gt;0895-4356&lt;/isbn&gt;&lt;urls&gt;&lt;/urls&gt;&lt;/record&gt;&lt;/Cite&gt;&lt;/EndNote&gt;</w:instrText>
      </w:r>
      <w:r w:rsidR="002604F0">
        <w:rPr>
          <w:rFonts w:eastAsiaTheme="minorHAnsi" w:cs="Times New Roman"/>
        </w:rPr>
        <w:fldChar w:fldCharType="separate"/>
      </w:r>
      <w:r w:rsidR="002604F0">
        <w:rPr>
          <w:rFonts w:eastAsiaTheme="minorHAnsi" w:cs="Times New Roman"/>
          <w:noProof/>
        </w:rPr>
        <w:t>(17)</w:t>
      </w:r>
      <w:r w:rsidR="002604F0">
        <w:rPr>
          <w:rFonts w:eastAsiaTheme="minorHAnsi" w:cs="Times New Roman"/>
        </w:rPr>
        <w:fldChar w:fldCharType="end"/>
      </w:r>
      <w:r w:rsidR="00402D6C" w:rsidRPr="00BC7CA9">
        <w:rPr>
          <w:rFonts w:eastAsiaTheme="minorHAnsi" w:cs="Times New Roman"/>
        </w:rPr>
        <w:t xml:space="preserve">. The </w:t>
      </w:r>
      <w:proofErr w:type="spellStart"/>
      <w:r w:rsidR="00402D6C" w:rsidRPr="00BC7CA9">
        <w:rPr>
          <w:rFonts w:eastAsiaTheme="minorHAnsi" w:cs="Times New Roman"/>
        </w:rPr>
        <w:t>Charlson</w:t>
      </w:r>
      <w:proofErr w:type="spellEnd"/>
      <w:r w:rsidR="00402D6C" w:rsidRPr="00BC7CA9">
        <w:rPr>
          <w:rFonts w:eastAsiaTheme="minorHAnsi" w:cs="Times New Roman"/>
        </w:rPr>
        <w:t xml:space="preserve"> index comprises of chronic conditions that are very unlikely to be related to the PS event. We further condition on the index of multiple </w:t>
      </w:r>
      <w:r w:rsidR="00C74DF2" w:rsidRPr="00BC7CA9">
        <w:rPr>
          <w:rFonts w:eastAsiaTheme="minorHAnsi" w:cs="Times New Roman"/>
        </w:rPr>
        <w:t xml:space="preserve">social </w:t>
      </w:r>
      <w:r w:rsidR="00402D6C" w:rsidRPr="00BC7CA9">
        <w:rPr>
          <w:rFonts w:eastAsiaTheme="minorHAnsi" w:cs="Times New Roman"/>
        </w:rPr>
        <w:t>deprivation of the area of residence of the patients, and on the number of diagnoses reported in the main episode of the patient (excluding the PSI code or codes). Among hospital characteristics, we condition on teaching status, whole time equivalents of medical and nursing staffing, number of beds and bed occupancy rates</w:t>
      </w:r>
      <w:r w:rsidR="00F95375" w:rsidRPr="00BC7CA9">
        <w:rPr>
          <w:rFonts w:eastAsiaTheme="minorHAnsi" w:cs="Times New Roman"/>
        </w:rPr>
        <w:t>.</w:t>
      </w:r>
      <w:r w:rsidR="00B74CCD" w:rsidRPr="00BC7CA9">
        <w:rPr>
          <w:rFonts w:eastAsiaTheme="minorHAnsi" w:cs="Times New Roman"/>
        </w:rPr>
        <w:t xml:space="preserve"> </w:t>
      </w:r>
      <w:r w:rsidR="00C74DF2" w:rsidRPr="00BC7CA9">
        <w:rPr>
          <w:rFonts w:cs="Times New Roman"/>
        </w:rPr>
        <w:t>Summary statistics of covariates for PS compared to non-PS patients</w:t>
      </w:r>
      <w:r w:rsidR="00B74CCD" w:rsidRPr="00BC7CA9">
        <w:rPr>
          <w:rFonts w:cs="Times New Roman"/>
        </w:rPr>
        <w:t xml:space="preserve"> (unmatched control patients)</w:t>
      </w:r>
      <w:r w:rsidR="00C74DF2" w:rsidRPr="00BC7CA9">
        <w:rPr>
          <w:rFonts w:cs="Times New Roman"/>
        </w:rPr>
        <w:t xml:space="preserve"> indicate that the two groups are very different before matching. PS patients are generally of greater medical complexity</w:t>
      </w:r>
      <w:r w:rsidR="009201FF">
        <w:rPr>
          <w:rFonts w:cs="Times New Roman"/>
        </w:rPr>
        <w:t xml:space="preserve"> (tables SDC3a-f)</w:t>
      </w:r>
      <w:r w:rsidR="00C74DF2" w:rsidRPr="00BC7CA9">
        <w:rPr>
          <w:rFonts w:cs="Times New Roman"/>
        </w:rPr>
        <w:t xml:space="preserve">. Differences in covariates is larger for patient than hospital-level covariates.  This indicates that the AHRQ algorithms are not sufficient to establish differences in outcomes between PS and other patients, and that further matching is necessary.  </w:t>
      </w:r>
    </w:p>
    <w:p w14:paraId="025E69CA" w14:textId="77777777" w:rsidR="00C74DF2" w:rsidRPr="00AD00FB" w:rsidRDefault="00C74DF2" w:rsidP="00AD00FB">
      <w:pPr>
        <w:rPr>
          <w:b/>
        </w:rPr>
      </w:pPr>
      <w:bookmarkStart w:id="10" w:name="_Toc420865596"/>
      <w:r w:rsidRPr="00AD00FB">
        <w:rPr>
          <w:b/>
        </w:rPr>
        <w:t>Matching algorithm</w:t>
      </w:r>
      <w:bookmarkEnd w:id="10"/>
    </w:p>
    <w:p w14:paraId="3FD802C3" w14:textId="475216A8" w:rsidR="00C74DF2" w:rsidRPr="00BC7CA9" w:rsidRDefault="00B74CCD" w:rsidP="00BC7CA9">
      <w:pPr>
        <w:spacing w:before="100" w:beforeAutospacing="1" w:line="360" w:lineRule="auto"/>
        <w:ind w:firstLine="720"/>
        <w:jc w:val="both"/>
        <w:rPr>
          <w:rFonts w:eastAsiaTheme="minorHAnsi" w:cs="Times New Roman"/>
        </w:rPr>
      </w:pPr>
      <w:r w:rsidRPr="00BC7CA9">
        <w:rPr>
          <w:rFonts w:cs="Times New Roman"/>
        </w:rPr>
        <w:t xml:space="preserve">We use the logit model to estimate the propensity score, and </w:t>
      </w:r>
      <w:r w:rsidR="00C74DF2" w:rsidRPr="00BC7CA9">
        <w:rPr>
          <w:rFonts w:cs="Times New Roman"/>
        </w:rPr>
        <w:t>STATA MP 13</w:t>
      </w:r>
      <w:r w:rsidRPr="00BC7CA9">
        <w:rPr>
          <w:rFonts w:cs="Times New Roman"/>
        </w:rPr>
        <w:t>’s</w:t>
      </w:r>
      <w:r w:rsidR="00C74DF2" w:rsidRPr="00BC7CA9">
        <w:rPr>
          <w:rFonts w:cs="Times New Roman"/>
        </w:rPr>
        <w:t xml:space="preserve"> </w:t>
      </w:r>
      <w:r w:rsidRPr="00BC7CA9">
        <w:rPr>
          <w:rFonts w:cs="Times New Roman"/>
        </w:rPr>
        <w:t xml:space="preserve">psmatch2 command </w:t>
      </w:r>
      <w:r w:rsidR="002604F0">
        <w:rPr>
          <w:rFonts w:cs="Times New Roman"/>
        </w:rPr>
        <w:fldChar w:fldCharType="begin"/>
      </w:r>
      <w:r w:rsidR="002604F0">
        <w:rPr>
          <w:rFonts w:cs="Times New Roman"/>
        </w:rPr>
        <w:instrText xml:space="preserve"> ADDIN EN.CITE &lt;EndNote&gt;&lt;Cite&gt;&lt;Author&gt;StataCorp&lt;/Author&gt;&lt;Year&gt;2013&lt;/Year&gt;&lt;RecNum&gt;721&lt;/RecNum&gt;&lt;DisplayText&gt;(18)&lt;/DisplayText&gt;&lt;record&gt;&lt;rec-number&gt;721&lt;/rec-number&gt;&lt;foreign-keys&gt;&lt;key app="EN" db-id="fweew0v96zr2xze25xrvwf59dx52x9w0spr9" timestamp="1460980283"&gt;721&lt;/key&gt;&lt;/foreign-keys&gt;&lt;ref-type name="Unpublished Work"&gt;34&lt;/ref-type&gt;&lt;contributors&gt;&lt;authors&gt;&lt;author&gt;StataCorp&lt;/author&gt;&lt;/authors&gt;&lt;/contributors&gt;&lt;titles&gt;&lt;title&gt;Stata 13 Base Reference Manual&lt;/title&gt;&lt;/titles&gt;&lt;dates&gt;&lt;year&gt;2013&lt;/year&gt;&lt;/dates&gt;&lt;pub-location&gt;College Station, TX&lt;/pub-location&gt;&lt;publisher&gt;Stata Press&lt;/publisher&gt;&lt;urls&gt;&lt;/urls&gt;&lt;/record&gt;&lt;/Cite&gt;&lt;/EndNote&gt;</w:instrText>
      </w:r>
      <w:r w:rsidR="002604F0">
        <w:rPr>
          <w:rFonts w:cs="Times New Roman"/>
        </w:rPr>
        <w:fldChar w:fldCharType="separate"/>
      </w:r>
      <w:r w:rsidR="002604F0">
        <w:rPr>
          <w:rFonts w:cs="Times New Roman"/>
          <w:noProof/>
        </w:rPr>
        <w:t>(18)</w:t>
      </w:r>
      <w:r w:rsidR="002604F0">
        <w:rPr>
          <w:rFonts w:cs="Times New Roman"/>
        </w:rPr>
        <w:fldChar w:fldCharType="end"/>
      </w:r>
      <w:r w:rsidR="00C74DF2" w:rsidRPr="00BC7CA9">
        <w:rPr>
          <w:rFonts w:cs="Times New Roman"/>
        </w:rPr>
        <w:t xml:space="preserve"> </w:t>
      </w:r>
      <w:r w:rsidR="000853D6" w:rsidRPr="00BC7CA9">
        <w:rPr>
          <w:rFonts w:cs="Times New Roman"/>
        </w:rPr>
        <w:t xml:space="preserve">for </w:t>
      </w:r>
      <w:r w:rsidR="00C74DF2" w:rsidRPr="00BC7CA9">
        <w:rPr>
          <w:rFonts w:cs="Times New Roman"/>
        </w:rPr>
        <w:t>the propensity score estimation</w:t>
      </w:r>
      <w:r w:rsidR="00C74DF2" w:rsidRPr="00BC7CA9">
        <w:rPr>
          <w:rFonts w:eastAsiaTheme="minorHAnsi" w:cs="Times New Roman"/>
        </w:rPr>
        <w:t xml:space="preserve"> and estimation of the ATTs, and </w:t>
      </w:r>
      <w:proofErr w:type="spellStart"/>
      <w:r w:rsidR="00C74DF2" w:rsidRPr="00BC7CA9">
        <w:rPr>
          <w:rFonts w:eastAsiaTheme="minorHAnsi" w:cs="Times New Roman"/>
        </w:rPr>
        <w:t>pstest</w:t>
      </w:r>
      <w:proofErr w:type="spellEnd"/>
      <w:r w:rsidR="00C74DF2" w:rsidRPr="00BC7CA9">
        <w:rPr>
          <w:rFonts w:eastAsiaTheme="minorHAnsi" w:cs="Times New Roman"/>
        </w:rPr>
        <w:t xml:space="preserve"> for implementing the various tests of covariate balance before and after matching </w:t>
      </w:r>
      <w:r w:rsidR="002604F0">
        <w:rPr>
          <w:rFonts w:eastAsiaTheme="minorHAnsi" w:cs="Times New Roman"/>
        </w:rPr>
        <w:fldChar w:fldCharType="begin"/>
      </w:r>
      <w:r w:rsidR="002604F0">
        <w:rPr>
          <w:rFonts w:eastAsiaTheme="minorHAnsi" w:cs="Times New Roman"/>
        </w:rPr>
        <w:instrText xml:space="preserve"> ADDIN EN.CITE &lt;EndNote&gt;&lt;Cite&gt;&lt;Author&gt;StataCorp&lt;/Author&gt;&lt;Year&gt;2013&lt;/Year&gt;&lt;RecNum&gt;721&lt;/RecNum&gt;&lt;DisplayText&gt;(18)&lt;/DisplayText&gt;&lt;record&gt;&lt;rec-number&gt;721&lt;/rec-number&gt;&lt;foreign-keys&gt;&lt;key app="EN" db-id="fweew0v96zr2xze25xrvwf59dx52x9w0spr9" timestamp="1460980283"&gt;721&lt;/key&gt;&lt;/foreign-keys&gt;&lt;ref-type name="Unpublished Work"&gt;34&lt;/ref-type&gt;&lt;contributors&gt;&lt;authors&gt;&lt;author&gt;StataCorp&lt;/author&gt;&lt;/authors&gt;&lt;/contributors&gt;&lt;titles&gt;&lt;title&gt;Stata 13 Base Reference Manual&lt;/title&gt;&lt;/titles&gt;&lt;dates&gt;&lt;year&gt;2013&lt;/year&gt;&lt;/dates&gt;&lt;pub-location&gt;College Station, TX&lt;/pub-location&gt;&lt;publisher&gt;Stata Press&lt;/publisher&gt;&lt;urls&gt;&lt;/urls&gt;&lt;/record&gt;&lt;/Cite&gt;&lt;/EndNote&gt;</w:instrText>
      </w:r>
      <w:r w:rsidR="002604F0">
        <w:rPr>
          <w:rFonts w:eastAsiaTheme="minorHAnsi" w:cs="Times New Roman"/>
        </w:rPr>
        <w:fldChar w:fldCharType="separate"/>
      </w:r>
      <w:r w:rsidR="002604F0">
        <w:rPr>
          <w:rFonts w:eastAsiaTheme="minorHAnsi" w:cs="Times New Roman"/>
          <w:noProof/>
        </w:rPr>
        <w:t>(18)</w:t>
      </w:r>
      <w:r w:rsidR="002604F0">
        <w:rPr>
          <w:rFonts w:eastAsiaTheme="minorHAnsi" w:cs="Times New Roman"/>
        </w:rPr>
        <w:fldChar w:fldCharType="end"/>
      </w:r>
      <w:r w:rsidRPr="00BC7CA9">
        <w:rPr>
          <w:rFonts w:eastAsiaTheme="minorHAnsi" w:cs="Times New Roman"/>
        </w:rPr>
        <w:t xml:space="preserve">. We undertake separate estimations for all years and PSIs. </w:t>
      </w:r>
      <w:r w:rsidR="00C74DF2" w:rsidRPr="00BC7CA9">
        <w:rPr>
          <w:rFonts w:eastAsiaTheme="minorHAnsi" w:cs="Times New Roman"/>
        </w:rPr>
        <w:t xml:space="preserve">We use nearest neighbour (NN) matching as the matching algorithm.  Individuals from the control group </w:t>
      </w:r>
      <w:r w:rsidRPr="00BC7CA9">
        <w:rPr>
          <w:rFonts w:eastAsiaTheme="minorHAnsi" w:cs="Times New Roman"/>
        </w:rPr>
        <w:t>are</w:t>
      </w:r>
      <w:r w:rsidR="00C74DF2" w:rsidRPr="00BC7CA9">
        <w:rPr>
          <w:rFonts w:eastAsiaTheme="minorHAnsi" w:cs="Times New Roman"/>
        </w:rPr>
        <w:t xml:space="preserve"> chosen as matching partner for a PS patient that are closest in terms of the propensity score.  We do not allow replacement, therefore a control patient can only be used once as a match.  If there are more than one </w:t>
      </w:r>
      <w:proofErr w:type="spellStart"/>
      <w:r w:rsidR="00C74DF2" w:rsidRPr="00BC7CA9">
        <w:rPr>
          <w:rFonts w:eastAsiaTheme="minorHAnsi" w:cs="Times New Roman"/>
        </w:rPr>
        <w:t>neigbhour</w:t>
      </w:r>
      <w:proofErr w:type="spellEnd"/>
      <w:r w:rsidR="00C74DF2" w:rsidRPr="00BC7CA9">
        <w:rPr>
          <w:rFonts w:eastAsiaTheme="minorHAnsi" w:cs="Times New Roman"/>
        </w:rPr>
        <w:t xml:space="preserve"> with identical propensity scores (tied matches), we use all control patients with identical propensity scores in the calculation of the treatment effects.  We set the </w:t>
      </w:r>
      <w:proofErr w:type="spellStart"/>
      <w:r w:rsidR="00C74DF2" w:rsidRPr="00BC7CA9">
        <w:rPr>
          <w:rFonts w:eastAsiaTheme="minorHAnsi" w:cs="Times New Roman"/>
        </w:rPr>
        <w:t>caliper</w:t>
      </w:r>
      <w:proofErr w:type="spellEnd"/>
      <w:r w:rsidR="00C74DF2" w:rsidRPr="00BC7CA9">
        <w:rPr>
          <w:rFonts w:eastAsiaTheme="minorHAnsi" w:cs="Times New Roman"/>
        </w:rPr>
        <w:t xml:space="preserve"> width at 0.00002 for all PSIs and years, which is well below the recommended 0.2 of the standard deviation of the propensity score </w:t>
      </w:r>
      <w:r w:rsidR="002604F0">
        <w:rPr>
          <w:rFonts w:eastAsiaTheme="minorHAnsi" w:cs="Times New Roman"/>
        </w:rPr>
        <w:fldChar w:fldCharType="begin"/>
      </w:r>
      <w:r w:rsidR="002604F0">
        <w:rPr>
          <w:rFonts w:eastAsiaTheme="minorHAnsi" w:cs="Times New Roman"/>
        </w:rPr>
        <w:instrText xml:space="preserve"> ADDIN EN.CITE &lt;EndNote&gt;&lt;Cite&gt;&lt;Author&gt;Austin&lt;/Author&gt;&lt;Year&gt;2009&lt;/Year&gt;&lt;RecNum&gt;746&lt;/RecNum&gt;&lt;DisplayText&gt;(19)&lt;/DisplayText&gt;&lt;record&gt;&lt;rec-number&gt;746&lt;/rec-number&gt;&lt;foreign-keys&gt;&lt;key app="EN" db-id="fweew0v96zr2xze25xrvwf59dx52x9w0spr9" timestamp="1460980283"&gt;746&lt;/key&gt;&lt;/foreign-keys&gt;&lt;ref-type name="Journal Article"&gt;17&lt;/ref-type&gt;&lt;contributors&gt;&lt;authors&gt;&lt;author&gt;Austin, Peter C.&lt;/author&gt;&lt;/authors&gt;&lt;/contributors&gt;&lt;titles&gt;&lt;title&gt;Balance diagnostics for comparing the distribution of baseline covariates between treatment groups in propensity-score matched samples&lt;/title&gt;&lt;secondary-title&gt;Statistics in Medicine&lt;/secondary-title&gt;&lt;/titles&gt;&lt;periodical&gt;&lt;full-title&gt;Statistics in Medicine&lt;/full-title&gt;&lt;/periodical&gt;&lt;pages&gt;3083-3107&lt;/pages&gt;&lt;volume&gt;28&lt;/volume&gt;&lt;number&gt;25&lt;/number&gt;&lt;keywords&gt;&lt;keyword&gt;balance&lt;/keyword&gt;&lt;keyword&gt;goodness-of-fit&lt;/keyword&gt;&lt;keyword&gt;observational study&lt;/keyword&gt;&lt;keyword&gt;propensity score&lt;/keyword&gt;&lt;keyword&gt;matching&lt;/keyword&gt;&lt;keyword&gt;propensity-score matching&lt;/keyword&gt;&lt;keyword&gt;standardized difference&lt;/keyword&gt;&lt;keyword&gt;bias&lt;/keyword&gt;&lt;/keywords&gt;&lt;dates&gt;&lt;year&gt;2009&lt;/year&gt;&lt;/dates&gt;&lt;publisher&gt;John Wiley &amp;amp; Sons, Ltd.&lt;/publisher&gt;&lt;isbn&gt;1097-0258&lt;/isbn&gt;&lt;urls&gt;&lt;related-urls&gt;&lt;url&gt;http://dx.doi.org/10.1002/sim.3697&lt;/url&gt;&lt;/related-urls&gt;&lt;/urls&gt;&lt;electronic-resource-num&gt;10.1002/sim.3697&lt;/electronic-resource-num&gt;&lt;/record&gt;&lt;/Cite&gt;&lt;/EndNote&gt;</w:instrText>
      </w:r>
      <w:r w:rsidR="002604F0">
        <w:rPr>
          <w:rFonts w:eastAsiaTheme="minorHAnsi" w:cs="Times New Roman"/>
        </w:rPr>
        <w:fldChar w:fldCharType="separate"/>
      </w:r>
      <w:r w:rsidR="002604F0">
        <w:rPr>
          <w:rFonts w:eastAsiaTheme="minorHAnsi" w:cs="Times New Roman"/>
          <w:noProof/>
        </w:rPr>
        <w:t>(19)</w:t>
      </w:r>
      <w:r w:rsidR="002604F0">
        <w:rPr>
          <w:rFonts w:eastAsiaTheme="minorHAnsi" w:cs="Times New Roman"/>
        </w:rPr>
        <w:fldChar w:fldCharType="end"/>
      </w:r>
      <w:r w:rsidR="00C74DF2" w:rsidRPr="00BC7CA9">
        <w:rPr>
          <w:rFonts w:eastAsiaTheme="minorHAnsi" w:cs="Times New Roman"/>
        </w:rPr>
        <w:t>.  This implies that the first four digits of the propensity score are exactly matched, and there is a max difference o</w:t>
      </w:r>
      <w:r w:rsidRPr="00BC7CA9">
        <w:rPr>
          <w:rFonts w:eastAsiaTheme="minorHAnsi" w:cs="Times New Roman"/>
        </w:rPr>
        <w:t xml:space="preserve">f 2 points in the fifth digit. </w:t>
      </w:r>
      <w:r w:rsidR="00C74DF2" w:rsidRPr="00BC7CA9">
        <w:rPr>
          <w:rFonts w:eastAsiaTheme="minorHAnsi" w:cs="Times New Roman"/>
        </w:rPr>
        <w:t xml:space="preserve">We conducted sensitivity analysis on a smaller </w:t>
      </w:r>
      <w:proofErr w:type="spellStart"/>
      <w:r w:rsidR="00C74DF2" w:rsidRPr="00BC7CA9">
        <w:rPr>
          <w:rFonts w:eastAsiaTheme="minorHAnsi" w:cs="Times New Roman"/>
        </w:rPr>
        <w:t>caliper</w:t>
      </w:r>
      <w:proofErr w:type="spellEnd"/>
      <w:r w:rsidR="00C74DF2" w:rsidRPr="00BC7CA9">
        <w:rPr>
          <w:rFonts w:eastAsiaTheme="minorHAnsi" w:cs="Times New Roman"/>
        </w:rPr>
        <w:t xml:space="preserve"> width of 0.00001 but this does not make a material difference to results.  </w:t>
      </w:r>
      <w:r w:rsidR="00C74DF2" w:rsidRPr="00BC7CA9">
        <w:rPr>
          <w:rFonts w:cs="Times New Roman"/>
        </w:rPr>
        <w:t xml:space="preserve">We exclude PS patients and controls that are off the </w:t>
      </w:r>
      <w:r w:rsidR="00C74DF2" w:rsidRPr="00BC7CA9">
        <w:rPr>
          <w:rFonts w:cs="Times New Roman"/>
        </w:rPr>
        <w:lastRenderedPageBreak/>
        <w:t xml:space="preserve">common support, i.e. for which a match </w:t>
      </w:r>
      <w:r w:rsidR="00C74DF2" w:rsidRPr="00BC7CA9">
        <w:rPr>
          <w:rFonts w:eastAsiaTheme="minorHAnsi" w:cs="Times New Roman"/>
        </w:rPr>
        <w:t>cannot be found because the there is no patient with a similar propensity score.  We order observations randomly before matching.</w:t>
      </w:r>
      <w:r w:rsidRPr="00BC7CA9">
        <w:rPr>
          <w:rFonts w:eastAsiaTheme="minorHAnsi" w:cs="Times New Roman"/>
        </w:rPr>
        <w:t xml:space="preserve"> </w:t>
      </w:r>
    </w:p>
    <w:p w14:paraId="5CEECD47" w14:textId="6137D223" w:rsidR="00C74DF2" w:rsidRPr="009964C1" w:rsidRDefault="00C74DF2" w:rsidP="003B1D25">
      <w:pPr>
        <w:spacing w:before="100" w:beforeAutospacing="1" w:line="360" w:lineRule="auto"/>
        <w:ind w:firstLine="720"/>
        <w:jc w:val="both"/>
        <w:rPr>
          <w:rFonts w:eastAsiaTheme="minorHAnsi" w:cs="Times New Roman"/>
        </w:rPr>
      </w:pPr>
      <w:r w:rsidRPr="00BC7CA9">
        <w:rPr>
          <w:rFonts w:cs="Times New Roman"/>
        </w:rPr>
        <w:t xml:space="preserve">Table </w:t>
      </w:r>
      <w:r w:rsidR="003F3159" w:rsidRPr="00BC7CA9">
        <w:rPr>
          <w:rFonts w:cs="Times New Roman"/>
        </w:rPr>
        <w:t>S</w:t>
      </w:r>
      <w:r w:rsidR="00AA3A85">
        <w:rPr>
          <w:rFonts w:cs="Times New Roman"/>
        </w:rPr>
        <w:t>DC</w:t>
      </w:r>
      <w:r w:rsidR="003F3159" w:rsidRPr="00BC7CA9">
        <w:rPr>
          <w:rFonts w:cs="Times New Roman"/>
        </w:rPr>
        <w:t>4</w:t>
      </w:r>
      <w:r w:rsidRPr="00BC7CA9">
        <w:rPr>
          <w:rFonts w:cs="Times New Roman"/>
        </w:rPr>
        <w:t xml:space="preserve"> presents summary statistics for the propensity score</w:t>
      </w:r>
      <w:r w:rsidR="00F44CE1">
        <w:rPr>
          <w:rFonts w:cs="Times New Roman"/>
        </w:rPr>
        <w:t xml:space="preserve"> matching</w:t>
      </w:r>
      <w:r w:rsidRPr="00BC7CA9">
        <w:rPr>
          <w:rFonts w:cs="Times New Roman"/>
        </w:rPr>
        <w:t xml:space="preserve"> estimation, separately by PSI and year. Presented are the number of PS patients</w:t>
      </w:r>
      <w:r w:rsidR="0042514F">
        <w:rPr>
          <w:rFonts w:cs="Times New Roman"/>
        </w:rPr>
        <w:t xml:space="preserve"> and</w:t>
      </w:r>
      <w:r w:rsidR="003F3159" w:rsidRPr="00BC7CA9">
        <w:rPr>
          <w:rFonts w:cs="Times New Roman"/>
        </w:rPr>
        <w:t xml:space="preserve"> </w:t>
      </w:r>
      <w:r w:rsidRPr="00BC7CA9">
        <w:rPr>
          <w:rFonts w:cs="Times New Roman"/>
        </w:rPr>
        <w:t>control</w:t>
      </w:r>
      <w:r w:rsidR="0042514F">
        <w:rPr>
          <w:rFonts w:cs="Times New Roman"/>
        </w:rPr>
        <w:t xml:space="preserve"> patient</w:t>
      </w:r>
      <w:r w:rsidRPr="00BC7CA9">
        <w:rPr>
          <w:rFonts w:cs="Times New Roman"/>
        </w:rPr>
        <w:t xml:space="preserve">s </w:t>
      </w:r>
      <w:r w:rsidR="0042514F">
        <w:rPr>
          <w:rFonts w:cs="Times New Roman"/>
        </w:rPr>
        <w:t>before and after matching</w:t>
      </w:r>
      <w:r w:rsidRPr="00BC7CA9">
        <w:rPr>
          <w:rFonts w:eastAsiaTheme="minorHAnsi" w:cs="Times New Roman"/>
        </w:rPr>
        <w:t xml:space="preserve">. </w:t>
      </w:r>
      <w:r w:rsidR="00DF5C16" w:rsidRPr="00BC7CA9">
        <w:rPr>
          <w:rFonts w:eastAsiaTheme="minorHAnsi" w:cs="Times New Roman"/>
        </w:rPr>
        <w:t>For all PSIs except ‘Sepsis’, the number of controls is above one million, and in particular for ‘Deaths’ and ‘DVT/PE’ there are several million of controls that are available for choice of matches.</w:t>
      </w:r>
      <w:r w:rsidRPr="00BC7CA9">
        <w:rPr>
          <w:rFonts w:eastAsiaTheme="minorHAnsi" w:cs="Times New Roman"/>
        </w:rPr>
        <w:t xml:space="preserve"> PS patients </w:t>
      </w:r>
      <w:r w:rsidR="00F04784">
        <w:rPr>
          <w:rFonts w:eastAsiaTheme="minorHAnsi" w:cs="Times New Roman"/>
        </w:rPr>
        <w:t xml:space="preserve">were dropped from the estimation if </w:t>
      </w:r>
      <w:r w:rsidR="009201FF">
        <w:rPr>
          <w:rFonts w:eastAsiaTheme="minorHAnsi" w:cs="Times New Roman"/>
        </w:rPr>
        <w:t xml:space="preserve">there were </w:t>
      </w:r>
      <w:r w:rsidR="00F04784">
        <w:rPr>
          <w:rFonts w:eastAsiaTheme="minorHAnsi" w:cs="Times New Roman"/>
        </w:rPr>
        <w:t>missing values on covariates</w:t>
      </w:r>
      <w:r w:rsidR="00F44CE1">
        <w:rPr>
          <w:rFonts w:eastAsiaTheme="minorHAnsi" w:cs="Times New Roman"/>
        </w:rPr>
        <w:t xml:space="preserve">, and </w:t>
      </w:r>
      <w:r w:rsidR="00C24758">
        <w:rPr>
          <w:rFonts w:eastAsiaTheme="minorHAnsi" w:cs="Times New Roman"/>
        </w:rPr>
        <w:t xml:space="preserve">more importantly, if </w:t>
      </w:r>
      <w:r w:rsidR="009201FF">
        <w:rPr>
          <w:rFonts w:eastAsiaTheme="minorHAnsi" w:cs="Times New Roman"/>
        </w:rPr>
        <w:t xml:space="preserve">they </w:t>
      </w:r>
      <w:r w:rsidR="00F44CE1">
        <w:rPr>
          <w:rFonts w:eastAsiaTheme="minorHAnsi" w:cs="Times New Roman"/>
        </w:rPr>
        <w:t xml:space="preserve">were off the common support (the number </w:t>
      </w:r>
      <w:r w:rsidR="00F44CE1">
        <w:rPr>
          <w:rFonts w:cs="Times New Roman"/>
        </w:rPr>
        <w:t>p</w:t>
      </w:r>
      <w:r w:rsidR="00F44CE1" w:rsidRPr="00BC7CA9">
        <w:rPr>
          <w:rFonts w:cs="Times New Roman"/>
        </w:rPr>
        <w:t xml:space="preserve">resented </w:t>
      </w:r>
      <w:r w:rsidR="00F44CE1">
        <w:rPr>
          <w:rFonts w:cs="Times New Roman"/>
        </w:rPr>
        <w:t xml:space="preserve">in the final column). </w:t>
      </w:r>
      <w:r w:rsidR="00EF5F1B">
        <w:rPr>
          <w:rFonts w:cs="Times New Roman"/>
        </w:rPr>
        <w:t xml:space="preserve">Given the large number of control patients, </w:t>
      </w:r>
      <w:r w:rsidR="007268B8">
        <w:rPr>
          <w:rFonts w:cs="Times New Roman"/>
        </w:rPr>
        <w:t xml:space="preserve">above 98% of </w:t>
      </w:r>
      <w:r w:rsidR="002B4217">
        <w:rPr>
          <w:rFonts w:cs="Times New Roman"/>
        </w:rPr>
        <w:t>PS</w:t>
      </w:r>
      <w:r w:rsidR="00C24758">
        <w:rPr>
          <w:rFonts w:cs="Times New Roman"/>
        </w:rPr>
        <w:t xml:space="preserve"> patients w</w:t>
      </w:r>
      <w:r w:rsidR="00EF5F1B">
        <w:rPr>
          <w:rFonts w:cs="Times New Roman"/>
        </w:rPr>
        <w:t xml:space="preserve">ere generally </w:t>
      </w:r>
      <w:r w:rsidR="00C24758">
        <w:rPr>
          <w:rFonts w:cs="Times New Roman"/>
        </w:rPr>
        <w:t xml:space="preserve">well </w:t>
      </w:r>
      <w:r w:rsidR="00EF5F1B">
        <w:rPr>
          <w:rFonts w:cs="Times New Roman"/>
        </w:rPr>
        <w:t xml:space="preserve">matched with </w:t>
      </w:r>
      <w:r w:rsidR="007268B8">
        <w:rPr>
          <w:rFonts w:cs="Times New Roman"/>
        </w:rPr>
        <w:t>their closest controls</w:t>
      </w:r>
      <w:r w:rsidR="00D6363D">
        <w:rPr>
          <w:rFonts w:cs="Times New Roman"/>
        </w:rPr>
        <w:t xml:space="preserve">; </w:t>
      </w:r>
      <w:r w:rsidR="002B4217">
        <w:rPr>
          <w:rFonts w:cs="Times New Roman"/>
        </w:rPr>
        <w:t>while</w:t>
      </w:r>
      <w:r w:rsidR="00D6363D">
        <w:rPr>
          <w:rFonts w:cs="Times New Roman"/>
        </w:rPr>
        <w:t xml:space="preserve"> for PS patients experiencing `Death’ and `Sepsis’, </w:t>
      </w:r>
      <w:r w:rsidR="00C24758">
        <w:rPr>
          <w:rFonts w:cs="Times New Roman"/>
        </w:rPr>
        <w:t xml:space="preserve">there are a comparably large number of patients off common support, resulting </w:t>
      </w:r>
      <w:r w:rsidR="009201FF">
        <w:rPr>
          <w:rFonts w:cs="Times New Roman"/>
        </w:rPr>
        <w:t>in a lower but still satisfactory</w:t>
      </w:r>
      <w:r w:rsidR="00D6363D">
        <w:rPr>
          <w:rFonts w:cs="Times New Roman"/>
        </w:rPr>
        <w:t xml:space="preserve"> percentage of matchi</w:t>
      </w:r>
      <w:r w:rsidR="00C24758">
        <w:rPr>
          <w:rFonts w:cs="Times New Roman"/>
        </w:rPr>
        <w:t xml:space="preserve">ng patients </w:t>
      </w:r>
      <w:r w:rsidR="00D6363D">
        <w:rPr>
          <w:rFonts w:cs="Times New Roman"/>
        </w:rPr>
        <w:t xml:space="preserve">ranging from 91% </w:t>
      </w:r>
      <w:r w:rsidR="00C24758">
        <w:rPr>
          <w:rFonts w:cs="Times New Roman"/>
        </w:rPr>
        <w:t xml:space="preserve">to 95%. </w:t>
      </w:r>
      <w:r w:rsidRPr="00BC7CA9">
        <w:rPr>
          <w:rFonts w:eastAsiaTheme="minorHAnsi" w:cs="Times New Roman"/>
        </w:rPr>
        <w:t xml:space="preserve">The number of matched control patients may exceed the number of PS patients because we allow tied matches.  </w:t>
      </w:r>
    </w:p>
    <w:p w14:paraId="384ED7C4" w14:textId="32E2CB5D" w:rsidR="003F3159" w:rsidRPr="00AD00FB" w:rsidRDefault="000853D6" w:rsidP="00AD00FB">
      <w:pPr>
        <w:rPr>
          <w:b/>
        </w:rPr>
      </w:pPr>
      <w:bookmarkStart w:id="11" w:name="_Toc420865597"/>
      <w:r w:rsidRPr="00AD00FB">
        <w:rPr>
          <w:b/>
        </w:rPr>
        <w:t>D</w:t>
      </w:r>
      <w:r w:rsidR="003F3159" w:rsidRPr="00AD00FB">
        <w:rPr>
          <w:b/>
        </w:rPr>
        <w:t xml:space="preserve">iagnostics for </w:t>
      </w:r>
      <w:bookmarkEnd w:id="11"/>
      <w:r w:rsidRPr="00AD00FB">
        <w:rPr>
          <w:b/>
        </w:rPr>
        <w:t>validity of propensity score matching</w:t>
      </w:r>
    </w:p>
    <w:p w14:paraId="7805E8A2" w14:textId="508C08A6" w:rsidR="00B74CCD" w:rsidRPr="00BC7CA9" w:rsidRDefault="003F3159" w:rsidP="00BC7CA9">
      <w:pPr>
        <w:spacing w:before="100" w:beforeAutospacing="1" w:line="360" w:lineRule="auto"/>
        <w:ind w:firstLine="720"/>
        <w:jc w:val="both"/>
        <w:rPr>
          <w:rFonts w:eastAsiaTheme="minorHAnsi" w:cs="Times New Roman"/>
        </w:rPr>
      </w:pPr>
      <w:r w:rsidRPr="00BC7CA9">
        <w:rPr>
          <w:rFonts w:eastAsiaTheme="minorHAnsi" w:cs="Times New Roman"/>
        </w:rPr>
        <w:t xml:space="preserve">We evaluate the validity of the matching with a number of tests recommended in the literature </w:t>
      </w:r>
      <w:r w:rsidR="002604F0">
        <w:rPr>
          <w:rFonts w:eastAsiaTheme="minorHAnsi" w:cs="Times New Roman"/>
        </w:rPr>
        <w:fldChar w:fldCharType="begin">
          <w:fldData xml:space="preserve">PEVuZE5vdGU+PENpdGU+PEF1dGhvcj5BdXN0aW48L0F1dGhvcj48WWVhcj4yMDA3PC9ZZWFyPjxS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</w:fldData>
        </w:fldChar>
      </w:r>
      <w:r w:rsidR="002604F0">
        <w:rPr>
          <w:rFonts w:eastAsiaTheme="minorHAnsi" w:cs="Times New Roman"/>
        </w:rPr>
        <w:instrText xml:space="preserve"> ADDIN EN.CITE </w:instrText>
      </w:r>
      <w:r w:rsidR="002604F0">
        <w:rPr>
          <w:rFonts w:eastAsiaTheme="minorHAnsi" w:cs="Times New Roman"/>
        </w:rPr>
        <w:fldChar w:fldCharType="begin">
          <w:fldData xml:space="preserve">PEVuZE5vdGU+PENpdGU+PEF1dGhvcj5BdXN0aW48L0F1dGhvcj48WWVhcj4yMDA3PC9ZZWFyPjxS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</w:fldData>
        </w:fldChar>
      </w:r>
      <w:r w:rsidR="002604F0">
        <w:rPr>
          <w:rFonts w:eastAsiaTheme="minorHAnsi" w:cs="Times New Roman"/>
        </w:rPr>
        <w:instrText xml:space="preserve"> ADDIN EN.CITE.DATA </w:instrText>
      </w:r>
      <w:r w:rsidR="002604F0">
        <w:rPr>
          <w:rFonts w:eastAsiaTheme="minorHAnsi" w:cs="Times New Roman"/>
        </w:rPr>
      </w:r>
      <w:r w:rsidR="002604F0">
        <w:rPr>
          <w:rFonts w:eastAsiaTheme="minorHAnsi" w:cs="Times New Roman"/>
        </w:rPr>
        <w:fldChar w:fldCharType="end"/>
      </w:r>
      <w:r w:rsidR="002604F0">
        <w:rPr>
          <w:rFonts w:eastAsiaTheme="minorHAnsi" w:cs="Times New Roman"/>
        </w:rPr>
      </w:r>
      <w:r w:rsidR="002604F0">
        <w:rPr>
          <w:rFonts w:eastAsiaTheme="minorHAnsi" w:cs="Times New Roman"/>
        </w:rPr>
        <w:fldChar w:fldCharType="separate"/>
      </w:r>
      <w:r w:rsidR="002604F0">
        <w:rPr>
          <w:rFonts w:eastAsiaTheme="minorHAnsi" w:cs="Times New Roman"/>
          <w:noProof/>
        </w:rPr>
        <w:t>(19-22)</w:t>
      </w:r>
      <w:r w:rsidR="002604F0">
        <w:rPr>
          <w:rFonts w:eastAsiaTheme="minorHAnsi" w:cs="Times New Roman"/>
        </w:rPr>
        <w:fldChar w:fldCharType="end"/>
      </w:r>
      <w:r w:rsidRPr="00BC7CA9">
        <w:rPr>
          <w:rFonts w:eastAsiaTheme="minorHAnsi" w:cs="Times New Roman"/>
        </w:rPr>
        <w:t xml:space="preserve">.  Generally, these are tests for the equality of means of covariates that are used in the matching between the two samples of the PS patients and the control patients, and for the bias -and the reduction in the bias- in the propensity scores before and after matching.  The matched groups need to pass these tests for propensity score adjustment to be trustworthy.  If any of them are not satisfied, the differences between the distributions of covariates in the two samples must be regarded as substantial, and adjustment will be unreliable and calculated treatment effects cannot be trusted.  </w:t>
      </w:r>
      <w:r w:rsidR="00B74CCD" w:rsidRPr="00BC7CA9">
        <w:rPr>
          <w:rFonts w:eastAsiaTheme="minorHAnsi" w:cs="Times New Roman"/>
        </w:rPr>
        <w:t xml:space="preserve">To adjust for differences in sample sizes when comparing means in matched and unmatched groups, the difference between means is commonly assessed with the standardized percentage bias.  This is the % difference of sample means in PS patients and unmatched and matched control patients as a percentage of the square root of the average of the sample variances in the samples of PS and control patients.  </w:t>
      </w:r>
    </w:p>
    <w:p w14:paraId="48CB9002" w14:textId="4D2DA077" w:rsidR="00521127" w:rsidRPr="00BC7CA9" w:rsidRDefault="00B74CCD" w:rsidP="00521127">
      <w:pPr>
        <w:widowControl w:val="0"/>
        <w:autoSpaceDE w:val="0"/>
        <w:autoSpaceDN w:val="0"/>
        <w:adjustRightInd w:val="0"/>
        <w:spacing w:before="100" w:beforeAutospacing="1" w:after="240" w:line="360" w:lineRule="auto"/>
        <w:ind w:firstLine="720"/>
        <w:jc w:val="both"/>
        <w:rPr>
          <w:rFonts w:cs="Times New Roman"/>
        </w:rPr>
      </w:pPr>
      <w:r w:rsidRPr="00BC7CA9">
        <w:rPr>
          <w:rFonts w:eastAsiaTheme="minorHAnsi" w:cs="Times New Roman"/>
        </w:rPr>
        <w:t>For each PSI and year, we calculate the standardized percentage bias ‘%</w:t>
      </w:r>
      <w:proofErr w:type="spellStart"/>
      <w:r w:rsidRPr="00BC7CA9">
        <w:rPr>
          <w:rFonts w:eastAsiaTheme="minorHAnsi" w:cs="Times New Roman"/>
        </w:rPr>
        <w:t>bias’</w:t>
      </w:r>
      <w:proofErr w:type="spellEnd"/>
      <w:r w:rsidRPr="00BC7CA9">
        <w:rPr>
          <w:rFonts w:eastAsiaTheme="minorHAnsi" w:cs="Times New Roman"/>
        </w:rPr>
        <w:t xml:space="preserve"> in the means of all covariates for PS and unmatched and matched control patients.  This should be less than 10% after matching; a zero value for %bias would indicate that the groups are perfectly matched (Austin 2009).  </w:t>
      </w:r>
      <w:r w:rsidR="000A7A6A" w:rsidRPr="00BC7CA9">
        <w:rPr>
          <w:rFonts w:eastAsiaTheme="minorHAnsi" w:cs="Times New Roman"/>
        </w:rPr>
        <w:t xml:space="preserve">We experimented with alternative model specifications (five nearest neighbours, stricter </w:t>
      </w:r>
      <w:proofErr w:type="spellStart"/>
      <w:r w:rsidR="000A7A6A" w:rsidRPr="00BC7CA9">
        <w:rPr>
          <w:rFonts w:eastAsiaTheme="minorHAnsi" w:cs="Times New Roman"/>
        </w:rPr>
        <w:t>caliper</w:t>
      </w:r>
      <w:proofErr w:type="spellEnd"/>
      <w:r w:rsidR="000A7A6A" w:rsidRPr="00BC7CA9">
        <w:rPr>
          <w:rFonts w:eastAsiaTheme="minorHAnsi" w:cs="Times New Roman"/>
        </w:rPr>
        <w:t xml:space="preserve"> widths, alternative matching algorithms, and allowing replacing), and settled on the final specification on basis of the most favourable balancing diagnostics with %bias below 10% for all covariates. </w:t>
      </w:r>
      <w:r w:rsidRPr="00BC7CA9">
        <w:rPr>
          <w:rFonts w:eastAsiaTheme="minorHAnsi" w:cs="Times New Roman"/>
        </w:rPr>
        <w:t>T</w:t>
      </w:r>
      <w:r w:rsidRPr="00BC7CA9">
        <w:rPr>
          <w:rFonts w:cs="Times New Roman"/>
        </w:rPr>
        <w:t xml:space="preserve">ables </w:t>
      </w:r>
      <w:r w:rsidRPr="00BC7CA9">
        <w:rPr>
          <w:rFonts w:cs="Times New Roman"/>
        </w:rPr>
        <w:lastRenderedPageBreak/>
        <w:t xml:space="preserve">S3a – S3f </w:t>
      </w:r>
      <w:r w:rsidR="000A7A6A" w:rsidRPr="00BC7CA9">
        <w:rPr>
          <w:rFonts w:cs="Times New Roman"/>
        </w:rPr>
        <w:t xml:space="preserve">show that we achieved this target, although </w:t>
      </w:r>
      <w:r w:rsidRPr="00BC7CA9">
        <w:rPr>
          <w:rFonts w:cs="Times New Roman"/>
        </w:rPr>
        <w:t>before matchi</w:t>
      </w:r>
      <w:r w:rsidR="000A7A6A" w:rsidRPr="00BC7CA9">
        <w:rPr>
          <w:rFonts w:cs="Times New Roman"/>
        </w:rPr>
        <w:t>ng the biases in the covariates were substantial</w:t>
      </w:r>
      <w:r w:rsidR="007F64F4" w:rsidRPr="00BC7CA9">
        <w:rPr>
          <w:rFonts w:cs="Times New Roman"/>
        </w:rPr>
        <w:t xml:space="preserve">, in </w:t>
      </w:r>
      <w:r w:rsidR="000A7A6A" w:rsidRPr="00BC7CA9">
        <w:rPr>
          <w:rFonts w:cs="Times New Roman"/>
        </w:rPr>
        <w:t xml:space="preserve">particular bias in the covariates of </w:t>
      </w:r>
      <w:r w:rsidRPr="00BC7CA9">
        <w:rPr>
          <w:rFonts w:cs="Times New Roman"/>
        </w:rPr>
        <w:t>patient complexity.  For most samples, number of diagnoses is the most badly balanced covariate</w:t>
      </w:r>
      <w:r w:rsidRPr="00BC7CA9">
        <w:rPr>
          <w:rFonts w:eastAsiaTheme="minorHAnsi" w:cs="Times New Roman"/>
        </w:rPr>
        <w:t xml:space="preserve">, with biases exceeding 100% for most PSI and years.  This implies that PS patients have a greater number of </w:t>
      </w:r>
      <w:proofErr w:type="spellStart"/>
      <w:r w:rsidRPr="00BC7CA9">
        <w:rPr>
          <w:rFonts w:eastAsiaTheme="minorHAnsi" w:cs="Times New Roman"/>
        </w:rPr>
        <w:t>comorbities</w:t>
      </w:r>
      <w:proofErr w:type="spellEnd"/>
      <w:r w:rsidRPr="00BC7CA9">
        <w:rPr>
          <w:rFonts w:eastAsiaTheme="minorHAnsi" w:cs="Times New Roman"/>
        </w:rPr>
        <w:t xml:space="preserve"> than controls before matching.  Age </w:t>
      </w:r>
      <w:r w:rsidR="000A7A6A" w:rsidRPr="00BC7CA9">
        <w:rPr>
          <w:rFonts w:eastAsiaTheme="minorHAnsi" w:cs="Times New Roman"/>
        </w:rPr>
        <w:t xml:space="preserve">and the </w:t>
      </w:r>
      <w:proofErr w:type="spellStart"/>
      <w:r w:rsidR="000A7A6A" w:rsidRPr="00BC7CA9">
        <w:rPr>
          <w:rFonts w:eastAsiaTheme="minorHAnsi" w:cs="Times New Roman"/>
        </w:rPr>
        <w:t>Charlson</w:t>
      </w:r>
      <w:proofErr w:type="spellEnd"/>
      <w:r w:rsidR="000A7A6A" w:rsidRPr="00BC7CA9">
        <w:rPr>
          <w:rFonts w:eastAsiaTheme="minorHAnsi" w:cs="Times New Roman"/>
        </w:rPr>
        <w:t xml:space="preserve"> index of comorbidities </w:t>
      </w:r>
      <w:r w:rsidRPr="00BC7CA9">
        <w:rPr>
          <w:rFonts w:eastAsiaTheme="minorHAnsi" w:cs="Times New Roman"/>
        </w:rPr>
        <w:t>ha</w:t>
      </w:r>
      <w:r w:rsidR="000A7A6A" w:rsidRPr="00BC7CA9">
        <w:rPr>
          <w:rFonts w:eastAsiaTheme="minorHAnsi" w:cs="Times New Roman"/>
        </w:rPr>
        <w:t>ve also</w:t>
      </w:r>
      <w:r w:rsidRPr="00BC7CA9">
        <w:rPr>
          <w:rFonts w:eastAsiaTheme="minorHAnsi" w:cs="Times New Roman"/>
        </w:rPr>
        <w:t xml:space="preserve"> biases exceeding 100% for </w:t>
      </w:r>
      <w:r w:rsidR="000A7A6A" w:rsidRPr="00BC7CA9">
        <w:rPr>
          <w:rFonts w:eastAsiaTheme="minorHAnsi" w:cs="Times New Roman"/>
        </w:rPr>
        <w:t xml:space="preserve">some PSIs. </w:t>
      </w:r>
      <w:r w:rsidRPr="00BC7CA9">
        <w:rPr>
          <w:rFonts w:cs="Times New Roman"/>
        </w:rPr>
        <w:t>The magnitude of biases for hospital level covariates is generally smaller than for the patient level covariates, and in some cases, there is no bias even in the unmatched sample.  Possibly, because there is less variation</w:t>
      </w:r>
      <w:r w:rsidRPr="00BC7CA9">
        <w:rPr>
          <w:rFonts w:eastAsiaTheme="minorHAnsi" w:cs="Times New Roman"/>
        </w:rPr>
        <w:t xml:space="preserve"> in these variables across patients.  Staffing levels and number of beds have mostly negative biases for all PSIs except for two PSIs, for which the bias is positive.  This tells us that patients in hospitals with less staff and smaller number of beds have a greater propensity of experiencing a PSI</w:t>
      </w:r>
      <w:r w:rsidR="000A7A6A" w:rsidRPr="00BC7CA9">
        <w:rPr>
          <w:rFonts w:eastAsiaTheme="minorHAnsi" w:cs="Times New Roman"/>
        </w:rPr>
        <w:t xml:space="preserve">. </w:t>
      </w:r>
      <w:r w:rsidR="007F64F4" w:rsidRPr="00BC7CA9">
        <w:rPr>
          <w:rFonts w:eastAsiaTheme="minorHAnsi" w:cs="Times New Roman"/>
        </w:rPr>
        <w:t>The %bias statistics for the matched samples shows that we managed to reduce all biases to acceptable levels.</w:t>
      </w:r>
      <w:r w:rsidR="00521127">
        <w:rPr>
          <w:rFonts w:eastAsiaTheme="minorHAnsi" w:cs="Times New Roman"/>
        </w:rPr>
        <w:t xml:space="preserve"> </w:t>
      </w:r>
      <w:r w:rsidR="00521127" w:rsidRPr="009964C1">
        <w:rPr>
          <w:rFonts w:eastAsiaTheme="minorHAnsi" w:cs="Times New Roman"/>
        </w:rPr>
        <w:t>The tables further show that unmatched controls have substantially lower risk of death and LOS.  This is indicative of two things: First, PS incidences are indeed more prevalent in sicker patients, and second, the matching seems successful insofar as a comparably sicker subset of control patients is chosen as matches from the large pool of potential candidates.</w:t>
      </w:r>
      <w:r w:rsidR="00521127" w:rsidRPr="00DF71A5">
        <w:rPr>
          <w:color w:val="FF0000"/>
        </w:rPr>
        <w:t xml:space="preserve">  </w:t>
      </w:r>
    </w:p>
    <w:p w14:paraId="23735BD7" w14:textId="3426F2D6" w:rsidR="000853D6" w:rsidRPr="00BC7CA9" w:rsidRDefault="000A7A6A" w:rsidP="00BC7CA9">
      <w:pPr>
        <w:spacing w:before="100" w:beforeAutospacing="1" w:line="360" w:lineRule="auto"/>
        <w:ind w:firstLine="720"/>
        <w:jc w:val="both"/>
        <w:rPr>
          <w:rFonts w:eastAsiaTheme="minorHAnsi" w:cs="Times New Roman"/>
        </w:rPr>
      </w:pPr>
      <w:r w:rsidRPr="00BC7CA9">
        <w:rPr>
          <w:rFonts w:cs="Times New Roman"/>
        </w:rPr>
        <w:t>Lastly, we check the overlap of propensity scores between PSI patients and their matched controls, by plotting separately the Kernel densities of the propensity scores for PS patients on support, and</w:t>
      </w:r>
      <w:r w:rsidRPr="00BC7CA9">
        <w:rPr>
          <w:rFonts w:eastAsiaTheme="minorHAnsi" w:cs="Times New Roman"/>
        </w:rPr>
        <w:t xml:space="preserve"> their matched controls. Figures 1a to 1f show overlap plots for all PSIs in the year 2009. Two points are worth mentioning: First, the PSIs are all very rare events, with the mass of the density far below 0.1 for all PSIs; second, there is a near perfect overlap between PSI patients and matched control patients.  This implies that we were successful in finding matches that have nearly the same probability of experiencing the PSI as the patients which actually did have the PSI, a finding that is confirmed by the summary statistics discussed above.  </w:t>
      </w:r>
    </w:p>
    <w:p w14:paraId="41A08CAC" w14:textId="498CCE93" w:rsidR="000853D6" w:rsidRPr="00AD00FB" w:rsidRDefault="000853D6" w:rsidP="00AD00FB">
      <w:pPr>
        <w:rPr>
          <w:b/>
        </w:rPr>
      </w:pPr>
      <w:r w:rsidRPr="00AD00FB">
        <w:rPr>
          <w:b/>
        </w:rPr>
        <w:t>Conclusion propensity score matching</w:t>
      </w:r>
    </w:p>
    <w:p w14:paraId="0AECAE3C" w14:textId="1A9E0874" w:rsidR="000853D6" w:rsidRDefault="000A7A6A" w:rsidP="009964C1">
      <w:pPr>
        <w:widowControl w:val="0"/>
        <w:autoSpaceDE w:val="0"/>
        <w:autoSpaceDN w:val="0"/>
        <w:adjustRightInd w:val="0"/>
        <w:spacing w:before="100" w:beforeAutospacing="1" w:after="240" w:line="360" w:lineRule="auto"/>
        <w:ind w:firstLine="720"/>
        <w:jc w:val="both"/>
        <w:rPr>
          <w:rFonts w:cs="Times New Roman"/>
        </w:rPr>
      </w:pPr>
      <w:r w:rsidRPr="00BC7CA9">
        <w:rPr>
          <w:rFonts w:eastAsiaTheme="minorHAnsi" w:cs="Times New Roman"/>
        </w:rPr>
        <w:t xml:space="preserve">Considering the tests and summary statistics of the balancing of the covariates and the propensity score, we are confident that the matching is successful and has removed perhaps not all, but most of the selection bias.  </w:t>
      </w:r>
      <w:r w:rsidR="007F7D66" w:rsidRPr="00BC7CA9">
        <w:rPr>
          <w:rFonts w:eastAsiaTheme="minorHAnsi" w:cs="Times New Roman"/>
        </w:rPr>
        <w:t>In summary, a</w:t>
      </w:r>
      <w:r w:rsidR="000853D6" w:rsidRPr="00BC7CA9">
        <w:rPr>
          <w:rFonts w:cs="Times New Roman"/>
        </w:rPr>
        <w:t xml:space="preserve">fter matching on the estimated propensity score, we find that bias in the covariates is substantially reduced.  For nearly all covariates, PSIs and years, any remaining bias is within acceptable limits according to standard tests.  Similarly, the overlap in propensity scores between PS patients and matched controls is very close. This means that we have found matched controls that had almost the same probability of experiencing a PS event than the patients who actually did, and the fact that these controls did not have a PS event is merely due to random chance.  We then use the small sample of PS patients and their matched controls to compare </w:t>
      </w:r>
      <w:r w:rsidR="000853D6" w:rsidRPr="00BC7CA9">
        <w:rPr>
          <w:rFonts w:cs="Times New Roman"/>
        </w:rPr>
        <w:lastRenderedPageBreak/>
        <w:t>outcomes with respect to mortality and bed days, and we use the group of matched control patients to for calculation of the remaining healthy life expectancy</w:t>
      </w:r>
      <w:r w:rsidR="007F7D66" w:rsidRPr="00BC7CA9">
        <w:rPr>
          <w:rFonts w:cs="Times New Roman"/>
        </w:rPr>
        <w:t>, as explained in the next section</w:t>
      </w:r>
      <w:r w:rsidR="000853D6" w:rsidRPr="00BC7CA9">
        <w:rPr>
          <w:rFonts w:cs="Times New Roman"/>
        </w:rPr>
        <w:t>.</w:t>
      </w:r>
    </w:p>
    <w:p w14:paraId="4C6BD054" w14:textId="2534EEE7" w:rsidR="00B03C6C" w:rsidRPr="009964C1" w:rsidRDefault="00B03C6C" w:rsidP="009964C1">
      <w:pPr>
        <w:pStyle w:val="Heading2"/>
        <w:numPr>
          <w:ilvl w:val="1"/>
          <w:numId w:val="10"/>
        </w:numPr>
        <w:spacing w:line="360" w:lineRule="auto"/>
        <w:jc w:val="both"/>
        <w:rPr>
          <w:rFonts w:asciiTheme="minorHAnsi" w:hAnsiTheme="minorHAnsi" w:cs="Times New Roman"/>
          <w:sz w:val="22"/>
          <w:szCs w:val="22"/>
        </w:rPr>
      </w:pPr>
      <w:bookmarkStart w:id="12" w:name="_Toc449609461"/>
      <w:bookmarkStart w:id="13" w:name="_Toc420865599"/>
      <w:bookmarkStart w:id="14" w:name="_Toc457312912"/>
      <w:bookmarkEnd w:id="12"/>
      <w:r w:rsidRPr="009964C1">
        <w:rPr>
          <w:rFonts w:asciiTheme="minorHAnsi" w:hAnsiTheme="minorHAnsi" w:cs="Times New Roman"/>
          <w:sz w:val="22"/>
          <w:szCs w:val="22"/>
        </w:rPr>
        <w:t>Estimation of Survival Probabilities and Length of Stay</w:t>
      </w:r>
      <w:bookmarkEnd w:id="13"/>
      <w:bookmarkEnd w:id="14"/>
    </w:p>
    <w:p w14:paraId="5F240CEC" w14:textId="77777777" w:rsidR="00B03C6C" w:rsidRDefault="00B03C6C" w:rsidP="00B03C6C">
      <w:pPr>
        <w:widowControl w:val="0"/>
        <w:autoSpaceDE w:val="0"/>
        <w:autoSpaceDN w:val="0"/>
        <w:adjustRightInd w:val="0"/>
        <w:spacing w:before="100" w:beforeAutospacing="1" w:after="240" w:line="360" w:lineRule="auto"/>
        <w:ind w:firstLine="720"/>
        <w:jc w:val="both"/>
      </w:pPr>
      <w:r w:rsidRPr="00FA17A2">
        <w:rPr>
          <w:rFonts w:eastAsiaTheme="minorHAnsi"/>
        </w:rPr>
        <w:t xml:space="preserve">Once </w:t>
      </w:r>
      <w:r>
        <w:rPr>
          <w:rFonts w:eastAsiaTheme="minorHAnsi"/>
        </w:rPr>
        <w:t>each PS patient</w:t>
      </w:r>
      <w:r w:rsidRPr="00FA17A2">
        <w:rPr>
          <w:rFonts w:eastAsiaTheme="minorHAnsi"/>
        </w:rPr>
        <w:t xml:space="preserve"> is matched with </w:t>
      </w:r>
      <w:r>
        <w:rPr>
          <w:rFonts w:eastAsiaTheme="minorHAnsi"/>
        </w:rPr>
        <w:t>a</w:t>
      </w:r>
      <w:r w:rsidRPr="00FA17A2">
        <w:rPr>
          <w:rFonts w:eastAsiaTheme="minorHAnsi"/>
        </w:rPr>
        <w:t xml:space="preserve"> control patient, the </w:t>
      </w:r>
      <w:r>
        <w:rPr>
          <w:rFonts w:eastAsiaTheme="minorHAnsi"/>
        </w:rPr>
        <w:t xml:space="preserve">average differences </w:t>
      </w:r>
      <w:r w:rsidRPr="00FA17A2">
        <w:rPr>
          <w:rFonts w:eastAsiaTheme="minorHAnsi"/>
        </w:rPr>
        <w:t>between the</w:t>
      </w:r>
      <w:r>
        <w:rPr>
          <w:rFonts w:eastAsiaTheme="minorHAnsi"/>
        </w:rPr>
        <w:t>ir</w:t>
      </w:r>
      <w:r w:rsidRPr="00FA17A2">
        <w:rPr>
          <w:rFonts w:eastAsiaTheme="minorHAnsi"/>
        </w:rPr>
        <w:t xml:space="preserve"> outcome</w:t>
      </w:r>
      <w:r>
        <w:rPr>
          <w:rFonts w:eastAsiaTheme="minorHAnsi"/>
        </w:rPr>
        <w:t>s</w:t>
      </w:r>
      <w:r w:rsidRPr="00FA17A2">
        <w:rPr>
          <w:rFonts w:eastAsiaTheme="minorHAnsi"/>
        </w:rPr>
        <w:t xml:space="preserve"> </w:t>
      </w:r>
      <w:r>
        <w:rPr>
          <w:rFonts w:eastAsiaTheme="minorHAnsi"/>
        </w:rPr>
        <w:t xml:space="preserve">-the risk of death and LOS- can be determined.  These are the Average Treatments effects on the Treated (ATTs).  They are </w:t>
      </w:r>
      <w:r w:rsidRPr="00FA17A2">
        <w:rPr>
          <w:rFonts w:eastAsiaTheme="minorHAnsi"/>
        </w:rPr>
        <w:t>computed</w:t>
      </w:r>
      <w:r>
        <w:rPr>
          <w:rFonts w:eastAsiaTheme="minorHAnsi"/>
        </w:rPr>
        <w:t xml:space="preserve"> separately for each PSI, outcome and year</w:t>
      </w:r>
      <w:r w:rsidRPr="00FA17A2">
        <w:rPr>
          <w:rFonts w:eastAsiaTheme="minorHAnsi"/>
        </w:rPr>
        <w:t xml:space="preserve">.  </w:t>
      </w:r>
      <w:r>
        <w:rPr>
          <w:rFonts w:eastAsiaTheme="minorHAnsi"/>
        </w:rPr>
        <w:t xml:space="preserve">A simple difference in outcomes is taken.  </w:t>
      </w:r>
      <w:r>
        <w:t xml:space="preserve">Calculation of the health lost due to PSIs requires estimates of the difference in mortality risk of PS and matched control patients and a number of other estimates, as we will explain in more detail in the next section.  Estimates of excess LOS due to PS events directly give an indication of the impact of PS events on resource use.  Table 5 shows overall average mortality risk and LOS of PSI patients and their matched controls, and associated differences in risk and LOS, the ATTs.  The ATTs are the difference in outcomes that are associated with the PSI, and that are in addition to the outcomes the patients would have had in the absence of the PSI.  </w:t>
      </w:r>
    </w:p>
    <w:p w14:paraId="05FC7DDE" w14:textId="38B0A30C" w:rsidR="00B03C6C" w:rsidRDefault="00B03C6C" w:rsidP="00B03C6C">
      <w:pPr>
        <w:widowControl w:val="0"/>
        <w:autoSpaceDE w:val="0"/>
        <w:autoSpaceDN w:val="0"/>
        <w:adjustRightInd w:val="0"/>
        <w:spacing w:before="100" w:beforeAutospacing="1" w:after="240" w:line="360" w:lineRule="auto"/>
        <w:ind w:firstLine="720"/>
        <w:jc w:val="both"/>
      </w:pPr>
      <w:r w:rsidRPr="0022535D">
        <w:rPr>
          <w:rFonts w:eastAsiaTheme="minorHAnsi"/>
        </w:rPr>
        <w:t xml:space="preserve">Tables </w:t>
      </w:r>
      <w:r w:rsidR="0022535D" w:rsidRPr="0022535D">
        <w:rPr>
          <w:rFonts w:eastAsiaTheme="minorHAnsi"/>
        </w:rPr>
        <w:t>SDC3a to SDC3f</w:t>
      </w:r>
      <w:r w:rsidRPr="0022535D">
        <w:rPr>
          <w:rFonts w:eastAsiaTheme="minorHAnsi"/>
        </w:rPr>
        <w:t xml:space="preserve"> </w:t>
      </w:r>
      <w:r>
        <w:rPr>
          <w:rFonts w:eastAsiaTheme="minorHAnsi"/>
        </w:rPr>
        <w:t xml:space="preserve">present the hospital mortality rate and LOS for PS patients on common support (column ‘Treated’) and matched controls (column ‘Controls’). The average differences in outcomes displayed in the column ‘Difference’ are the estimates of the Average Treatment Effects, and if the matching is valid, these differences are solely attributable to the PSI. </w:t>
      </w:r>
      <w:r w:rsidR="004C09D0">
        <w:rPr>
          <w:rFonts w:eastAsiaTheme="minorHAnsi"/>
        </w:rPr>
        <w:t xml:space="preserve">Table SDC5 reports </w:t>
      </w:r>
      <w:r w:rsidR="00892AA4">
        <w:rPr>
          <w:rFonts w:eastAsiaTheme="minorHAnsi"/>
        </w:rPr>
        <w:t>mortality risks</w:t>
      </w:r>
      <w:r w:rsidR="004C09D0">
        <w:rPr>
          <w:rFonts w:eastAsiaTheme="minorHAnsi"/>
        </w:rPr>
        <w:t xml:space="preserve"> separately by year and PSI. </w:t>
      </w:r>
      <w:r>
        <w:rPr>
          <w:rFonts w:eastAsiaTheme="minorHAnsi"/>
        </w:rPr>
        <w:t xml:space="preserve">The standard errors and t-statistics are also reported, to evaluate whether the ATTs are statistically significant different from zero.  </w:t>
      </w:r>
      <w:r w:rsidR="004C09D0">
        <w:rPr>
          <w:rFonts w:eastAsiaTheme="minorHAnsi"/>
        </w:rPr>
        <w:t>For example, t</w:t>
      </w:r>
      <w:r>
        <w:t xml:space="preserve">able </w:t>
      </w:r>
      <w:r w:rsidR="0022535D">
        <w:t>SDC3b</w:t>
      </w:r>
      <w:r w:rsidR="004C09D0">
        <w:t xml:space="preserve"> </w:t>
      </w:r>
      <w:r>
        <w:t xml:space="preserve">shows that </w:t>
      </w:r>
      <w:r w:rsidR="006078EF">
        <w:t xml:space="preserve">averaged </w:t>
      </w:r>
      <w:r>
        <w:t xml:space="preserve">over the five years, Ulcer patients had an average risk of death of around 29%, whereas the matched control patients had a risk of around 14%.  This means that the ATT, i.e. the average difference in risk between PS patients and their matched controls over the sample and the 5 years, is estimated at around 15%. The result </w:t>
      </w:r>
      <w:r w:rsidR="0022535D">
        <w:t xml:space="preserve">also </w:t>
      </w:r>
      <w:r>
        <w:t xml:space="preserve">means that experiencing a preventable ulcer during hospital care leads to an increased mortality risk </w:t>
      </w:r>
      <w:r w:rsidRPr="00AE4672">
        <w:rPr>
          <w:rFonts w:eastAsiaTheme="minorHAnsi"/>
        </w:rPr>
        <w:t>of 1</w:t>
      </w:r>
      <w:r>
        <w:rPr>
          <w:rFonts w:eastAsiaTheme="minorHAnsi"/>
        </w:rPr>
        <w:t>5</w:t>
      </w:r>
      <w:r w:rsidRPr="00AE4672">
        <w:rPr>
          <w:rFonts w:eastAsiaTheme="minorHAnsi"/>
        </w:rPr>
        <w:t>% according to our results.</w:t>
      </w:r>
      <w:r>
        <w:rPr>
          <w:rFonts w:eastAsiaTheme="minorHAnsi"/>
        </w:rPr>
        <w:t xml:space="preserve"> </w:t>
      </w:r>
      <w:r w:rsidR="004C09D0">
        <w:rPr>
          <w:rFonts w:eastAsiaTheme="minorHAnsi"/>
        </w:rPr>
        <w:t xml:space="preserve">Table SDC5 shows that the risk slightly decreased over the 5 years.  </w:t>
      </w:r>
      <w:r w:rsidRPr="00AE4672">
        <w:rPr>
          <w:rFonts w:eastAsiaTheme="minorHAnsi"/>
        </w:rPr>
        <w:t>Second highest risk of death for PS patients lies at around 2</w:t>
      </w:r>
      <w:r>
        <w:rPr>
          <w:rFonts w:eastAsiaTheme="minorHAnsi"/>
        </w:rPr>
        <w:t>2</w:t>
      </w:r>
      <w:r w:rsidRPr="00AE4672">
        <w:rPr>
          <w:rFonts w:eastAsiaTheme="minorHAnsi"/>
        </w:rPr>
        <w:t xml:space="preserve">% for Hip fracture patients.  The risk for controls in </w:t>
      </w:r>
      <w:r>
        <w:rPr>
          <w:rFonts w:eastAsiaTheme="minorHAnsi"/>
        </w:rPr>
        <w:t>this sample is 8</w:t>
      </w:r>
      <w:r w:rsidRPr="00AE4672">
        <w:rPr>
          <w:rFonts w:eastAsiaTheme="minorHAnsi"/>
        </w:rPr>
        <w:t>% after matching, and the resulting ATT lies around 1</w:t>
      </w:r>
      <w:r>
        <w:rPr>
          <w:rFonts w:eastAsiaTheme="minorHAnsi"/>
        </w:rPr>
        <w:t>4</w:t>
      </w:r>
      <w:r w:rsidRPr="00AE4672">
        <w:rPr>
          <w:rFonts w:eastAsiaTheme="minorHAnsi"/>
        </w:rPr>
        <w:t>%.  This means that a post-operative hip fracture is associated with an incr</w:t>
      </w:r>
      <w:r>
        <w:rPr>
          <w:rFonts w:eastAsiaTheme="minorHAnsi"/>
        </w:rPr>
        <w:t>e</w:t>
      </w:r>
      <w:r w:rsidRPr="00AE4672">
        <w:rPr>
          <w:rFonts w:eastAsiaTheme="minorHAnsi"/>
        </w:rPr>
        <w:t>ased risk of death of around 1</w:t>
      </w:r>
      <w:r>
        <w:rPr>
          <w:rFonts w:eastAsiaTheme="minorHAnsi"/>
        </w:rPr>
        <w:t>4%</w:t>
      </w:r>
      <w:r>
        <w:t xml:space="preserve">.  Patients with preventable Sepsis have a risk of death of around 18% on average across years, compared to 3% for matched controls.  Without sepsis, the patients would have had a relatively low mortality risk, at least compared to the Ulcer and Hip fracture patients.  Therefore, the ATT for Sepsis is similar to the ATTs for both Ulcers and Hip fractures. Patients with DVT/PE have a risk of death of around 13%, compared to a risk for matched controls of around 5%, </w:t>
      </w:r>
      <w:r>
        <w:lastRenderedPageBreak/>
        <w:t xml:space="preserve">respectively.  This results in an ATT of around 8%.  Patients with CLI have a 10% overall mortality risk, compared to risks of 8% for matched controls.  Matched controls for CLI have high risk of death of all PSIs, which means that patients that experienced this PSI had a relatively high mortality risk to start with and the estimated additional average risk is 1%, but varies between 0% and 3% across years (the minimum value is even negative but this is not statistically significant).  In none of the years, the difference is statistically significant, and therefore we assume in all following calculations that suffering a CLI does not increase mortality risk.  Lastly, for ‘Deaths in low-mortality HRGs’, by definition, the mortality risk is 100%, and </w:t>
      </w:r>
      <w:r w:rsidR="0022535D">
        <w:t>5%</w:t>
      </w:r>
      <w:r>
        <w:t xml:space="preserve"> for controls, resulting in an ATT of </w:t>
      </w:r>
      <w:r w:rsidR="0022535D">
        <w:t>95</w:t>
      </w:r>
      <w:r>
        <w:t xml:space="preserve">%.  </w:t>
      </w:r>
    </w:p>
    <w:p w14:paraId="3921BD2A" w14:textId="2C7D3991" w:rsidR="000A7A6A" w:rsidRPr="009964C1" w:rsidRDefault="00892AA4" w:rsidP="009964C1">
      <w:pPr>
        <w:widowControl w:val="0"/>
        <w:autoSpaceDE w:val="0"/>
        <w:autoSpaceDN w:val="0"/>
        <w:adjustRightInd w:val="0"/>
        <w:spacing w:before="100" w:beforeAutospacing="1" w:after="240" w:line="360" w:lineRule="auto"/>
        <w:ind w:firstLine="720"/>
        <w:jc w:val="both"/>
      </w:pPr>
      <w:r>
        <w:t xml:space="preserve">Tables SDC3a-f report LOS differences on average, and table SDC6 </w:t>
      </w:r>
      <w:r w:rsidR="00B03C6C">
        <w:t>LOS</w:t>
      </w:r>
      <w:r>
        <w:t xml:space="preserve"> differences by year and PSI.  LOS</w:t>
      </w:r>
      <w:r w:rsidR="00B03C6C">
        <w:t xml:space="preserve"> is longest for Ulcer patients at an average across years of 37 days</w:t>
      </w:r>
      <w:r>
        <w:t xml:space="preserve"> (table SDC3b)</w:t>
      </w:r>
      <w:r w:rsidR="00B03C6C">
        <w:t xml:space="preserve">.  This compares to the relatively long stays of 21 days for matched controls.  The ATT is the estimate of the excess LOS due to Ulcers and lies at around 16 days.  This means that PS patients would have stayed in hospital for around 21 days if they had not experienced the Ulcer, and the PS has added another 15 days on top of their stay in hospital.  </w:t>
      </w:r>
      <w:r>
        <w:t xml:space="preserve">LOS and LOS differences decreased markedly over the years (see table SDC6).  </w:t>
      </w:r>
      <w:r w:rsidR="00B03C6C">
        <w:t>The PSI with second longest LOS is Hip fracture</w:t>
      </w:r>
      <w:r>
        <w:t xml:space="preserve"> (table SDC3d)</w:t>
      </w:r>
      <w:r w:rsidR="00B03C6C">
        <w:t xml:space="preserve">.  Patients stay on average 34 days.  The stay of matched controls is comparably short at around 13 days.  The additional LOS caused by the hip fracture is then 21 days on average, a longer excess LOS than for Ulcer patients.  Sepsis patients also stay relatively long in hospital at 31 days.  Estimates for controls 13 days resulting in an excess LOS attributable to Sepsis of 19 days.  Both patients with a CLI and DVT/PE stay for a total of 27 days.  The matched controls for CLI stay also relatively long at 15 days, but matched controls for DVT/PE stay shorter at 9 days.  This leads to an excess LOS estimate of 11 days for CLI, and 17 days for DVT/PE patients.  Patients that die in a low-mortality HRG experience a LOS of around 15 days before their death.  The estimates for their matched controls is 3 days, respectively.  This is lower than the mean LOS estimate from the Health and Social Care Information Centre statistics for an admitted patient at 5.2 days </w:t>
      </w:r>
      <w:r w:rsidR="00B03C6C">
        <w:fldChar w:fldCharType="begin"/>
      </w:r>
      <w:r w:rsidR="002604F0">
        <w:instrText xml:space="preserve"> ADDIN EN.CITE &lt;EndNote&gt;&lt;Cite&gt;&lt;Author&gt;Frontier Economics&lt;/Author&gt;&lt;Year&gt;2014&lt;/Year&gt;&lt;RecNum&gt;730&lt;/RecNum&gt;&lt;DisplayText&gt;(23)&lt;/DisplayText&gt;&lt;record&gt;&lt;rec-number&gt;730&lt;/rec-number&gt;&lt;foreign-keys&gt;&lt;key app="EN" db-id="fweew0v96zr2xze25xrvwf59dx52x9w0spr9" timestamp="1460980283"&gt;730&lt;/key&gt;&lt;/foreign-keys&gt;&lt;ref-type name="Unpublished Work"&gt;34&lt;/ref-type&gt;&lt;contributors&gt;&lt;authors&gt;&lt;author&gt;Frontier Economics,&lt;/author&gt;&lt;/authors&gt;&lt;/contributors&gt;&lt;titles&gt;&lt;title&gt;Exploring the costs of unsafe care in the NHS - A report prepared for the Department of Health&lt;/title&gt;&lt;/titles&gt;&lt;dates&gt;&lt;year&gt;2014&lt;/year&gt;&lt;/dates&gt;&lt;pub-location&gt;London, UK&lt;/pub-location&gt;&lt;publisher&gt;Frontier Economics, &lt;/publisher&gt;&lt;urls&gt;&lt;/urls&gt;&lt;/record&gt;&lt;/Cite&gt;&lt;/EndNote&gt;</w:instrText>
      </w:r>
      <w:r w:rsidR="00B03C6C">
        <w:fldChar w:fldCharType="separate"/>
      </w:r>
      <w:r w:rsidR="002604F0">
        <w:rPr>
          <w:noProof/>
        </w:rPr>
        <w:t>(23)</w:t>
      </w:r>
      <w:r w:rsidR="00B03C6C">
        <w:fldChar w:fldCharType="end"/>
      </w:r>
      <w:r w:rsidR="00B03C6C">
        <w:t xml:space="preserve">, but broadly in line with estimates of average inpatient LOS for patients of relatively low complexity in English hospitals </w:t>
      </w:r>
      <w:r w:rsidR="00B03C6C">
        <w:fldChar w:fldCharType="begin"/>
      </w:r>
      <w:r w:rsidR="002604F0">
        <w:instrText xml:space="preserve"> ADDIN EN.CITE &lt;EndNote&gt;&lt;Cite&gt;&lt;Author&gt;Gaughan&lt;/Author&gt;&lt;Year&gt;2012&lt;/Year&gt;&lt;RecNum&gt;722&lt;/RecNum&gt;&lt;DisplayText&gt;(24)&lt;/DisplayText&gt;&lt;record&gt;&lt;rec-number&gt;722&lt;/rec-number&gt;&lt;foreign-keys&gt;&lt;key app="EN" db-id="fweew0v96zr2xze25xrvwf59dx52x9w0spr9" timestamp="1460980283"&gt;722&lt;/key&gt;&lt;/foreign-keys&gt;&lt;ref-type name="Unpublished Work"&gt;34&lt;/ref-type&gt;&lt;contributors&gt;&lt;authors&gt;&lt;author&gt;Gaughan, James&lt;/author&gt;&lt;author&gt;Mason, Anne&lt;/author&gt;&lt;author&gt;Street, Andrew&lt;/author&gt;&lt;author&gt;Wards, Paedric&lt;/author&gt;&lt;/authors&gt;&lt;secondary-authors&gt;&lt;author&gt;Centre for Health Economics, &lt;/author&gt;&lt;/secondary-authors&gt;&lt;/contributors&gt;&lt;titles&gt;&lt;title&gt;English hospitals can improve their use of resources: analysis of costs and length of stay for ten treatments &lt;/title&gt;&lt;secondary-title&gt;CHE Working Paper&lt;/secondary-title&gt;&lt;/titles&gt;&lt;number&gt;78&lt;/number&gt;&lt;dates&gt;&lt;year&gt;2012&lt;/year&gt;&lt;/dates&gt;&lt;pub-location&gt;York&lt;/pub-location&gt;&lt;publisher&gt;University of York&lt;/publisher&gt;&lt;urls&gt;&lt;/urls&gt;&lt;/record&gt;&lt;/Cite&gt;&lt;/EndNote&gt;</w:instrText>
      </w:r>
      <w:r w:rsidR="00B03C6C">
        <w:fldChar w:fldCharType="separate"/>
      </w:r>
      <w:r w:rsidR="002604F0">
        <w:rPr>
          <w:noProof/>
        </w:rPr>
        <w:t>(24)</w:t>
      </w:r>
      <w:r w:rsidR="00B03C6C">
        <w:fldChar w:fldCharType="end"/>
      </w:r>
      <w:r w:rsidR="00B03C6C">
        <w:t xml:space="preserve">.  For ‘Deaths’, excess LOS is estimated to be around 12 days. </w:t>
      </w:r>
      <w:r w:rsidR="00B03C6C" w:rsidRPr="009B737C">
        <w:rPr>
          <w:rFonts w:eastAsia="Times New Roman"/>
          <w:lang w:val="en-US"/>
        </w:rPr>
        <w:t xml:space="preserve">The long stay before death shows that the patients were subjected to treatments to avert their death.  Considering time trends across the five years.  </w:t>
      </w:r>
      <w:r w:rsidR="00B03C6C">
        <w:rPr>
          <w:lang w:eastAsia="en-US"/>
        </w:rPr>
        <w:t>LOS has decreased for Ulcers and Death in low-mortality HRG, for both PS and matched control patients.  LOS has also decreased for DVT/PE and Sepsis, but only for PS patients and not the matched controls.  LOS has increased for HIP fractures, but there is not really a clear trend for matched controls of HIP fractures. There is no clear trend for CLI patients and matched controls.</w:t>
      </w:r>
      <w:r w:rsidR="00B03C6C">
        <w:t xml:space="preserve">    </w:t>
      </w:r>
    </w:p>
    <w:p w14:paraId="42F687A0" w14:textId="3902D487" w:rsidR="006A7335" w:rsidRPr="00BC7CA9" w:rsidRDefault="006A7335" w:rsidP="009964C1">
      <w:pPr>
        <w:pStyle w:val="Heading2"/>
        <w:numPr>
          <w:ilvl w:val="1"/>
          <w:numId w:val="10"/>
        </w:numPr>
        <w:spacing w:line="360" w:lineRule="auto"/>
        <w:jc w:val="both"/>
        <w:rPr>
          <w:rFonts w:asciiTheme="minorHAnsi" w:hAnsiTheme="minorHAnsi" w:cs="Times New Roman"/>
          <w:sz w:val="22"/>
          <w:szCs w:val="22"/>
        </w:rPr>
      </w:pPr>
      <w:bookmarkStart w:id="15" w:name="_Toc457312913"/>
      <w:r w:rsidRPr="00BC7CA9">
        <w:rPr>
          <w:rFonts w:asciiTheme="minorHAnsi" w:hAnsiTheme="minorHAnsi" w:cs="Times New Roman"/>
          <w:sz w:val="22"/>
          <w:szCs w:val="22"/>
        </w:rPr>
        <w:lastRenderedPageBreak/>
        <w:t>Calculation of lost healthy life years</w:t>
      </w:r>
      <w:bookmarkEnd w:id="15"/>
      <w:r w:rsidRPr="00BC7CA9">
        <w:rPr>
          <w:rFonts w:asciiTheme="minorHAnsi" w:hAnsiTheme="minorHAnsi" w:cs="Times New Roman"/>
          <w:sz w:val="22"/>
          <w:szCs w:val="22"/>
        </w:rPr>
        <w:t xml:space="preserve"> </w:t>
      </w:r>
    </w:p>
    <w:p w14:paraId="1C6F2616" w14:textId="16630FA3" w:rsidR="00C24C18" w:rsidRPr="00BC7CA9" w:rsidRDefault="006A7335" w:rsidP="00BC7CA9">
      <w:pPr>
        <w:widowControl w:val="0"/>
        <w:autoSpaceDE w:val="0"/>
        <w:autoSpaceDN w:val="0"/>
        <w:adjustRightInd w:val="0"/>
        <w:spacing w:before="100" w:beforeAutospacing="1" w:after="240" w:line="360" w:lineRule="auto"/>
        <w:ind w:firstLine="720"/>
        <w:jc w:val="both"/>
        <w:rPr>
          <w:rFonts w:cs="Times New Roman"/>
          <w:lang w:val="en"/>
        </w:rPr>
      </w:pPr>
      <w:r w:rsidRPr="00BC7CA9">
        <w:rPr>
          <w:rFonts w:cs="Times New Roman"/>
        </w:rPr>
        <w:t>To calculate the loss of healthy life years (HLYs) we use</w:t>
      </w:r>
      <w:r w:rsidR="00C24C18" w:rsidRPr="00BC7CA9">
        <w:rPr>
          <w:rFonts w:cs="Times New Roman"/>
        </w:rPr>
        <w:t>d</w:t>
      </w:r>
      <w:r w:rsidRPr="00BC7CA9">
        <w:rPr>
          <w:rFonts w:cs="Times New Roman"/>
        </w:rPr>
        <w:t xml:space="preserve"> the concept of Quality-adjusted life-years (QALYs). A QALY is a generic measure of disease burden that considers both health-related quality of life and length of life. </w:t>
      </w:r>
      <w:r w:rsidRPr="00BC7CA9">
        <w:rPr>
          <w:rFonts w:cs="Times New Roman"/>
          <w:lang w:val="en"/>
        </w:rPr>
        <w:t xml:space="preserve">Health status is assigned a value ranging from 1.0 (in perfect health) down to a value of 0.0 for being dead. If a year is not lived in full health because the person experiences morbidity from </w:t>
      </w:r>
      <w:r w:rsidR="00794051" w:rsidRPr="00BC7CA9">
        <w:rPr>
          <w:rFonts w:cs="Times New Roman"/>
          <w:lang w:val="en"/>
        </w:rPr>
        <w:t>one or several</w:t>
      </w:r>
      <w:r w:rsidRPr="00BC7CA9">
        <w:rPr>
          <w:rFonts w:cs="Times New Roman"/>
          <w:lang w:val="en"/>
        </w:rPr>
        <w:t xml:space="preserve"> health condition, then the life-year is given a value between 0 and 1 to account for this.</w:t>
      </w:r>
      <w:r w:rsidR="00794051" w:rsidRPr="00BC7CA9">
        <w:rPr>
          <w:rFonts w:cs="Times New Roman"/>
          <w:lang w:val="en"/>
        </w:rPr>
        <w:t xml:space="preserve"> For example, for a person with a LE of 10 years, </w:t>
      </w:r>
      <w:r w:rsidR="00794051" w:rsidRPr="00BC7CA9">
        <w:rPr>
          <w:rFonts w:cs="Times New Roman"/>
        </w:rPr>
        <w:t>HLE</w:t>
      </w:r>
      <w:r w:rsidR="00794051" w:rsidRPr="00BC7CA9">
        <w:rPr>
          <w:rFonts w:cs="Times New Roman"/>
          <w:lang w:val="en"/>
        </w:rPr>
        <w:t xml:space="preserve"> would be only 5 years if quality-of-life was valued at 0.5 for each remaining life-year. </w:t>
      </w:r>
      <w:r w:rsidRPr="00BC7CA9">
        <w:rPr>
          <w:rFonts w:cs="Times New Roman"/>
          <w:lang w:val="en"/>
        </w:rPr>
        <w:t xml:space="preserve">A </w:t>
      </w:r>
      <w:r w:rsidRPr="00BC7CA9">
        <w:rPr>
          <w:rFonts w:cs="Times New Roman"/>
        </w:rPr>
        <w:t xml:space="preserve">QALY can be a negative number in the case of health states that are valued worse than death. </w:t>
      </w:r>
      <w:r w:rsidRPr="00BC7CA9">
        <w:rPr>
          <w:rFonts w:cs="Times New Roman"/>
          <w:lang w:val="en"/>
        </w:rPr>
        <w:t xml:space="preserve">HLYs lost are equivalent to life-years lost only if a person would have lived her remaining life in full health (QALY weight of 1) until death. </w:t>
      </w:r>
    </w:p>
    <w:p w14:paraId="06BDEF4D" w14:textId="6367C428" w:rsidR="006A7335" w:rsidRPr="00BC7CA9" w:rsidRDefault="00C24C18" w:rsidP="00BC7CA9">
      <w:pPr>
        <w:widowControl w:val="0"/>
        <w:autoSpaceDE w:val="0"/>
        <w:autoSpaceDN w:val="0"/>
        <w:adjustRightInd w:val="0"/>
        <w:spacing w:before="100" w:beforeAutospacing="1" w:after="240" w:line="360" w:lineRule="auto"/>
        <w:ind w:firstLine="720"/>
        <w:jc w:val="both"/>
        <w:rPr>
          <w:rFonts w:cs="Times New Roman"/>
        </w:rPr>
      </w:pPr>
      <w:r w:rsidRPr="00BC7CA9">
        <w:rPr>
          <w:rFonts w:cs="Times New Roman"/>
        </w:rPr>
        <w:t xml:space="preserve">In summary, to calculate lost HLYs, we scanned medical records of matched control patients for 141 comorbidities that have been found to be associated with significant reductions in quality of life. This made it possible to calculate a unique QALY value for each age between 20 and 100 years, separately by PSI and year. The product of QALY values and remaining life expectancy of control patients of a particular age then gave healthy life-expectancy (HLEs) for each PS patient with the same age. </w:t>
      </w:r>
      <w:r w:rsidRPr="00BC7CA9">
        <w:rPr>
          <w:rFonts w:cs="Times New Roman"/>
          <w:lang w:val="en"/>
        </w:rPr>
        <w:t>On the following pages we explain our approach in more detail.  T</w:t>
      </w:r>
      <w:r w:rsidR="006A7335" w:rsidRPr="00BC7CA9">
        <w:rPr>
          <w:rFonts w:cs="Times New Roman"/>
          <w:lang w:val="en"/>
        </w:rPr>
        <w:t>o calculate HLYs lost, we first establish</w:t>
      </w:r>
      <w:r w:rsidRPr="00BC7CA9">
        <w:rPr>
          <w:rFonts w:cs="Times New Roman"/>
          <w:lang w:val="en"/>
        </w:rPr>
        <w:t>ed</w:t>
      </w:r>
      <w:r w:rsidR="006A7335" w:rsidRPr="00BC7CA9">
        <w:rPr>
          <w:rFonts w:cs="Times New Roman"/>
        </w:rPr>
        <w:t xml:space="preserve"> the individual QALY weight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sub>
        </m:sSub>
      </m:oMath>
      <w:r w:rsidR="006A7335" w:rsidRPr="00BC7CA9">
        <w:rPr>
          <w:rFonts w:cs="Times New Roman"/>
        </w:rPr>
        <w:t xml:space="preserve"> for each control patient </w:t>
      </w:r>
      <w:r w:rsidR="006A7335" w:rsidRPr="00BC7CA9">
        <w:rPr>
          <w:rFonts w:cs="Times New Roman"/>
          <w:i/>
        </w:rPr>
        <w:t>i</w:t>
      </w:r>
      <w:r w:rsidR="006A7335" w:rsidRPr="00BC7CA9">
        <w:rPr>
          <w:rFonts w:cs="Times New Roman"/>
        </w:rPr>
        <w:t xml:space="preserve"> considering chronic conditions as</w:t>
      </w:r>
    </w:p>
    <w:p w14:paraId="3F921F36" w14:textId="77777777" w:rsidR="006A7335" w:rsidRPr="00BC7CA9" w:rsidRDefault="003B13AE" w:rsidP="009964C1">
      <w:pPr>
        <w:widowControl w:val="0"/>
        <w:autoSpaceDE w:val="0"/>
        <w:autoSpaceDN w:val="0"/>
        <w:adjustRightInd w:val="0"/>
        <w:spacing w:before="100" w:beforeAutospacing="1" w:after="240" w:line="360" w:lineRule="auto"/>
        <w:jc w:val="center"/>
        <w:rPr>
          <w:rFonts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b</m:t>
            </m:r>
          </m:sub>
        </m:sSub>
        <m:r>
          <w:rPr>
            <w:rFonts w:ascii="Cambria Math" w:hAnsi="Cambria Math" w:cs="Times New Roman"/>
          </w:rPr>
          <m:t>-</m:t>
        </m:r>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j=0</m:t>
                </m:r>
              </m:sub>
              <m:sup>
                <m:r>
                  <w:rPr>
                    <w:rFonts w:ascii="Cambria Math" w:hAnsi="Cambria Math" w:cs="Times New Roman"/>
                  </w:rPr>
                  <m:t>20</m:t>
                </m:r>
              </m:sup>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ih</m:t>
                </m:r>
              </m:sub>
            </m:sSub>
          </m:e>
        </m:d>
      </m:oMath>
      <w:r w:rsidR="006A7335" w:rsidRPr="00BC7CA9">
        <w:rPr>
          <w:rFonts w:cs="Times New Roman"/>
        </w:rPr>
        <w:tab/>
      </w:r>
      <w:r w:rsidR="006A7335" w:rsidRPr="00BC7CA9">
        <w:rPr>
          <w:rFonts w:cs="Times New Roman"/>
        </w:rPr>
        <w:tab/>
        <w:t>(1).</w:t>
      </w:r>
    </w:p>
    <w:p w14:paraId="63C423F8" w14:textId="35559395" w:rsidR="006A7335" w:rsidRPr="00BC7CA9" w:rsidRDefault="006A7335" w:rsidP="00BC7CA9">
      <w:pPr>
        <w:widowControl w:val="0"/>
        <w:autoSpaceDE w:val="0"/>
        <w:autoSpaceDN w:val="0"/>
        <w:adjustRightInd w:val="0"/>
        <w:spacing w:before="100" w:beforeAutospacing="1" w:after="240" w:line="360" w:lineRule="auto"/>
        <w:jc w:val="both"/>
        <w:rPr>
          <w:rStyle w:val="CommentReference"/>
          <w:rFonts w:cs="Times New Roman"/>
          <w:sz w:val="22"/>
          <w:szCs w:val="22"/>
        </w:rPr>
      </w:pPr>
      <w:r w:rsidRPr="00BC7CA9">
        <w:rPr>
          <w:rFonts w:cs="Times New Roman"/>
        </w:rPr>
        <w:t xml:space="preserve">The QALY weight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b</m:t>
            </m:r>
          </m:sub>
        </m:sSub>
      </m:oMath>
      <w:r w:rsidRPr="00BC7CA9">
        <w:rPr>
          <w:rFonts w:cs="Times New Roman"/>
        </w:rPr>
        <w:t xml:space="preserve"> is the expected QALY of the 10-year age band </w:t>
      </w:r>
      <w:r w:rsidRPr="00BC7CA9">
        <w:rPr>
          <w:rFonts w:cs="Times New Roman"/>
          <w:i/>
        </w:rPr>
        <w:t>b</w:t>
      </w:r>
      <w:r w:rsidRPr="00BC7CA9">
        <w:rPr>
          <w:rFonts w:cs="Times New Roman"/>
        </w:rPr>
        <w:t xml:space="preserve"> in which the age at admission of the control patient </w:t>
      </w:r>
      <w:r w:rsidRPr="00BC7CA9">
        <w:rPr>
          <w:rFonts w:cs="Times New Roman"/>
          <w:i/>
        </w:rPr>
        <w:t>i</w:t>
      </w:r>
      <w:r w:rsidRPr="00BC7CA9">
        <w:rPr>
          <w:rFonts w:cs="Times New Roman"/>
        </w:rPr>
        <w:t xml:space="preserve"> falls. This </w:t>
      </w:r>
      <w:r w:rsidR="00C24C18" w:rsidRPr="00BC7CA9">
        <w:rPr>
          <w:rFonts w:cs="Times New Roman"/>
        </w:rPr>
        <w:t>was</w:t>
      </w:r>
      <w:r w:rsidRPr="00BC7CA9">
        <w:rPr>
          <w:rFonts w:cs="Times New Roman"/>
        </w:rPr>
        <w:t xml:space="preserve"> based on the QALY weights of the general UK population </w:t>
      </w:r>
      <w:r w:rsidR="002604F0">
        <w:rPr>
          <w:rFonts w:cs="Times New Roman"/>
        </w:rPr>
        <w:fldChar w:fldCharType="begin"/>
      </w:r>
      <w:r w:rsidR="002604F0">
        <w:rPr>
          <w:rFonts w:cs="Times New Roman"/>
        </w:rPr>
        <w:instrText xml:space="preserve"> ADDIN EN.CITE &lt;EndNote&gt;&lt;Cite&gt;&lt;Author&gt;Sullivan&lt;/Author&gt;&lt;Year&gt;2011&lt;/Year&gt;&lt;RecNum&gt;672&lt;/RecNum&gt;&lt;DisplayText&gt;(25)&lt;/DisplayText&gt;&lt;record&gt;&lt;rec-number&gt;672&lt;/rec-number&gt;&lt;foreign-keys&gt;&lt;key app="EN" db-id="fweew0v96zr2xze25xrvwf59dx52x9w0spr9" timestamp="1460980283"&gt;672&lt;/key&gt;&lt;/foreign-keys&gt;&lt;ref-type name="Journal Article"&gt;17&lt;/ref-type&gt;&lt;contributors&gt;&lt;authors&gt;&lt;author&gt;Sullivan, Patrick W.&lt;/author&gt;&lt;author&gt;Slejko, Julia F.&lt;/author&gt;&lt;author&gt;Sculpher, Mark J.&lt;/author&gt;&lt;author&gt;Ghushchyan, Vahram&lt;/author&gt;&lt;/authors&gt;&lt;/contributors&gt;&lt;titles&gt;&lt;title&gt;Catalogue of EQ-5D Scores for the United Kingdom&lt;/title&gt;&lt;secondary-title&gt;Medical Decision Making&lt;/secondary-title&gt;&lt;/titles&gt;&lt;periodical&gt;&lt;full-title&gt;Medical Decision Making&lt;/full-title&gt;&lt;/periodical&gt;&lt;pages&gt;800-804&lt;/pages&gt;&lt;volume&gt;31&lt;/volume&gt;&lt;number&gt;6&lt;/number&gt;&lt;dates&gt;&lt;year&gt;2011&lt;/year&gt;&lt;pub-dates&gt;&lt;date&gt;November 1, 2011&lt;/date&gt;&lt;/pub-dates&gt;&lt;/dates&gt;&lt;urls&gt;&lt;related-urls&gt;&lt;url&gt;http://mdm.sagepub.com/content/31/6/800.abstract&lt;/url&gt;&lt;/related-urls&gt;&lt;/urls&gt;&lt;electronic-resource-num&gt;10.1177/0272989x11401031&lt;/electronic-resource-num&gt;&lt;/record&gt;&lt;/Cite&gt;&lt;/EndNote&gt;</w:instrText>
      </w:r>
      <w:r w:rsidR="002604F0">
        <w:rPr>
          <w:rFonts w:cs="Times New Roman"/>
        </w:rPr>
        <w:fldChar w:fldCharType="separate"/>
      </w:r>
      <w:r w:rsidR="002604F0">
        <w:rPr>
          <w:rFonts w:cs="Times New Roman"/>
          <w:noProof/>
        </w:rPr>
        <w:t>(25)</w:t>
      </w:r>
      <w:r w:rsidR="002604F0">
        <w:rPr>
          <w:rFonts w:cs="Times New Roman"/>
        </w:rPr>
        <w:fldChar w:fldCharType="end"/>
      </w:r>
      <w:r w:rsidR="004C1C5F">
        <w:rPr>
          <w:rFonts w:cs="Times New Roman"/>
        </w:rPr>
        <w:t>, see t</w:t>
      </w:r>
      <w:r w:rsidRPr="00BC7CA9">
        <w:rPr>
          <w:rFonts w:cs="Times New Roman"/>
        </w:rPr>
        <w:t xml:space="preserve">able </w:t>
      </w:r>
      <w:r w:rsidR="008F49EC" w:rsidRPr="00BC7CA9">
        <w:rPr>
          <w:rFonts w:cs="Times New Roman"/>
        </w:rPr>
        <w:t>S</w:t>
      </w:r>
      <w:r w:rsidR="00892AA4">
        <w:rPr>
          <w:rFonts w:cs="Times New Roman"/>
        </w:rPr>
        <w:t>DC7</w:t>
      </w:r>
      <w:r w:rsidRPr="00BC7CA9">
        <w:rPr>
          <w:rFonts w:cs="Times New Roman"/>
        </w:rPr>
        <w:t>. For example, in the UK, a person of age 61 is estimated to have a baseline QALY weight of 0.774. We then determine</w:t>
      </w:r>
      <w:r w:rsidR="00C24C18" w:rsidRPr="00BC7CA9">
        <w:rPr>
          <w:rFonts w:cs="Times New Roman"/>
        </w:rPr>
        <w:t>d</w:t>
      </w:r>
      <w:r w:rsidRPr="00BC7CA9">
        <w:rPr>
          <w:rFonts w:cs="Times New Roman"/>
        </w:rPr>
        <w:t xml:space="preserve"> for each control patient the presence of any of 141 chronic conditions from ICD codes in the episode of the hospital spell that reports most number of diagnoses. These conditions are associated with statistically signific</w:t>
      </w:r>
      <w:r w:rsidR="008F49EC" w:rsidRPr="00BC7CA9">
        <w:rPr>
          <w:rFonts w:cs="Times New Roman"/>
        </w:rPr>
        <w:t xml:space="preserve">ant reductions in QALY weights </w:t>
      </w:r>
      <w:r w:rsidR="002604F0">
        <w:rPr>
          <w:rFonts w:cs="Times New Roman"/>
        </w:rPr>
        <w:fldChar w:fldCharType="begin"/>
      </w:r>
      <w:r w:rsidR="002604F0">
        <w:rPr>
          <w:rFonts w:cs="Times New Roman"/>
        </w:rPr>
        <w:instrText xml:space="preserve"> ADDIN EN.CITE &lt;EndNote&gt;&lt;Cite&gt;&lt;Author&gt;Sullivan&lt;/Author&gt;&lt;Year&gt;2011&lt;/Year&gt;&lt;RecNum&gt;672&lt;/RecNum&gt;&lt;DisplayText&gt;(25)&lt;/DisplayText&gt;&lt;record&gt;&lt;rec-number&gt;672&lt;/rec-number&gt;&lt;foreign-keys&gt;&lt;key app="EN" db-id="fweew0v96zr2xze25xrvwf59dx52x9w0spr9" timestamp="1460980283"&gt;672&lt;/key&gt;&lt;/foreign-keys&gt;&lt;ref-type name="Journal Article"&gt;17&lt;/ref-type&gt;&lt;contributors&gt;&lt;authors&gt;&lt;author&gt;Sullivan, Patrick W.&lt;/author&gt;&lt;author&gt;Slejko, Julia F.&lt;/author&gt;&lt;author&gt;Sculpher, Mark J.&lt;/author&gt;&lt;author&gt;Ghushchyan, Vahram&lt;/author&gt;&lt;/authors&gt;&lt;/contributors&gt;&lt;titles&gt;&lt;title&gt;Catalogue of EQ-5D Scores for the United Kingdom&lt;/title&gt;&lt;secondary-title&gt;Medical Decision Making&lt;/secondary-title&gt;&lt;/titles&gt;&lt;periodical&gt;&lt;full-title&gt;Medical Decision Making&lt;/full-title&gt;&lt;/periodical&gt;&lt;pages&gt;800-804&lt;/pages&gt;&lt;volume&gt;31&lt;/volume&gt;&lt;number&gt;6&lt;/number&gt;&lt;dates&gt;&lt;year&gt;2011&lt;/year&gt;&lt;pub-dates&gt;&lt;date&gt;November 1, 2011&lt;/date&gt;&lt;/pub-dates&gt;&lt;/dates&gt;&lt;urls&gt;&lt;related-urls&gt;&lt;url&gt;http://mdm.sagepub.com/content/31/6/800.abstract&lt;/url&gt;&lt;/related-urls&gt;&lt;/urls&gt;&lt;electronic-resource-num&gt;10.1177/0272989x11401031&lt;/electronic-resource-num&gt;&lt;/record&gt;&lt;/Cite&gt;&lt;/EndNote&gt;</w:instrText>
      </w:r>
      <w:r w:rsidR="002604F0">
        <w:rPr>
          <w:rFonts w:cs="Times New Roman"/>
        </w:rPr>
        <w:fldChar w:fldCharType="separate"/>
      </w:r>
      <w:r w:rsidR="002604F0">
        <w:rPr>
          <w:rFonts w:cs="Times New Roman"/>
          <w:noProof/>
        </w:rPr>
        <w:t>(25)</w:t>
      </w:r>
      <w:r w:rsidR="002604F0">
        <w:rPr>
          <w:rFonts w:cs="Times New Roman"/>
        </w:rPr>
        <w:fldChar w:fldCharType="end"/>
      </w:r>
      <w:r w:rsidR="008F49EC" w:rsidRPr="00BC7CA9">
        <w:rPr>
          <w:rFonts w:cs="Times New Roman"/>
        </w:rPr>
        <w:t>, see table S</w:t>
      </w:r>
      <w:r w:rsidR="00892AA4">
        <w:rPr>
          <w:rFonts w:cs="Times New Roman"/>
        </w:rPr>
        <w:t>DC8</w:t>
      </w:r>
      <w:r w:rsidRPr="00BC7CA9">
        <w:rPr>
          <w:rFonts w:cs="Times New Roman"/>
        </w:rPr>
        <w:t>. If one or more of the 141 comorbidities are present, we subtract</w:t>
      </w:r>
      <w:r w:rsidR="00C24C18" w:rsidRPr="00BC7CA9">
        <w:rPr>
          <w:rFonts w:cs="Times New Roman"/>
        </w:rPr>
        <w:t>ed</w:t>
      </w:r>
      <w:r w:rsidRPr="00BC7CA9">
        <w:rPr>
          <w:rFonts w:cs="Times New Roman"/>
        </w:rPr>
        <w:t xml:space="preserve"> the associated QALY reductions from the population QALY weight. Up to </w:t>
      </w:r>
      <w:r w:rsidRPr="00BC7CA9">
        <w:rPr>
          <w:rFonts w:cs="Times New Roman"/>
          <w:i/>
        </w:rPr>
        <w:t>j = 0,…,20</w:t>
      </w:r>
      <w:r w:rsidRPr="00BC7CA9">
        <w:rPr>
          <w:rFonts w:cs="Times New Roman"/>
        </w:rPr>
        <w:t xml:space="preserve"> QALY reductions </w:t>
      </w:r>
      <w:r w:rsidRPr="00BC7CA9">
        <w:rPr>
          <w:rFonts w:cs="Times New Roman"/>
          <w:i/>
        </w:rPr>
        <w:t>d</w:t>
      </w:r>
      <w:r w:rsidRPr="00BC7CA9">
        <w:rPr>
          <w:rFonts w:cs="Times New Roman"/>
        </w:rPr>
        <w:t xml:space="preserve"> may be subtracted from the population QALY weight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ab</m:t>
            </m:r>
          </m:sub>
        </m:sSub>
        <m:r>
          <w:rPr>
            <w:rFonts w:ascii="Cambria Math" w:hAnsi="Cambria Math" w:cs="Times New Roman"/>
          </w:rPr>
          <m:t xml:space="preserve"> </m:t>
        </m:r>
      </m:oMath>
      <w:r w:rsidRPr="00BC7CA9">
        <w:rPr>
          <w:rFonts w:cs="Times New Roman"/>
        </w:rPr>
        <w:t>because this is the maximum number of diagnoses recorded in the data. We consider</w:t>
      </w:r>
      <w:proofErr w:type="spellStart"/>
      <w:r w:rsidR="00C24C18" w:rsidRPr="00BC7CA9">
        <w:rPr>
          <w:rFonts w:cs="Times New Roman"/>
        </w:rPr>
        <w:t>ed</w:t>
      </w:r>
      <w:proofErr w:type="spellEnd"/>
      <w:r w:rsidRPr="00BC7CA9">
        <w:rPr>
          <w:rFonts w:cs="Times New Roman"/>
        </w:rPr>
        <w:t xml:space="preserve"> comorbidities from all diagnoses codes, including the disutility arising from the primary diagnosis, if it features among the 141 chronic conditions.</w:t>
      </w:r>
      <w:r w:rsidRPr="00BC7CA9">
        <w:rPr>
          <w:rStyle w:val="CommentReference"/>
          <w:rFonts w:cs="Times New Roman"/>
          <w:sz w:val="22"/>
          <w:szCs w:val="22"/>
        </w:rPr>
        <w:t xml:space="preserve"> </w:t>
      </w:r>
    </w:p>
    <w:p w14:paraId="76A4DAA0" w14:textId="2F1F9A04" w:rsidR="006A7335" w:rsidRPr="00BC7CA9" w:rsidRDefault="006A7335" w:rsidP="00BC7CA9">
      <w:pPr>
        <w:widowControl w:val="0"/>
        <w:autoSpaceDE w:val="0"/>
        <w:autoSpaceDN w:val="0"/>
        <w:adjustRightInd w:val="0"/>
        <w:spacing w:before="100" w:beforeAutospacing="1" w:after="240" w:line="360" w:lineRule="auto"/>
        <w:jc w:val="both"/>
        <w:rPr>
          <w:rFonts w:cs="Times New Roman"/>
        </w:rPr>
      </w:pPr>
      <w:r w:rsidRPr="00BC7CA9">
        <w:rPr>
          <w:rFonts w:cs="Times New Roman"/>
        </w:rPr>
        <w:t xml:space="preserve">There is an additional QALY reduction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h</m:t>
            </m:r>
          </m:sub>
        </m:sSub>
        <m:r>
          <w:rPr>
            <w:rFonts w:ascii="Cambria Math" w:hAnsi="Cambria Math" w:cs="Times New Roman"/>
          </w:rPr>
          <m:t xml:space="preserve"> </m:t>
        </m:r>
      </m:oMath>
      <w:r w:rsidRPr="00BC7CA9">
        <w:rPr>
          <w:rFonts w:cs="Times New Roman"/>
        </w:rPr>
        <w:t xml:space="preserve">associated with having multiple (i.e. more than two) chronic conditions. Depending on how many </w:t>
      </w:r>
      <w:r w:rsidRPr="00BC7CA9">
        <w:rPr>
          <w:rFonts w:cs="Times New Roman"/>
          <w:i/>
        </w:rPr>
        <w:t>j</w:t>
      </w:r>
      <w:r w:rsidRPr="00BC7CA9">
        <w:rPr>
          <w:rFonts w:cs="Times New Roman"/>
        </w:rPr>
        <w:t xml:space="preserve"> comorbidities are reported, we subtract</w:t>
      </w:r>
      <w:r w:rsidR="00C24C18" w:rsidRPr="00BC7CA9">
        <w:rPr>
          <w:rFonts w:cs="Times New Roman"/>
        </w:rPr>
        <w:t>ed</w:t>
      </w:r>
      <w:r w:rsidRPr="00BC7CA9">
        <w:rPr>
          <w:rFonts w:cs="Times New Roman"/>
        </w:rP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ih</m:t>
            </m:r>
          </m:sub>
        </m:sSub>
      </m:oMath>
      <w:r w:rsidRPr="00BC7CA9">
        <w:rPr>
          <w:rFonts w:cs="Times New Roman"/>
        </w:rPr>
        <w:t xml:space="preserve"> from the </w:t>
      </w:r>
      <w:r w:rsidRPr="00BC7CA9">
        <w:rPr>
          <w:rFonts w:cs="Times New Roman"/>
        </w:rPr>
        <w:lastRenderedPageBreak/>
        <w:t>population QALY on top of the reductions associated with the s</w:t>
      </w:r>
      <w:r w:rsidR="008F49EC" w:rsidRPr="00BC7CA9">
        <w:rPr>
          <w:rFonts w:cs="Times New Roman"/>
        </w:rPr>
        <w:t>pecific conditions (see table S</w:t>
      </w:r>
      <w:r w:rsidR="009513B0">
        <w:rPr>
          <w:rFonts w:cs="Times New Roman"/>
        </w:rPr>
        <w:t>6</w:t>
      </w:r>
      <w:r w:rsidRPr="00BC7CA9">
        <w:rPr>
          <w:rFonts w:cs="Times New Roman"/>
        </w:rPr>
        <w:t xml:space="preserve">). If patient </w:t>
      </w:r>
      <w:r w:rsidRPr="00BC7CA9">
        <w:rPr>
          <w:rFonts w:cs="Times New Roman"/>
          <w:i/>
        </w:rPr>
        <w:t>i</w:t>
      </w:r>
      <w:r w:rsidRPr="00BC7CA9">
        <w:rPr>
          <w:rFonts w:cs="Times New Roman"/>
        </w:rPr>
        <w:t xml:space="preserve"> has no comorbidities, then </w:t>
      </w:r>
      <w:r w:rsidRPr="00BC7CA9">
        <w:rPr>
          <w:rFonts w:cs="Times New Roman"/>
          <w:i/>
        </w:rPr>
        <w:t>j = h = 0</w:t>
      </w:r>
      <w:r w:rsidRPr="00BC7CA9">
        <w:rPr>
          <w:rFonts w:cs="Times New Roman"/>
        </w:rPr>
        <w:t xml:space="preserve"> and (1) simplifies to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b</m:t>
            </m:r>
          </m:sub>
        </m:sSub>
      </m:oMath>
      <w:r w:rsidRPr="00BC7CA9">
        <w:rPr>
          <w:rFonts w:cs="Times New Roman"/>
        </w:rPr>
        <w:t xml:space="preserve"> and the life year of the patient is valued at the population QALY weight. If there are two or more control patients with the same age and gender, we calculate</w:t>
      </w:r>
      <w:r w:rsidR="00C24C18" w:rsidRPr="00BC7CA9">
        <w:rPr>
          <w:rFonts w:cs="Times New Roman"/>
        </w:rPr>
        <w:t>d</w:t>
      </w:r>
      <w:r w:rsidRPr="00BC7CA9">
        <w:rPr>
          <w:rFonts w:cs="Times New Roman"/>
        </w:rPr>
        <w:t xml:space="preserve"> the average QALY weight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a</m:t>
            </m:r>
          </m:sub>
        </m:sSub>
        <m:r>
          <w:rPr>
            <w:rFonts w:ascii="Cambria Math" w:hAnsi="Cambria Math" w:cs="Times New Roman"/>
          </w:rPr>
          <m:t>=</m:t>
        </m:r>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sub>
                </m:sSub>
              </m:e>
            </m:nary>
          </m:num>
          <m:den>
            <m:r>
              <w:rPr>
                <w:rFonts w:ascii="Cambria Math" w:hAnsi="Cambria Math" w:cs="Times New Roman"/>
              </w:rPr>
              <m:t>n</m:t>
            </m:r>
          </m:den>
        </m:f>
      </m:oMath>
      <w:r w:rsidRPr="00BC7CA9">
        <w:rPr>
          <w:rFonts w:cs="Times New Roman"/>
        </w:rPr>
        <w:t xml:space="preserve"> for all control patients </w:t>
      </w:r>
      <m:oMath>
        <m:r>
          <w:rPr>
            <w:rFonts w:ascii="Cambria Math" w:hAnsi="Cambria Math" w:cs="Times New Roman"/>
          </w:rPr>
          <m:t>i=0,…,n</m:t>
        </m:r>
      </m:oMath>
      <w:r w:rsidRPr="00BC7CA9">
        <w:rPr>
          <w:rFonts w:cs="Times New Roman"/>
        </w:rPr>
        <w:t xml:space="preserve"> of the same age </w:t>
      </w:r>
      <w:r w:rsidRPr="00BC7CA9">
        <w:rPr>
          <w:rFonts w:cs="Times New Roman"/>
          <w:i/>
        </w:rPr>
        <w:t>a</w:t>
      </w:r>
      <w:r w:rsidRPr="00BC7CA9">
        <w:rPr>
          <w:rFonts w:cs="Times New Roman"/>
        </w:rPr>
        <w:t>. We calculate</w:t>
      </w:r>
      <w:r w:rsidR="00C24C18" w:rsidRPr="00BC7CA9">
        <w:rPr>
          <w:rFonts w:cs="Times New Roman"/>
        </w:rPr>
        <w:t>d</w:t>
      </w:r>
      <w:r w:rsidRPr="00BC7CA9">
        <w:rPr>
          <w:rFonts w:cs="Times New Roman"/>
        </w:rPr>
        <w:t xml:space="preserve">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a</m:t>
            </m:r>
          </m:sub>
        </m:sSub>
      </m:oMath>
      <w:r w:rsidRPr="00BC7CA9">
        <w:rPr>
          <w:rFonts w:cs="Times New Roman"/>
        </w:rPr>
        <w:t xml:space="preserve"> for each age between 16 and 115. If there are no control patients </w:t>
      </w:r>
      <w:r w:rsidR="00BC3CD1" w:rsidRPr="00BC7CA9">
        <w:rPr>
          <w:rFonts w:cs="Times New Roman"/>
        </w:rPr>
        <w:t>for a certain age</w:t>
      </w:r>
      <w:r w:rsidRPr="00BC7CA9">
        <w:rPr>
          <w:rFonts w:cs="Times New Roman"/>
        </w:rPr>
        <w:t xml:space="preserve">, we apply the QALY weight for the previous year of age (for old patients) or the following year of age (for young patients). Note that only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b</m:t>
            </m:r>
          </m:sub>
        </m:sSub>
      </m:oMath>
      <w:r w:rsidRPr="00BC7CA9">
        <w:rPr>
          <w:rFonts w:cs="Times New Roman"/>
        </w:rPr>
        <w:t xml:space="preserve"> varies by gender. The age-averaged QALY weights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a</m:t>
            </m:r>
          </m:sub>
        </m:sSub>
      </m:oMath>
      <w:r w:rsidRPr="00BC7CA9">
        <w:rPr>
          <w:rFonts w:cs="Times New Roman"/>
        </w:rPr>
        <w:t xml:space="preserve"> provide the counterfactual QALY weights for patients</w:t>
      </w:r>
      <w:r w:rsidR="00BC3CD1" w:rsidRPr="00BC7CA9">
        <w:rPr>
          <w:rFonts w:cs="Times New Roman"/>
        </w:rPr>
        <w:t xml:space="preserve"> with incidents</w:t>
      </w:r>
      <w:r w:rsidRPr="00BC7CA9">
        <w:rPr>
          <w:rFonts w:cs="Times New Roman"/>
        </w:rPr>
        <w:t xml:space="preserve">. They are an estimate of the expected value for the quality-of-life in each year until death for patients that die, weighted by the prevalence of chronic conditions that we would have expected to see in the counterfactual as the patients aged. Note that the QALY weights at successive years of age are not derived from one control patient as </w:t>
      </w:r>
      <w:proofErr w:type="gramStart"/>
      <w:r w:rsidRPr="00BC7CA9">
        <w:rPr>
          <w:rFonts w:cs="Times New Roman"/>
        </w:rPr>
        <w:t>s(</w:t>
      </w:r>
      <w:proofErr w:type="gramEnd"/>
      <w:r w:rsidRPr="00BC7CA9">
        <w:rPr>
          <w:rFonts w:cs="Times New Roman"/>
        </w:rPr>
        <w:t xml:space="preserve">he) ages, but it is made up of all the control patients of different ages in our sample.  </w:t>
      </w:r>
    </w:p>
    <w:p w14:paraId="2D641DCB" w14:textId="77777777" w:rsidR="006A7335" w:rsidRPr="00BC7CA9" w:rsidRDefault="006A7335" w:rsidP="00BC7CA9">
      <w:pPr>
        <w:widowControl w:val="0"/>
        <w:autoSpaceDE w:val="0"/>
        <w:autoSpaceDN w:val="0"/>
        <w:adjustRightInd w:val="0"/>
        <w:spacing w:before="100" w:beforeAutospacing="1" w:after="240" w:line="360" w:lineRule="auto"/>
        <w:ind w:firstLine="720"/>
        <w:jc w:val="both"/>
        <w:rPr>
          <w:rFonts w:cs="Times New Roman"/>
        </w:rPr>
      </w:pPr>
      <w:r w:rsidRPr="00BC7CA9">
        <w:rPr>
          <w:rFonts w:cs="Times New Roman"/>
        </w:rPr>
        <w:t xml:space="preserve">The remaining healthy life years HLYs for patients of age </w:t>
      </w:r>
      <w:r w:rsidRPr="00BC7CA9">
        <w:rPr>
          <w:rFonts w:cs="Times New Roman"/>
          <w:i/>
        </w:rPr>
        <w:t>a</w:t>
      </w:r>
      <w:r w:rsidRPr="00BC7CA9">
        <w:rPr>
          <w:rFonts w:cs="Times New Roman"/>
        </w:rPr>
        <w:t xml:space="preserve"> and gender </w:t>
      </w:r>
      <w:r w:rsidRPr="00BC7CA9">
        <w:rPr>
          <w:rFonts w:cs="Times New Roman"/>
          <w:i/>
        </w:rPr>
        <w:t>g</w:t>
      </w:r>
      <w:r w:rsidRPr="00BC7CA9">
        <w:rPr>
          <w:rFonts w:cs="Times New Roman"/>
        </w:rPr>
        <w:t xml:space="preserve"> is given by </w:t>
      </w:r>
    </w:p>
    <w:p w14:paraId="74D7BD59" w14:textId="77777777" w:rsidR="006A7335" w:rsidRPr="00BC7CA9" w:rsidRDefault="003B13AE" w:rsidP="009964C1">
      <w:pPr>
        <w:widowControl w:val="0"/>
        <w:autoSpaceDE w:val="0"/>
        <w:autoSpaceDN w:val="0"/>
        <w:adjustRightInd w:val="0"/>
        <w:spacing w:before="100" w:beforeAutospacing="1" w:after="240" w:line="360" w:lineRule="auto"/>
        <w:jc w:val="center"/>
        <w:rPr>
          <w:rFonts w:cs="Times New Roman"/>
        </w:rPr>
      </w:pPr>
      <m:oMath>
        <m:sSub>
          <m:sSubPr>
            <m:ctrlPr>
              <w:rPr>
                <w:rFonts w:ascii="Cambria Math" w:hAnsi="Cambria Math" w:cs="Times New Roman"/>
                <w:i/>
              </w:rPr>
            </m:ctrlPr>
          </m:sSubPr>
          <m:e>
            <m:r>
              <w:rPr>
                <w:rFonts w:ascii="Cambria Math" w:hAnsi="Cambria Math" w:cs="Times New Roman"/>
              </w:rPr>
              <m:t>HLY</m:t>
            </m:r>
          </m:e>
          <m:sub>
            <m:r>
              <w:rPr>
                <w:rFonts w:ascii="Cambria Math" w:hAnsi="Cambria Math" w:cs="Times New Roman"/>
              </w:rPr>
              <m:t>ag</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a=y</m:t>
            </m:r>
          </m:sub>
          <m:sup>
            <m:r>
              <w:rPr>
                <w:rFonts w:ascii="Cambria Math" w:hAnsi="Cambria Math" w:cs="Times New Roman"/>
              </w:rPr>
              <m:t>LE</m:t>
            </m:r>
          </m:sup>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a</m:t>
                </m:r>
              </m:sub>
            </m:sSub>
          </m:e>
        </m:nary>
      </m:oMath>
      <w:r w:rsidR="006A7335" w:rsidRPr="00BC7CA9">
        <w:rPr>
          <w:rFonts w:cs="Times New Roman"/>
        </w:rPr>
        <w:tab/>
      </w:r>
      <w:r w:rsidR="006A7335" w:rsidRPr="00BC7CA9">
        <w:rPr>
          <w:rFonts w:cs="Times New Roman"/>
        </w:rPr>
        <w:tab/>
      </w:r>
      <w:r w:rsidR="006A7335" w:rsidRPr="00BC7CA9">
        <w:rPr>
          <w:rFonts w:cs="Times New Roman"/>
        </w:rPr>
        <w:tab/>
        <w:t>(2)</w:t>
      </w:r>
    </w:p>
    <w:p w14:paraId="1387FFE9" w14:textId="4DBA4929" w:rsidR="006A7335" w:rsidRPr="00BC7CA9" w:rsidRDefault="006A7335" w:rsidP="00BC7CA9">
      <w:pPr>
        <w:widowControl w:val="0"/>
        <w:autoSpaceDE w:val="0"/>
        <w:autoSpaceDN w:val="0"/>
        <w:adjustRightInd w:val="0"/>
        <w:spacing w:before="100" w:beforeAutospacing="1" w:after="240" w:line="360" w:lineRule="auto"/>
        <w:ind w:firstLine="720"/>
        <w:jc w:val="both"/>
        <w:rPr>
          <w:rFonts w:cs="Times New Roman"/>
        </w:rPr>
      </w:pPr>
      <w:r w:rsidRPr="00BC7CA9">
        <w:rPr>
          <w:rFonts w:cs="Times New Roman"/>
        </w:rPr>
        <w:t xml:space="preserve">Remaining healthy life years </w:t>
      </w:r>
      <w:proofErr w:type="spellStart"/>
      <w:r w:rsidRPr="00BC7CA9">
        <w:rPr>
          <w:rFonts w:cs="Times New Roman"/>
          <w:i/>
        </w:rPr>
        <w:t>HLY</w:t>
      </w:r>
      <w:r w:rsidRPr="00BC7CA9">
        <w:rPr>
          <w:rFonts w:cs="Times New Roman"/>
          <w:i/>
          <w:vertAlign w:val="subscript"/>
        </w:rPr>
        <w:t>ag</w:t>
      </w:r>
      <w:proofErr w:type="spellEnd"/>
      <w:r w:rsidRPr="00BC7CA9">
        <w:rPr>
          <w:rFonts w:cs="Times New Roman"/>
        </w:rPr>
        <w:t xml:space="preserve"> are the sum of age-averaged QALY weights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a</m:t>
            </m:r>
          </m:sub>
        </m:sSub>
      </m:oMath>
      <w:r w:rsidRPr="00BC7CA9">
        <w:rPr>
          <w:rFonts w:cs="Times New Roman"/>
        </w:rPr>
        <w:t xml:space="preserve"> for each year of the remaining years of life of the patient, meaning from her age in the year of admission </w:t>
      </w:r>
      <w:r w:rsidRPr="00BC7CA9">
        <w:rPr>
          <w:rFonts w:cs="Times New Roman"/>
          <w:i/>
        </w:rPr>
        <w:t>y</w:t>
      </w:r>
      <w:r w:rsidRPr="00BC7CA9">
        <w:rPr>
          <w:rFonts w:cs="Times New Roman"/>
        </w:rPr>
        <w:t xml:space="preserve"> to the last expected year of life as given by the remaining life expectancy </w:t>
      </w:r>
      <w:r w:rsidRPr="00BC7CA9">
        <w:rPr>
          <w:rFonts w:cs="Times New Roman"/>
          <w:i/>
        </w:rPr>
        <w:t>LE</w:t>
      </w:r>
      <w:r w:rsidRPr="00BC7CA9">
        <w:rPr>
          <w:rFonts w:cs="Times New Roman"/>
        </w:rPr>
        <w:t>. We obtain</w:t>
      </w:r>
      <w:r w:rsidR="00C24C18" w:rsidRPr="00BC7CA9">
        <w:rPr>
          <w:rFonts w:cs="Times New Roman"/>
        </w:rPr>
        <w:t>ed</w:t>
      </w:r>
      <w:r w:rsidRPr="00BC7CA9">
        <w:rPr>
          <w:rFonts w:cs="Times New Roman"/>
        </w:rPr>
        <w:t xml:space="preserve"> information on remaining </w:t>
      </w:r>
      <w:r w:rsidRPr="00BC7CA9">
        <w:rPr>
          <w:rFonts w:cs="Times New Roman"/>
          <w:i/>
        </w:rPr>
        <w:t>LE</w:t>
      </w:r>
      <w:r w:rsidRPr="00BC7CA9">
        <w:rPr>
          <w:rFonts w:cs="Times New Roman"/>
        </w:rPr>
        <w:t xml:space="preserve"> from the Office for National Statistics </w:t>
      </w:r>
      <w:r w:rsidR="002604F0">
        <w:rPr>
          <w:rFonts w:cs="Times New Roman"/>
        </w:rPr>
        <w:fldChar w:fldCharType="begin"/>
      </w:r>
      <w:r w:rsidR="002604F0">
        <w:rPr>
          <w:rFonts w:cs="Times New Roman"/>
        </w:rPr>
        <w:instrText xml:space="preserve"> ADDIN EN.CITE &lt;EndNote&gt;&lt;Cite ExcludeAuth="1"&gt;&lt;Author&gt;AHRQ&lt;/Author&gt;&lt;Year&gt;2014&lt;/Year&gt;&lt;RecNum&gt;681&lt;/RecNum&gt;&lt;DisplayText&gt;(9)&lt;/DisplayText&gt;&lt;record&gt;&lt;rec-number&gt;681&lt;/rec-number&gt;&lt;foreign-keys&gt;&lt;key app="EN" db-id="fweew0v96zr2xze25xrvwf59dx52x9w0spr9" timestamp="1460980283"&gt;681&lt;/key&gt;&lt;/foreign-keys&gt;&lt;ref-type name="Government Document"&gt;46&lt;/ref-type&gt;&lt;contributors&gt;&lt;authors&gt;&lt;author&gt;AHRQ&lt;/author&gt;&lt;/authors&gt;&lt;secondary-authors&gt;&lt;author&gt;Agency for Healthcare Research and Quality,&lt;/author&gt;&lt;/secondary-authors&gt;&lt;/contributors&gt;&lt;titles&gt;&lt;title&gt;Postoperative Hip Fracture Rate Technical Specifications,&lt;/title&gt;&lt;/titles&gt;&lt;dates&gt;&lt;year&gt;2014&lt;/year&gt;&lt;/dates&gt;&lt;publisher&gt;U.S. Department of Health and Human Services&lt;/publisher&gt;&lt;urls&gt;&lt;/urls&gt;&lt;/record&gt;&lt;/Cite&gt;&lt;/EndNote&gt;</w:instrText>
      </w:r>
      <w:r w:rsidR="002604F0">
        <w:rPr>
          <w:rFonts w:cs="Times New Roman"/>
        </w:rPr>
        <w:fldChar w:fldCharType="separate"/>
      </w:r>
      <w:r w:rsidR="002604F0">
        <w:rPr>
          <w:rFonts w:cs="Times New Roman"/>
          <w:noProof/>
        </w:rPr>
        <w:t>(9)</w:t>
      </w:r>
      <w:r w:rsidR="002604F0">
        <w:rPr>
          <w:rFonts w:cs="Times New Roman"/>
        </w:rPr>
        <w:fldChar w:fldCharType="end"/>
      </w:r>
      <w:r w:rsidRPr="00BC7CA9">
        <w:rPr>
          <w:rFonts w:cs="Times New Roman"/>
        </w:rPr>
        <w:t xml:space="preserve">.  For example, for a </w:t>
      </w:r>
      <w:r w:rsidR="000E770A" w:rsidRPr="00BC7CA9">
        <w:rPr>
          <w:rFonts w:cs="Times New Roman"/>
        </w:rPr>
        <w:t xml:space="preserve">female </w:t>
      </w:r>
      <w:r w:rsidRPr="00BC7CA9">
        <w:rPr>
          <w:rFonts w:cs="Times New Roman"/>
        </w:rPr>
        <w:t xml:space="preserve">patient of age 61 with a remaining </w:t>
      </w:r>
      <w:r w:rsidRPr="00BC7CA9">
        <w:rPr>
          <w:rFonts w:cs="Times New Roman"/>
          <w:i/>
        </w:rPr>
        <w:t>LE</w:t>
      </w:r>
      <w:r w:rsidRPr="00BC7CA9">
        <w:rPr>
          <w:rFonts w:cs="Times New Roman"/>
        </w:rPr>
        <w:t xml:space="preserve"> of </w:t>
      </w:r>
      <w:r w:rsidR="000E770A" w:rsidRPr="00BC7CA9">
        <w:rPr>
          <w:rFonts w:cs="Times New Roman"/>
        </w:rPr>
        <w:t>around 25 years</w:t>
      </w:r>
      <w:r w:rsidRPr="00BC7CA9">
        <w:rPr>
          <w:rFonts w:cs="Times New Roman"/>
        </w:rPr>
        <w:t xml:space="preserve">, the remaining healthy life years are given by the sum of the average QALY weights for control patients of age 62, 63, up to the average QALY weight for control patients of age 86. HLYs varies </w:t>
      </w:r>
      <w:r w:rsidR="000E770A" w:rsidRPr="00BC7CA9">
        <w:rPr>
          <w:rFonts w:cs="Times New Roman"/>
        </w:rPr>
        <w:t>by age, gender and PSI. Figure</w:t>
      </w:r>
      <w:r w:rsidRPr="00BC7CA9">
        <w:rPr>
          <w:rFonts w:cs="Times New Roman"/>
        </w:rPr>
        <w:t xml:space="preserve"> </w:t>
      </w:r>
      <w:r w:rsidR="009513B0">
        <w:rPr>
          <w:rFonts w:cs="Times New Roman"/>
        </w:rPr>
        <w:t>S</w:t>
      </w:r>
      <w:r w:rsidR="008F49EC" w:rsidRPr="00BC7CA9">
        <w:rPr>
          <w:rFonts w:cs="Times New Roman"/>
        </w:rPr>
        <w:t>2</w:t>
      </w:r>
      <w:r w:rsidR="000E770A" w:rsidRPr="00BC7CA9">
        <w:rPr>
          <w:rFonts w:cs="Times New Roman"/>
        </w:rPr>
        <w:t xml:space="preserve"> </w:t>
      </w:r>
      <w:r w:rsidRPr="00BC7CA9">
        <w:rPr>
          <w:rFonts w:cs="Times New Roman"/>
        </w:rPr>
        <w:t>plot</w:t>
      </w:r>
      <w:r w:rsidR="000E770A" w:rsidRPr="00BC7CA9">
        <w:rPr>
          <w:rFonts w:cs="Times New Roman"/>
        </w:rPr>
        <w:t xml:space="preserve">s </w:t>
      </w:r>
      <w:r w:rsidR="000E770A" w:rsidRPr="00BC7CA9">
        <w:rPr>
          <w:rFonts w:cs="Times New Roman"/>
          <w:i/>
        </w:rPr>
        <w:t>LE</w:t>
      </w:r>
      <w:r w:rsidR="00BC3CD1" w:rsidRPr="00BC7CA9">
        <w:rPr>
          <w:rFonts w:cs="Times New Roman"/>
          <w:i/>
        </w:rPr>
        <w:t xml:space="preserve">, HLY </w:t>
      </w:r>
      <w:r w:rsidR="00BC3CD1" w:rsidRPr="00BC7CA9">
        <w:rPr>
          <w:rFonts w:cs="Times New Roman"/>
        </w:rPr>
        <w:t xml:space="preserve">considering only population QALY reductions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b</m:t>
            </m:r>
          </m:sub>
        </m:sSub>
      </m:oMath>
      <w:r w:rsidR="00BC3CD1" w:rsidRPr="00BC7CA9">
        <w:rPr>
          <w:rFonts w:cs="Times New Roman"/>
        </w:rPr>
        <w:t xml:space="preserve"> (i.e. the situation where no patient has any comorbidities),</w:t>
      </w:r>
      <w:r w:rsidR="000E770A" w:rsidRPr="00BC7CA9">
        <w:rPr>
          <w:rFonts w:cs="Times New Roman"/>
        </w:rPr>
        <w:t xml:space="preserve"> and</w:t>
      </w:r>
      <w:r w:rsidRPr="00BC7CA9">
        <w:rPr>
          <w:rFonts w:cs="Times New Roman"/>
        </w:rPr>
        <w:t xml:space="preserve"> </w:t>
      </w:r>
      <w:proofErr w:type="spellStart"/>
      <w:r w:rsidRPr="00BC7CA9">
        <w:rPr>
          <w:rFonts w:cs="Times New Roman"/>
          <w:i/>
        </w:rPr>
        <w:t>HLY</w:t>
      </w:r>
      <w:r w:rsidRPr="00BC7CA9">
        <w:rPr>
          <w:rFonts w:cs="Times New Roman"/>
          <w:i/>
          <w:vertAlign w:val="subscript"/>
        </w:rPr>
        <w:t>ag</w:t>
      </w:r>
      <w:proofErr w:type="spellEnd"/>
      <w:r w:rsidRPr="00BC7CA9">
        <w:rPr>
          <w:rFonts w:cs="Times New Roman"/>
        </w:rPr>
        <w:t xml:space="preserve"> </w:t>
      </w:r>
      <w:r w:rsidR="00BC3CD1" w:rsidRPr="00BC7CA9">
        <w:rPr>
          <w:rFonts w:cs="Times New Roman"/>
        </w:rPr>
        <w:t xml:space="preserve">considering QALY reductions due to comorbidities, </w:t>
      </w:r>
      <w:r w:rsidRPr="00BC7CA9">
        <w:rPr>
          <w:rFonts w:cs="Times New Roman"/>
        </w:rPr>
        <w:t xml:space="preserve">for </w:t>
      </w:r>
      <w:r w:rsidR="000E770A" w:rsidRPr="00BC7CA9">
        <w:rPr>
          <w:rFonts w:cs="Times New Roman"/>
        </w:rPr>
        <w:t>the matched control patients of Pressure Ulcers, as example. Values are similar for other PSIs</w:t>
      </w:r>
      <w:r w:rsidRPr="00BC7CA9">
        <w:rPr>
          <w:rFonts w:cs="Times New Roman"/>
        </w:rPr>
        <w:t>.</w:t>
      </w:r>
    </w:p>
    <w:p w14:paraId="63715BCB" w14:textId="77777777" w:rsidR="006A7335" w:rsidRPr="00BC7CA9" w:rsidRDefault="006A7335" w:rsidP="00BC7CA9">
      <w:pPr>
        <w:widowControl w:val="0"/>
        <w:autoSpaceDE w:val="0"/>
        <w:autoSpaceDN w:val="0"/>
        <w:adjustRightInd w:val="0"/>
        <w:spacing w:before="100" w:beforeAutospacing="1" w:after="240" w:line="360" w:lineRule="auto"/>
        <w:ind w:firstLine="720"/>
        <w:jc w:val="both"/>
        <w:rPr>
          <w:rFonts w:cs="Times New Roman"/>
        </w:rPr>
      </w:pPr>
      <w:r w:rsidRPr="00BC7CA9">
        <w:rPr>
          <w:rFonts w:cs="Times New Roman"/>
        </w:rPr>
        <w:t xml:space="preserve">Predictions about the yearly loss in life years need to incorporate the excess mortality risk. Expected loss of healthy life years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ag</m:t>
            </m:r>
          </m:sub>
        </m:sSub>
      </m:oMath>
      <w:r w:rsidRPr="00BC7CA9">
        <w:rPr>
          <w:rFonts w:cs="Times New Roman"/>
        </w:rPr>
        <w:t xml:space="preserve"> for patients of age </w:t>
      </w:r>
      <w:r w:rsidRPr="00BC7CA9">
        <w:rPr>
          <w:rFonts w:cs="Times New Roman"/>
          <w:i/>
        </w:rPr>
        <w:t>a</w:t>
      </w:r>
      <w:r w:rsidRPr="00BC7CA9">
        <w:rPr>
          <w:rFonts w:cs="Times New Roman"/>
        </w:rPr>
        <w:t xml:space="preserve"> and gender </w:t>
      </w:r>
      <w:r w:rsidRPr="00BC7CA9">
        <w:rPr>
          <w:rFonts w:cs="Times New Roman"/>
          <w:i/>
        </w:rPr>
        <w:t>g</w:t>
      </w:r>
      <w:r w:rsidRPr="00BC7CA9">
        <w:rPr>
          <w:rFonts w:cs="Times New Roman"/>
        </w:rPr>
        <w:t xml:space="preserve"> is the difference between the expected loss in healthy life years of PS and control patients, and is given by </w:t>
      </w:r>
    </w:p>
    <w:p w14:paraId="0EDB65E6" w14:textId="77777777" w:rsidR="006A7335" w:rsidRPr="00BC7CA9" w:rsidRDefault="003B13AE" w:rsidP="009964C1">
      <w:pPr>
        <w:widowControl w:val="0"/>
        <w:autoSpaceDE w:val="0"/>
        <w:autoSpaceDN w:val="0"/>
        <w:adjustRightInd w:val="0"/>
        <w:spacing w:before="100" w:beforeAutospacing="1" w:after="240" w:line="360" w:lineRule="auto"/>
        <w:jc w:val="center"/>
        <w:rPr>
          <w:rFonts w:cs="Times New Roman"/>
        </w:rPr>
      </w:pP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ag</m:t>
            </m:r>
          </m:sub>
        </m:sSub>
        <m:r>
          <w:rPr>
            <w:rFonts w:ascii="Cambria Math" w:hAnsi="Cambria Math" w:cs="Times New Roman"/>
          </w:rPr>
          <m:t>=[S</m:t>
        </m:r>
        <m:d>
          <m:dPr>
            <m:ctrlPr>
              <w:rPr>
                <w:rFonts w:ascii="Cambria Math" w:hAnsi="Cambria Math" w:cs="Times New Roman"/>
                <w:i/>
              </w:rPr>
            </m:ctrlPr>
          </m:dPr>
          <m:e>
            <m:r>
              <w:rPr>
                <w:rFonts w:ascii="Cambria Math" w:hAnsi="Cambria Math" w:cs="Times New Roman"/>
              </w:rPr>
              <m:t>1</m:t>
            </m:r>
          </m:e>
        </m:d>
        <m:r>
          <w:rPr>
            <w:rFonts w:ascii="Cambria Math" w:hAnsi="Cambria Math" w:cs="Times New Roman"/>
          </w:rPr>
          <m:t>-S</m:t>
        </m:r>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HLY</m:t>
            </m:r>
          </m:e>
          <m:sub>
            <m:r>
              <w:rPr>
                <w:rFonts w:ascii="Cambria Math" w:hAnsi="Cambria Math" w:cs="Times New Roman"/>
              </w:rPr>
              <m:t>ag</m:t>
            </m:r>
          </m:sub>
        </m:sSub>
      </m:oMath>
      <w:r w:rsidR="006A7335" w:rsidRPr="00BC7CA9">
        <w:rPr>
          <w:rFonts w:cs="Times New Roman"/>
        </w:rPr>
        <w:tab/>
      </w:r>
      <w:r w:rsidR="006A7335" w:rsidRPr="00BC7CA9">
        <w:rPr>
          <w:rFonts w:cs="Times New Roman"/>
        </w:rPr>
        <w:tab/>
      </w:r>
      <w:r w:rsidR="006A7335" w:rsidRPr="00BC7CA9">
        <w:rPr>
          <w:rFonts w:cs="Times New Roman"/>
        </w:rPr>
        <w:tab/>
        <w:t>(3),</w:t>
      </w:r>
    </w:p>
    <w:p w14:paraId="11E0D24B" w14:textId="4E42E05F" w:rsidR="006A7335" w:rsidRPr="00BC7CA9" w:rsidRDefault="006A7335" w:rsidP="00BC7CA9">
      <w:pPr>
        <w:widowControl w:val="0"/>
        <w:autoSpaceDE w:val="0"/>
        <w:autoSpaceDN w:val="0"/>
        <w:adjustRightInd w:val="0"/>
        <w:spacing w:before="100" w:beforeAutospacing="1" w:after="240" w:line="360" w:lineRule="auto"/>
        <w:jc w:val="both"/>
        <w:rPr>
          <w:rFonts w:cs="Times New Roman"/>
        </w:rPr>
      </w:pPr>
      <w:proofErr w:type="gramStart"/>
      <w:r w:rsidRPr="00BC7CA9">
        <w:rPr>
          <w:rFonts w:cs="Times New Roman"/>
        </w:rPr>
        <w:t>where</w:t>
      </w:r>
      <w:proofErr w:type="gramEnd"/>
      <w:r w:rsidRPr="00BC7CA9">
        <w:rPr>
          <w:rFonts w:cs="Times New Roman"/>
        </w:rPr>
        <w:t xml:space="preserve"> S(1) and S(0) represent the estimated survival probabilities of PS and matched control patients, derived from the estimated risk of mortality. They represent average risk of death across all age and </w:t>
      </w:r>
      <w:r w:rsidRPr="00BC7CA9">
        <w:rPr>
          <w:rFonts w:cs="Times New Roman"/>
        </w:rPr>
        <w:lastRenderedPageBreak/>
        <w:t xml:space="preserve">gender of patients for one PSI. There is a predicted loss in QALYs due to increased risk of death if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ag</m:t>
            </m:r>
          </m:sub>
        </m:sSub>
        <m:r>
          <w:rPr>
            <w:rFonts w:ascii="Cambria Math" w:hAnsi="Cambria Math" w:cs="Times New Roman"/>
          </w:rPr>
          <m:t>&lt;0</m:t>
        </m:r>
      </m:oMath>
      <w:r w:rsidRPr="00BC7CA9">
        <w:rPr>
          <w:rFonts w:cs="Times New Roman"/>
        </w:rPr>
        <w:t xml:space="preserve"> </w:t>
      </w:r>
      <w:proofErr w:type="gramStart"/>
      <w:r w:rsidRPr="00BC7CA9">
        <w:rPr>
          <w:rFonts w:cs="Times New Roman"/>
        </w:rPr>
        <w:t xml:space="preserve">and </w:t>
      </w:r>
      <w:proofErr w:type="gramEnd"/>
      <m:oMath>
        <m:r>
          <w:rPr>
            <w:rFonts w:ascii="Cambria Math" w:hAnsi="Cambria Math" w:cs="Times New Roman"/>
          </w:rPr>
          <m:t>S(1)&lt;S(0)</m:t>
        </m:r>
      </m:oMath>
      <w:r w:rsidRPr="00BC7CA9">
        <w:rPr>
          <w:rFonts w:cs="Times New Roman"/>
        </w:rPr>
        <w:t xml:space="preserve">. This occurs if the PS event is expected to reduce probability of survival of PS patients below the expected survival of control patients. The magnitude of the loss is then dependent on the value of the remaining </w:t>
      </w:r>
      <w:proofErr w:type="spellStart"/>
      <w:r w:rsidRPr="00BC7CA9">
        <w:rPr>
          <w:rFonts w:cs="Times New Roman"/>
          <w:i/>
        </w:rPr>
        <w:t>HLY</w:t>
      </w:r>
      <w:r w:rsidRPr="00BC7CA9">
        <w:rPr>
          <w:rFonts w:cs="Times New Roman"/>
          <w:i/>
          <w:vertAlign w:val="subscript"/>
        </w:rPr>
        <w:t>ag</w:t>
      </w:r>
      <w:proofErr w:type="spellEnd"/>
      <w:r w:rsidRPr="00BC7CA9">
        <w:rPr>
          <w:rFonts w:cs="Times New Roman"/>
        </w:rPr>
        <w:t xml:space="preserve"> of the control patients. </w:t>
      </w:r>
      <w:proofErr w:type="spellStart"/>
      <w:r w:rsidRPr="00BC7CA9">
        <w:rPr>
          <w:rFonts w:cs="Times New Roman"/>
          <w:i/>
        </w:rPr>
        <w:t>HLY</w:t>
      </w:r>
      <w:r w:rsidRPr="00BC7CA9">
        <w:rPr>
          <w:rFonts w:cs="Times New Roman"/>
          <w:i/>
          <w:vertAlign w:val="subscript"/>
        </w:rPr>
        <w:t>ag</w:t>
      </w:r>
      <w:proofErr w:type="spellEnd"/>
      <w:r w:rsidRPr="00BC7CA9">
        <w:rPr>
          <w:rFonts w:cs="Times New Roman"/>
        </w:rPr>
        <w:t xml:space="preserve"> loss is higher for younger than older patient because remaining LE is higher, and it is higher for patients that have fewer chronic conditions, i.e. in a situation where we predict</w:t>
      </w:r>
      <w:r w:rsidR="00C24C18" w:rsidRPr="00BC7CA9">
        <w:rPr>
          <w:rFonts w:cs="Times New Roman"/>
        </w:rPr>
        <w:t>ed</w:t>
      </w:r>
      <w:r w:rsidRPr="00BC7CA9">
        <w:rPr>
          <w:rFonts w:cs="Times New Roman"/>
        </w:rPr>
        <w:t xml:space="preserve"> counterfactual health status to be relatively high. If we cannot reject the null hypothesis that there is no difference between the survival probabilities of PS patients and matched controls at 95% confidence level, the PS event is predicted not to reduce probability of survival. We then set the survival probability of PS patients equal to the survival probability of controls, i.e</w:t>
      </w:r>
      <w:proofErr w:type="gramStart"/>
      <w:r w:rsidRPr="00BC7CA9">
        <w:rPr>
          <w:rFonts w:cs="Times New Roman"/>
        </w:rPr>
        <w:t xml:space="preserve">. </w:t>
      </w:r>
      <w:proofErr w:type="gramEnd"/>
      <m:oMath>
        <m:r>
          <w:rPr>
            <w:rFonts w:ascii="Cambria Math" w:hAnsi="Cambria Math" w:cs="Times New Roman"/>
          </w:rPr>
          <m:t>S(1)=S(0)=S</m:t>
        </m:r>
      </m:oMath>
      <w:r w:rsidRPr="00BC7CA9">
        <w:rPr>
          <w:rFonts w:cs="Times New Roman"/>
        </w:rPr>
        <w:t xml:space="preserve">, and there is no expected loss due to mortality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ag</m:t>
            </m:r>
          </m:sub>
        </m:sSub>
        <m:r>
          <w:rPr>
            <w:rFonts w:ascii="Cambria Math" w:hAnsi="Cambria Math" w:cs="Times New Roman"/>
          </w:rPr>
          <m:t>=0</m:t>
        </m:r>
      </m:oMath>
      <w:r w:rsidRPr="00BC7CA9">
        <w:rPr>
          <w:rFonts w:cs="Times New Roman"/>
        </w:rPr>
        <w:t xml:space="preserve">.  </w:t>
      </w:r>
    </w:p>
    <w:p w14:paraId="78F04163" w14:textId="58E20503" w:rsidR="006A7335" w:rsidRPr="00BC7CA9" w:rsidRDefault="006A7335" w:rsidP="00BC7CA9">
      <w:pPr>
        <w:widowControl w:val="0"/>
        <w:autoSpaceDE w:val="0"/>
        <w:autoSpaceDN w:val="0"/>
        <w:adjustRightInd w:val="0"/>
        <w:spacing w:before="100" w:beforeAutospacing="1" w:after="240" w:line="360" w:lineRule="auto"/>
        <w:jc w:val="both"/>
        <w:rPr>
          <w:rFonts w:cs="Times New Roman"/>
        </w:rPr>
      </w:pPr>
      <w:r w:rsidRPr="00BC7CA9">
        <w:rPr>
          <w:rFonts w:cs="Times New Roman"/>
        </w:rPr>
        <w:t>The total expected loss in HLYs due to death needs to be summed over all patients for one PSI and year. It is given by</w:t>
      </w:r>
    </w:p>
    <w:p w14:paraId="3409715F" w14:textId="77777777" w:rsidR="006A7335" w:rsidRPr="00BC7CA9" w:rsidRDefault="003B13AE" w:rsidP="009964C1">
      <w:pPr>
        <w:widowControl w:val="0"/>
        <w:autoSpaceDE w:val="0"/>
        <w:autoSpaceDN w:val="0"/>
        <w:adjustRightInd w:val="0"/>
        <w:spacing w:before="100" w:beforeAutospacing="1" w:after="240" w:line="360" w:lineRule="auto"/>
        <w:jc w:val="center"/>
        <w:rPr>
          <w:rFonts w:cs="Times New Roman"/>
        </w:rPr>
      </w:pPr>
      <m:oMath>
        <m:sSub>
          <m:sSubPr>
            <m:ctrlPr>
              <w:rPr>
                <w:rFonts w:ascii="Cambria Math" w:hAnsi="Cambria Math" w:cs="Times New Roman"/>
                <w:i/>
              </w:rPr>
            </m:ctrlPr>
          </m:sSubPr>
          <m:e>
            <m:r>
              <w:rPr>
                <w:rFonts w:ascii="Cambria Math" w:hAnsi="Cambria Math" w:cs="Times New Roman"/>
              </w:rPr>
              <m:t>HL</m:t>
            </m:r>
          </m:e>
          <m:sub>
            <m:r>
              <w:rPr>
                <w:rFonts w:ascii="Cambria Math" w:hAnsi="Cambria Math" w:cs="Times New Roman"/>
              </w:rPr>
              <m:t>death</m:t>
            </m:r>
          </m:sub>
        </m:sSub>
        <m:r>
          <w:rPr>
            <w:rFonts w:ascii="Cambria Math" w:hAnsi="Cambria Math" w:cs="Times New Roman"/>
          </w:rPr>
          <m:t>=</m:t>
        </m:r>
        <m:r>
          <m:rPr>
            <m:sty m:val="p"/>
          </m:rPr>
          <w:rPr>
            <w:rFonts w:ascii="Cambria Math" w:hAnsi="Cambria Math" w:cs="Times New Roman"/>
          </w:rPr>
          <m:t xml:space="preserve"> </m:t>
        </m:r>
        <m:nary>
          <m:naryPr>
            <m:chr m:val="∑"/>
            <m:limLoc m:val="undOvr"/>
            <m:ctrlPr>
              <w:rPr>
                <w:rFonts w:ascii="Cambria Math" w:hAnsi="Cambria Math" w:cs="Times New Roman"/>
              </w:rPr>
            </m:ctrlPr>
          </m:naryPr>
          <m:sub>
            <m:r>
              <w:rPr>
                <w:rFonts w:ascii="Cambria Math" w:hAnsi="Cambria Math" w:cs="Times New Roman"/>
              </w:rPr>
              <m:t>g=1</m:t>
            </m:r>
          </m:sub>
          <m:sup>
            <m:r>
              <w:rPr>
                <w:rFonts w:ascii="Cambria Math" w:hAnsi="Cambria Math" w:cs="Times New Roman"/>
              </w:rPr>
              <m:t>2</m:t>
            </m:r>
          </m:sup>
          <m:e>
            <m:nary>
              <m:naryPr>
                <m:chr m:val="∑"/>
                <m:limLoc m:val="undOvr"/>
                <m:ctrlPr>
                  <w:rPr>
                    <w:rFonts w:ascii="Cambria Math" w:hAnsi="Cambria Math" w:cs="Times New Roman"/>
                  </w:rPr>
                </m:ctrlPr>
              </m:naryPr>
              <m:sub>
                <m:r>
                  <w:rPr>
                    <w:rFonts w:ascii="Cambria Math" w:hAnsi="Cambria Math" w:cs="Times New Roman"/>
                  </w:rPr>
                  <m:t>a=16</m:t>
                </m:r>
              </m:sub>
              <m:sup>
                <m:r>
                  <w:rPr>
                    <w:rFonts w:ascii="Cambria Math" w:hAnsi="Cambria Math" w:cs="Times New Roman"/>
                  </w:rPr>
                  <m:t>115</m:t>
                </m:r>
              </m:sup>
              <m:e>
                <m:sSub>
                  <m:sSubPr>
                    <m:ctrlPr>
                      <w:rPr>
                        <w:rFonts w:ascii="Cambria Math" w:hAnsi="Cambria Math" w:cs="Times New Roman"/>
                      </w:rPr>
                    </m:ctrlPr>
                  </m:sSubPr>
                  <m:e>
                    <m:r>
                      <w:rPr>
                        <w:rFonts w:ascii="Cambria Math" w:hAnsi="Cambria Math" w:cs="Times New Roman"/>
                      </w:rPr>
                      <m:t>L</m:t>
                    </m:r>
                  </m:e>
                  <m:sub>
                    <m:r>
                      <m:rPr>
                        <m:sty m:val="p"/>
                      </m:rPr>
                      <w:rPr>
                        <w:rFonts w:ascii="Cambria Math" w:hAnsi="Cambria Math" w:cs="Times New Roman"/>
                      </w:rPr>
                      <m:t>ag</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ag</m:t>
                    </m:r>
                  </m:sub>
                </m:sSub>
              </m:e>
            </m:nary>
          </m:e>
        </m:nary>
        <m:r>
          <m:rPr>
            <m:sty m:val="p"/>
          </m:rPr>
          <w:rPr>
            <w:rFonts w:ascii="Cambria Math" w:hAnsi="Cambria Math" w:cs="Times New Roman"/>
          </w:rPr>
          <m:t xml:space="preserve"> </m:t>
        </m:r>
      </m:oMath>
      <w:r w:rsidR="006A7335" w:rsidRPr="00BC7CA9">
        <w:rPr>
          <w:rFonts w:cs="Times New Roman"/>
        </w:rPr>
        <w:tab/>
      </w:r>
      <w:r w:rsidR="006A7335" w:rsidRPr="00BC7CA9">
        <w:rPr>
          <w:rFonts w:cs="Times New Roman"/>
        </w:rPr>
        <w:tab/>
      </w:r>
      <w:r w:rsidR="006A7335" w:rsidRPr="00BC7CA9">
        <w:rPr>
          <w:rFonts w:cs="Times New Roman"/>
        </w:rPr>
        <w:tab/>
        <w:t>(4)</w:t>
      </w:r>
    </w:p>
    <w:p w14:paraId="54F7D30F" w14:textId="39EA28C2" w:rsidR="006A7335" w:rsidRPr="00193500" w:rsidRDefault="006A7335" w:rsidP="00892AA4">
      <w:pPr>
        <w:widowControl w:val="0"/>
        <w:autoSpaceDE w:val="0"/>
        <w:autoSpaceDN w:val="0"/>
        <w:adjustRightInd w:val="0"/>
        <w:spacing w:before="100" w:beforeAutospacing="1" w:after="240" w:line="360" w:lineRule="auto"/>
        <w:jc w:val="both"/>
        <w:rPr>
          <w:rFonts w:ascii="Times New Roman" w:hAnsi="Times New Roman" w:cs="Times New Roman"/>
          <w:sz w:val="20"/>
          <w:szCs w:val="20"/>
        </w:rPr>
      </w:pPr>
      <w:r w:rsidRPr="00BC7CA9">
        <w:rPr>
          <w:rFonts w:cs="Times New Roman"/>
        </w:rPr>
        <w:t xml:space="preserve">The number of PS patients in each age group is given </w:t>
      </w:r>
      <w:proofErr w:type="gramStart"/>
      <w:r w:rsidRPr="00BC7CA9">
        <w:rPr>
          <w:rFonts w:cs="Times New Roman"/>
        </w:rPr>
        <w:t xml:space="preserve">by </w:t>
      </w:r>
      <w:proofErr w:type="gramEnd"/>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a</m:t>
            </m:r>
          </m:sub>
        </m:sSub>
      </m:oMath>
      <w:r w:rsidRPr="00BC7CA9">
        <w:rPr>
          <w:rFonts w:cs="Times New Roman"/>
        </w:rPr>
        <w:t xml:space="preserve">, and the age of patients at admission is allowed to vary from a minimum of 16 to 115.  </w:t>
      </w:r>
      <w:r w:rsidR="003B3443">
        <w:rPr>
          <w:rFonts w:cs="Times New Roman"/>
        </w:rPr>
        <w:t xml:space="preserve">The </w:t>
      </w:r>
      <w:r w:rsidR="00833A94">
        <w:rPr>
          <w:rFonts w:cs="Times New Roman"/>
        </w:rPr>
        <w:t xml:space="preserve">lost HLYs are standardized to the English population in the respective years, and expressed per 100,000. </w:t>
      </w:r>
      <w:r w:rsidRPr="00193500">
        <w:rPr>
          <w:rFonts w:ascii="Times New Roman" w:hAnsi="Times New Roman" w:cs="Times New Roman"/>
          <w:sz w:val="20"/>
          <w:szCs w:val="20"/>
        </w:rPr>
        <w:br w:type="page"/>
      </w:r>
    </w:p>
    <w:p w14:paraId="4268CCCD" w14:textId="692DD177" w:rsidR="007202B0" w:rsidRPr="00BC7CA9" w:rsidRDefault="006A7335" w:rsidP="009964C1">
      <w:pPr>
        <w:pStyle w:val="Heading1"/>
        <w:numPr>
          <w:ilvl w:val="0"/>
          <w:numId w:val="10"/>
        </w:numPr>
        <w:rPr>
          <w:rFonts w:asciiTheme="minorHAnsi" w:hAnsiTheme="minorHAnsi" w:cs="Arial"/>
          <w:sz w:val="24"/>
          <w:szCs w:val="24"/>
        </w:rPr>
      </w:pPr>
      <w:bookmarkStart w:id="16" w:name="_Toc457312914"/>
      <w:r w:rsidRPr="00BC7CA9">
        <w:rPr>
          <w:rFonts w:asciiTheme="minorHAnsi" w:hAnsiTheme="minorHAnsi" w:cs="Arial"/>
          <w:sz w:val="24"/>
          <w:szCs w:val="24"/>
        </w:rPr>
        <w:lastRenderedPageBreak/>
        <w:t>Supplementary Tables</w:t>
      </w:r>
      <w:bookmarkEnd w:id="16"/>
    </w:p>
    <w:p w14:paraId="4985B2F5" w14:textId="77777777" w:rsidR="005C1E32" w:rsidRPr="00BC7CA9" w:rsidRDefault="005C1E32" w:rsidP="005C1E32">
      <w:pPr>
        <w:rPr>
          <w:sz w:val="24"/>
          <w:szCs w:val="24"/>
        </w:rPr>
      </w:pPr>
    </w:p>
    <w:p w14:paraId="292F3CB8" w14:textId="43CE63EB" w:rsidR="007202B0" w:rsidRPr="00616F4F" w:rsidRDefault="007202B0" w:rsidP="007202B0">
      <w:pPr>
        <w:pStyle w:val="Heading2"/>
        <w:rPr>
          <w:rFonts w:asciiTheme="minorHAnsi" w:hAnsiTheme="minorHAnsi" w:cs="Arial"/>
          <w:sz w:val="22"/>
          <w:szCs w:val="22"/>
        </w:rPr>
      </w:pPr>
      <w:bookmarkStart w:id="17" w:name="_Toc457312915"/>
      <w:r w:rsidRPr="00616F4F">
        <w:rPr>
          <w:rFonts w:asciiTheme="minorHAnsi" w:hAnsiTheme="minorHAnsi" w:cs="Arial"/>
          <w:sz w:val="22"/>
          <w:szCs w:val="22"/>
        </w:rPr>
        <w:t xml:space="preserve">Table </w:t>
      </w:r>
      <w:r w:rsidR="00BC7CA9" w:rsidRPr="00616F4F">
        <w:rPr>
          <w:rFonts w:asciiTheme="minorHAnsi" w:hAnsiTheme="minorHAnsi" w:cs="Arial"/>
          <w:sz w:val="22"/>
          <w:szCs w:val="22"/>
        </w:rPr>
        <w:t>S</w:t>
      </w:r>
      <w:r w:rsidR="00635E43">
        <w:rPr>
          <w:rFonts w:asciiTheme="minorHAnsi" w:hAnsiTheme="minorHAnsi" w:cs="Arial"/>
          <w:sz w:val="22"/>
          <w:szCs w:val="22"/>
        </w:rPr>
        <w:t>DC</w:t>
      </w:r>
      <w:r w:rsidRPr="00616F4F">
        <w:rPr>
          <w:rFonts w:asciiTheme="minorHAnsi" w:hAnsiTheme="minorHAnsi" w:cs="Arial"/>
          <w:sz w:val="22"/>
          <w:szCs w:val="22"/>
        </w:rPr>
        <w:t xml:space="preserve">1: Six AHRQ Patient Safety Incidents – </w:t>
      </w:r>
      <w:r w:rsidR="00671C1C" w:rsidRPr="00616F4F">
        <w:rPr>
          <w:rFonts w:asciiTheme="minorHAnsi" w:hAnsiTheme="minorHAnsi" w:cs="Arial"/>
          <w:sz w:val="22"/>
          <w:szCs w:val="22"/>
        </w:rPr>
        <w:t>Total national c</w:t>
      </w:r>
      <w:r w:rsidRPr="00616F4F">
        <w:rPr>
          <w:rFonts w:asciiTheme="minorHAnsi" w:hAnsiTheme="minorHAnsi" w:cs="Arial"/>
          <w:sz w:val="22"/>
          <w:szCs w:val="22"/>
        </w:rPr>
        <w:t xml:space="preserve">ase numbers and observed incidence rates in </w:t>
      </w:r>
      <w:r w:rsidR="00671C1C" w:rsidRPr="00616F4F">
        <w:rPr>
          <w:rFonts w:asciiTheme="minorHAnsi" w:hAnsiTheme="minorHAnsi" w:cs="Arial"/>
          <w:sz w:val="22"/>
          <w:szCs w:val="22"/>
        </w:rPr>
        <w:t>England</w:t>
      </w:r>
      <w:r w:rsidRPr="00616F4F">
        <w:rPr>
          <w:rFonts w:asciiTheme="minorHAnsi" w:hAnsiTheme="minorHAnsi" w:cs="Arial"/>
          <w:sz w:val="22"/>
          <w:szCs w:val="22"/>
        </w:rPr>
        <w:t>, 2005/06 to 2009/10</w:t>
      </w:r>
      <w:bookmarkEnd w:id="17"/>
    </w:p>
    <w:p w14:paraId="14391EE9" w14:textId="77777777" w:rsidR="007202B0" w:rsidRPr="00616F4F" w:rsidRDefault="007202B0" w:rsidP="007202B0">
      <w:pPr>
        <w:rPr>
          <w:rFonts w:cs="Arial"/>
          <w:sz w:val="18"/>
          <w:szCs w:val="18"/>
        </w:rPr>
      </w:pPr>
    </w:p>
    <w:tbl>
      <w:tblPr>
        <w:tblStyle w:val="GridTable4-Accent12"/>
        <w:tblW w:w="5000" w:type="pct"/>
        <w:tblLayout w:type="fixed"/>
        <w:tblLook w:val="04A0" w:firstRow="1" w:lastRow="0" w:firstColumn="1" w:lastColumn="0" w:noHBand="0" w:noVBand="1"/>
      </w:tblPr>
      <w:tblGrid>
        <w:gridCol w:w="2972"/>
        <w:gridCol w:w="1277"/>
        <w:gridCol w:w="1700"/>
        <w:gridCol w:w="1843"/>
        <w:gridCol w:w="1224"/>
      </w:tblGrid>
      <w:tr w:rsidR="007202B0" w:rsidRPr="00616F4F" w14:paraId="24C308AE" w14:textId="77777777" w:rsidTr="00BC7CA9">
        <w:trPr>
          <w:cnfStyle w:val="100000000000" w:firstRow="1" w:lastRow="0" w:firstColumn="0" w:lastColumn="0" w:oddVBand="0" w:evenVBand="0" w:oddHBand="0" w:evenHBand="0" w:firstRowFirstColumn="0" w:firstRowLastColumn="0" w:lastRowFirstColumn="0" w:lastRowLastColumn="0"/>
          <w:cantSplit/>
          <w:trHeight w:hRule="exact" w:val="901"/>
        </w:trPr>
        <w:tc>
          <w:tcPr>
            <w:cnfStyle w:val="001000000000" w:firstRow="0" w:lastRow="0" w:firstColumn="1" w:lastColumn="0" w:oddVBand="0" w:evenVBand="0" w:oddHBand="0" w:evenHBand="0" w:firstRowFirstColumn="0" w:firstRowLastColumn="0" w:lastRowFirstColumn="0" w:lastRowLastColumn="0"/>
            <w:tcW w:w="1648" w:type="pct"/>
            <w:noWrap/>
            <w:vAlign w:val="center"/>
            <w:hideMark/>
          </w:tcPr>
          <w:p w14:paraId="6E638FBB" w14:textId="77777777" w:rsidR="007202B0" w:rsidRPr="006C491B" w:rsidRDefault="007202B0" w:rsidP="001E2212">
            <w:pPr>
              <w:jc w:val="center"/>
              <w:rPr>
                <w:rFonts w:cs="Arial"/>
                <w:sz w:val="18"/>
                <w:szCs w:val="18"/>
              </w:rPr>
            </w:pPr>
            <w:r w:rsidRPr="006C491B">
              <w:rPr>
                <w:rFonts w:cs="Arial"/>
                <w:sz w:val="18"/>
                <w:szCs w:val="18"/>
              </w:rPr>
              <w:t>Patient Safety Incident</w:t>
            </w:r>
          </w:p>
        </w:tc>
        <w:tc>
          <w:tcPr>
            <w:tcW w:w="708" w:type="pct"/>
            <w:noWrap/>
            <w:vAlign w:val="center"/>
            <w:hideMark/>
          </w:tcPr>
          <w:p w14:paraId="7C8DF6E2" w14:textId="77777777" w:rsidR="007202B0" w:rsidRPr="006C491B" w:rsidRDefault="007202B0" w:rsidP="001E2212">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Year</w:t>
            </w:r>
          </w:p>
        </w:tc>
        <w:tc>
          <w:tcPr>
            <w:tcW w:w="943" w:type="pct"/>
            <w:noWrap/>
            <w:vAlign w:val="center"/>
            <w:hideMark/>
          </w:tcPr>
          <w:p w14:paraId="6D454957" w14:textId="77777777" w:rsidR="007202B0" w:rsidRPr="006C491B" w:rsidRDefault="007202B0" w:rsidP="001E2212">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Denominator patients</w:t>
            </w:r>
            <w:r w:rsidRPr="006C491B">
              <w:rPr>
                <w:rFonts w:cs="Arial"/>
                <w:sz w:val="18"/>
                <w:szCs w:val="18"/>
                <w:vertAlign w:val="superscript"/>
              </w:rPr>
              <w:t>1</w:t>
            </w:r>
          </w:p>
        </w:tc>
        <w:tc>
          <w:tcPr>
            <w:tcW w:w="1022" w:type="pct"/>
            <w:noWrap/>
            <w:vAlign w:val="center"/>
            <w:hideMark/>
          </w:tcPr>
          <w:p w14:paraId="161B7795" w14:textId="77777777" w:rsidR="007202B0" w:rsidRPr="006C491B" w:rsidRDefault="007202B0" w:rsidP="001E2212">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Number of Cases</w:t>
            </w:r>
          </w:p>
        </w:tc>
        <w:tc>
          <w:tcPr>
            <w:tcW w:w="679" w:type="pct"/>
            <w:noWrap/>
            <w:vAlign w:val="center"/>
            <w:hideMark/>
          </w:tcPr>
          <w:p w14:paraId="1816262B" w14:textId="620ED698" w:rsidR="007202B0" w:rsidRPr="006C491B" w:rsidRDefault="007202B0" w:rsidP="00671C1C">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Incidence</w:t>
            </w:r>
            <w:r w:rsidR="00671C1C" w:rsidRPr="006C491B">
              <w:rPr>
                <w:rFonts w:cs="Arial"/>
                <w:sz w:val="18"/>
                <w:szCs w:val="18"/>
              </w:rPr>
              <w:t xml:space="preserve"> </w:t>
            </w:r>
            <w:r w:rsidRPr="006C491B">
              <w:rPr>
                <w:rFonts w:cs="Arial"/>
                <w:sz w:val="18"/>
                <w:szCs w:val="18"/>
              </w:rPr>
              <w:t>(per 1000)</w:t>
            </w:r>
            <w:r w:rsidRPr="006C491B">
              <w:rPr>
                <w:rFonts w:cs="Arial"/>
                <w:sz w:val="18"/>
                <w:szCs w:val="18"/>
                <w:vertAlign w:val="superscript"/>
              </w:rPr>
              <w:t>2</w:t>
            </w:r>
          </w:p>
        </w:tc>
      </w:tr>
      <w:tr w:rsidR="007202B0" w:rsidRPr="00616F4F" w14:paraId="57B6422B"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930B281" w14:textId="77777777" w:rsidR="007202B0" w:rsidRPr="00616F4F" w:rsidRDefault="007202B0" w:rsidP="001E2212">
            <w:pPr>
              <w:rPr>
                <w:rFonts w:cs="Arial"/>
                <w:sz w:val="18"/>
                <w:szCs w:val="18"/>
              </w:rPr>
            </w:pPr>
            <w:r w:rsidRPr="00616F4F">
              <w:rPr>
                <w:rFonts w:cs="Arial"/>
                <w:sz w:val="18"/>
                <w:szCs w:val="18"/>
              </w:rPr>
              <w:t>Death in low-mortality HRG</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C3D0104"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2005/06</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B5CBD7D"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4,039,643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FDE1F61"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1,912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766A435"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0.47</w:t>
            </w:r>
          </w:p>
        </w:tc>
      </w:tr>
      <w:tr w:rsidR="007202B0" w:rsidRPr="00616F4F" w14:paraId="38A0E9C0"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6155F50" w14:textId="77777777" w:rsidR="007202B0" w:rsidRPr="00616F4F" w:rsidRDefault="007202B0" w:rsidP="001E2212">
            <w:pPr>
              <w:rPr>
                <w:rFonts w:cs="Arial"/>
                <w:sz w:val="18"/>
                <w:szCs w:val="18"/>
              </w:rPr>
            </w:pPr>
            <w:r w:rsidRPr="00616F4F">
              <w:rPr>
                <w:rFonts w:cs="Arial"/>
                <w:sz w:val="18"/>
                <w:szCs w:val="18"/>
              </w:rPr>
              <w:t>(PSI 2)</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CF644EB"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2006/07</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EBEE8CE"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5,098,992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CF5DD02"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1,886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F2C7C15"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0.37</w:t>
            </w:r>
          </w:p>
        </w:tc>
      </w:tr>
      <w:tr w:rsidR="007202B0" w:rsidRPr="00616F4F" w14:paraId="47BCE175"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10344677"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080034B"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2007/08</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A0B39B4"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5,423,222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BB15F9E"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1,756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EAE1734"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0.32</w:t>
            </w:r>
          </w:p>
        </w:tc>
      </w:tr>
      <w:tr w:rsidR="007202B0" w:rsidRPr="00616F4F" w14:paraId="6077B31B"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34222EDB"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E6C49DF"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2008/09</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B5AC056"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5,704,953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391724B"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1,609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DDA72ED"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0.28</w:t>
            </w:r>
          </w:p>
        </w:tc>
      </w:tr>
      <w:tr w:rsidR="007202B0" w:rsidRPr="00616F4F" w14:paraId="646C33F2"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6B1EF7CF"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E15BAB6"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2009/10</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2A88AFE"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5,876,354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6E918ED"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1,520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76E1018"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0.26</w:t>
            </w:r>
          </w:p>
        </w:tc>
      </w:tr>
      <w:tr w:rsidR="007202B0" w:rsidRPr="00616F4F" w14:paraId="37F65A18"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611B2D7" w14:textId="77777777" w:rsidR="007202B0" w:rsidRPr="00616F4F" w:rsidRDefault="007202B0" w:rsidP="001E2212">
            <w:pPr>
              <w:rPr>
                <w:rFonts w:cs="Arial"/>
                <w:sz w:val="18"/>
                <w:szCs w:val="18"/>
              </w:rPr>
            </w:pPr>
            <w:r w:rsidRPr="00616F4F">
              <w:rPr>
                <w:rFonts w:cs="Arial"/>
                <w:sz w:val="18"/>
                <w:szCs w:val="18"/>
              </w:rPr>
              <w:t xml:space="preserve">Pressure Ulcer </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006B97A"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2005/06</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D0628DA"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1,615,787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05A217E"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13,449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CC3A0A3"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8.32</w:t>
            </w:r>
          </w:p>
        </w:tc>
      </w:tr>
      <w:tr w:rsidR="007202B0" w:rsidRPr="00616F4F" w14:paraId="43F3E72A"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0EB0C23" w14:textId="77777777" w:rsidR="007202B0" w:rsidRPr="00616F4F" w:rsidRDefault="007202B0" w:rsidP="001E2212">
            <w:pPr>
              <w:rPr>
                <w:rFonts w:cs="Arial"/>
                <w:sz w:val="18"/>
                <w:szCs w:val="18"/>
              </w:rPr>
            </w:pPr>
            <w:r w:rsidRPr="00616F4F">
              <w:rPr>
                <w:rFonts w:cs="Arial"/>
                <w:sz w:val="18"/>
                <w:szCs w:val="18"/>
              </w:rPr>
              <w:t>(PSI 3)</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43D3DC8"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2006/07</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C77FBCC"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1,819,657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20393C2"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16,539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E483A5D"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9.09</w:t>
            </w:r>
          </w:p>
        </w:tc>
      </w:tr>
      <w:tr w:rsidR="007202B0" w:rsidRPr="00616F4F" w14:paraId="18FD62F0"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7EF806E1"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C2CD0AA"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2007/08</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E4DC507"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1,763,460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88C6B04"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17,721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DF2719D"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10.05</w:t>
            </w:r>
          </w:p>
        </w:tc>
      </w:tr>
      <w:tr w:rsidR="007202B0" w:rsidRPr="00616F4F" w14:paraId="69660C70"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4BC94EEE"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4E5CDB7"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2008/09</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F11A35E"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1,786,879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2B54EB3"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20,936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099051D"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11.72</w:t>
            </w:r>
          </w:p>
        </w:tc>
      </w:tr>
      <w:tr w:rsidR="007202B0" w:rsidRPr="00616F4F" w14:paraId="357F7926"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0AF81BE7"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B532004"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2009/10</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F003502"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1,785,718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5FE7BCB"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25,223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EE01481"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14.12</w:t>
            </w:r>
          </w:p>
        </w:tc>
      </w:tr>
      <w:tr w:rsidR="007202B0" w:rsidRPr="00616F4F" w14:paraId="5640594F"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65769F0" w14:textId="77777777" w:rsidR="007202B0" w:rsidRPr="00616F4F" w:rsidRDefault="007202B0" w:rsidP="001E2212">
            <w:pPr>
              <w:rPr>
                <w:rFonts w:cs="Arial"/>
                <w:sz w:val="18"/>
                <w:szCs w:val="18"/>
              </w:rPr>
            </w:pPr>
            <w:r w:rsidRPr="00616F4F">
              <w:rPr>
                <w:rFonts w:cs="Arial"/>
                <w:sz w:val="18"/>
                <w:szCs w:val="18"/>
              </w:rPr>
              <w:t>Central line infection</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28812CD"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2005/06</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9460AA2"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2,649,957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F129941"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607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78E397D"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0.23</w:t>
            </w:r>
          </w:p>
        </w:tc>
      </w:tr>
      <w:tr w:rsidR="007202B0" w:rsidRPr="00616F4F" w14:paraId="1191C7F3"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DAF10ED" w14:textId="77777777" w:rsidR="007202B0" w:rsidRPr="00616F4F" w:rsidRDefault="007202B0" w:rsidP="001E2212">
            <w:pPr>
              <w:rPr>
                <w:rFonts w:cs="Arial"/>
                <w:sz w:val="18"/>
                <w:szCs w:val="18"/>
              </w:rPr>
            </w:pPr>
            <w:r w:rsidRPr="00616F4F">
              <w:rPr>
                <w:rFonts w:cs="Arial"/>
                <w:sz w:val="18"/>
                <w:szCs w:val="18"/>
              </w:rPr>
              <w:t>(PSI 7)</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0293D26"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2006/07</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91BA7C2"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3,062,054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4FF85DC"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725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9BF0E3B"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0.24</w:t>
            </w:r>
          </w:p>
        </w:tc>
      </w:tr>
      <w:tr w:rsidR="007202B0" w:rsidRPr="00616F4F" w14:paraId="78111F8B"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20B078F1"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D1C69DA"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2007/08</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615A1CB"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2,984,036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6ECBB2A"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654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2D532F7"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0.22</w:t>
            </w:r>
          </w:p>
        </w:tc>
      </w:tr>
      <w:tr w:rsidR="007202B0" w:rsidRPr="00616F4F" w14:paraId="2B74B135"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43F41467"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5BF8578"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2008/09</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F6FFC1A"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3,018,862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6272B11"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464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7ABF8CD"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0.15</w:t>
            </w:r>
          </w:p>
        </w:tc>
      </w:tr>
      <w:tr w:rsidR="007202B0" w:rsidRPr="00616F4F" w14:paraId="2B9DB845"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36BF04D6"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92963A0"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2009/10</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3DFE1D2"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3,024,453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EE6EFF5"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375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C906C75"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0.12</w:t>
            </w:r>
          </w:p>
        </w:tc>
      </w:tr>
      <w:tr w:rsidR="007202B0" w:rsidRPr="00616F4F" w14:paraId="3CA59427"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CB2FAE4" w14:textId="77777777" w:rsidR="007202B0" w:rsidRPr="00616F4F" w:rsidRDefault="007202B0" w:rsidP="001E2212">
            <w:pPr>
              <w:rPr>
                <w:rFonts w:cs="Arial"/>
                <w:sz w:val="18"/>
                <w:szCs w:val="18"/>
              </w:rPr>
            </w:pPr>
            <w:r w:rsidRPr="00616F4F">
              <w:rPr>
                <w:rFonts w:cs="Arial"/>
                <w:sz w:val="18"/>
                <w:szCs w:val="18"/>
              </w:rPr>
              <w:t xml:space="preserve">Hip fracture </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94FF623"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2005/06</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BA27979"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3,008,392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31B1237"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215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0969A2D"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0.07</w:t>
            </w:r>
          </w:p>
        </w:tc>
      </w:tr>
      <w:tr w:rsidR="007202B0" w:rsidRPr="00616F4F" w14:paraId="0342C55F"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73173E9" w14:textId="77777777" w:rsidR="007202B0" w:rsidRPr="00616F4F" w:rsidRDefault="007202B0" w:rsidP="001E2212">
            <w:pPr>
              <w:rPr>
                <w:rFonts w:cs="Arial"/>
                <w:sz w:val="18"/>
                <w:szCs w:val="18"/>
              </w:rPr>
            </w:pPr>
            <w:r w:rsidRPr="00616F4F">
              <w:rPr>
                <w:rFonts w:cs="Arial"/>
                <w:sz w:val="18"/>
                <w:szCs w:val="18"/>
              </w:rPr>
              <w:t>(PSI 8)</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F388004"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2006/07</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5941982"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3,809,719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DA3540A"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268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DDBC5DE"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0.07</w:t>
            </w:r>
          </w:p>
        </w:tc>
      </w:tr>
      <w:tr w:rsidR="007202B0" w:rsidRPr="00616F4F" w14:paraId="4C0C16CE"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339A7A52"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8536718"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2007/08</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2A6E341"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4,053,074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768FECC"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265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20384D8"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0.07</w:t>
            </w:r>
          </w:p>
        </w:tc>
      </w:tr>
      <w:tr w:rsidR="007202B0" w:rsidRPr="00616F4F" w14:paraId="7B82EBD7"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06D3A97E"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119F349"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2008/09</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B96E6F3"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4,340,220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726D14B"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298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7380775"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0.07</w:t>
            </w:r>
          </w:p>
        </w:tc>
      </w:tr>
      <w:tr w:rsidR="007202B0" w:rsidRPr="00616F4F" w14:paraId="7ACE617C"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689E9D3A"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802994E"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2009/10</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6C01A02"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4,508,366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2B27BF2"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283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449B5C0"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0.06</w:t>
            </w:r>
          </w:p>
        </w:tc>
      </w:tr>
      <w:tr w:rsidR="007202B0" w:rsidRPr="00616F4F" w14:paraId="2D22D796"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A7ED0F9" w14:textId="77777777" w:rsidR="007202B0" w:rsidRPr="00616F4F" w:rsidRDefault="007202B0" w:rsidP="001E2212">
            <w:pPr>
              <w:rPr>
                <w:rFonts w:cs="Arial"/>
                <w:sz w:val="18"/>
                <w:szCs w:val="18"/>
              </w:rPr>
            </w:pPr>
            <w:r w:rsidRPr="00616F4F">
              <w:rPr>
                <w:rFonts w:cs="Arial"/>
                <w:sz w:val="18"/>
                <w:szCs w:val="18"/>
              </w:rPr>
              <w:t>Deep vein thrombosis or</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E23D545"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2005/06</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FB998B9"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3,571,516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E24D730"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5,237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6600816"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1.47</w:t>
            </w:r>
          </w:p>
        </w:tc>
      </w:tr>
      <w:tr w:rsidR="007202B0" w:rsidRPr="00616F4F" w14:paraId="6476025E"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CB553AF" w14:textId="77777777" w:rsidR="007202B0" w:rsidRPr="00616F4F" w:rsidRDefault="007202B0" w:rsidP="001E2212">
            <w:pPr>
              <w:rPr>
                <w:rFonts w:cs="Arial"/>
                <w:sz w:val="18"/>
                <w:szCs w:val="18"/>
              </w:rPr>
            </w:pPr>
            <w:r w:rsidRPr="00616F4F">
              <w:rPr>
                <w:rFonts w:cs="Arial"/>
                <w:sz w:val="18"/>
                <w:szCs w:val="18"/>
              </w:rPr>
              <w:t>Pulmonary embolism</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3583146"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2006/07</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96715F6"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4,531,469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2C23570"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6,903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F88F6EF"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1.52</w:t>
            </w:r>
          </w:p>
        </w:tc>
      </w:tr>
      <w:tr w:rsidR="007202B0" w:rsidRPr="00616F4F" w14:paraId="77E6F3DF"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E45BE4C" w14:textId="77777777" w:rsidR="007202B0" w:rsidRPr="00616F4F" w:rsidRDefault="007202B0" w:rsidP="001E2212">
            <w:pPr>
              <w:rPr>
                <w:rFonts w:cs="Arial"/>
                <w:sz w:val="18"/>
                <w:szCs w:val="18"/>
              </w:rPr>
            </w:pPr>
            <w:r w:rsidRPr="00616F4F">
              <w:rPr>
                <w:rFonts w:cs="Arial"/>
                <w:sz w:val="18"/>
                <w:szCs w:val="18"/>
              </w:rPr>
              <w:t>(PS 12)</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4A21D88"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2007/08</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A53E5E4"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4,863,553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FA71C7E"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7,165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8FCDE3F"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1.47</w:t>
            </w:r>
          </w:p>
        </w:tc>
      </w:tr>
      <w:tr w:rsidR="007202B0" w:rsidRPr="00616F4F" w14:paraId="024D811B"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72269BCF"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E344052"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2008/09</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59467D3"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5,239,007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95FE1EA"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7,842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E6ACD2A"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1.50</w:t>
            </w:r>
          </w:p>
        </w:tc>
      </w:tr>
      <w:tr w:rsidR="007202B0" w:rsidRPr="00616F4F" w14:paraId="6C4ACB5D"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725E88CD"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FB30FD2"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2009/10</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372B2B3"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5,435,497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23E3479"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8,606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76FEFAF"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1.58</w:t>
            </w:r>
          </w:p>
        </w:tc>
      </w:tr>
      <w:tr w:rsidR="007202B0" w:rsidRPr="00616F4F" w14:paraId="3DC98835"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C6890DF" w14:textId="77777777" w:rsidR="007202B0" w:rsidRPr="00616F4F" w:rsidRDefault="007202B0" w:rsidP="001E2212">
            <w:pPr>
              <w:rPr>
                <w:rFonts w:cs="Arial"/>
                <w:sz w:val="18"/>
                <w:szCs w:val="18"/>
              </w:rPr>
            </w:pPr>
            <w:r w:rsidRPr="00616F4F">
              <w:rPr>
                <w:rFonts w:cs="Arial"/>
                <w:sz w:val="18"/>
                <w:szCs w:val="18"/>
              </w:rPr>
              <w:t>Sepsis (PSI 13)</w:t>
            </w: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28A65A6"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2005/06</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26A5258"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308,581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33E5C6EC"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1,772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10D141E"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5.74</w:t>
            </w:r>
          </w:p>
        </w:tc>
      </w:tr>
      <w:tr w:rsidR="007202B0" w:rsidRPr="00616F4F" w14:paraId="55248C95"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777B33C4"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C7DD03A"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2006/07</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1AA1BD0"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348,250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5F9ACC4"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2,280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665A982"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6.55</w:t>
            </w:r>
          </w:p>
        </w:tc>
      </w:tr>
      <w:tr w:rsidR="007202B0" w:rsidRPr="00616F4F" w14:paraId="29177073"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76321E58"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7BC31D96"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2007/08</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752FB02"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343,617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574246A"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2,260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3A5C230"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6.58</w:t>
            </w:r>
          </w:p>
        </w:tc>
      </w:tr>
      <w:tr w:rsidR="007202B0" w:rsidRPr="00616F4F" w14:paraId="256B9C63" w14:textId="77777777" w:rsidTr="00671C1C">
        <w:trPr>
          <w:cnfStyle w:val="000000100000" w:firstRow="0" w:lastRow="0" w:firstColumn="0" w:lastColumn="0" w:oddVBand="0" w:evenVBand="0" w:oddHBand="1" w:evenHBand="0" w:firstRowFirstColumn="0" w:firstRowLastColumn="0" w:lastRowFirstColumn="0" w:lastRowLastColumn="0"/>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0341AA6C"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9339F05" w14:textId="77777777" w:rsidR="007202B0" w:rsidRPr="00616F4F" w:rsidRDefault="007202B0" w:rsidP="001E221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2008/09</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1C68359F"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333,819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64DDE513"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 xml:space="preserve"> 2,151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2FA9F012" w14:textId="77777777" w:rsidR="007202B0" w:rsidRPr="00616F4F" w:rsidRDefault="007202B0" w:rsidP="001E2212">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6.44</w:t>
            </w:r>
          </w:p>
        </w:tc>
      </w:tr>
      <w:tr w:rsidR="007202B0" w:rsidRPr="00616F4F" w14:paraId="3B2FBBC4" w14:textId="77777777" w:rsidTr="00671C1C">
        <w:trPr>
          <w:cantSplit/>
          <w:trHeight w:hRule="exact" w:val="284"/>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2C5B3E22" w14:textId="77777777" w:rsidR="007202B0" w:rsidRPr="00616F4F" w:rsidRDefault="007202B0" w:rsidP="001E2212">
            <w:pPr>
              <w:rPr>
                <w:rFonts w:cs="Arial"/>
                <w:sz w:val="18"/>
                <w:szCs w:val="18"/>
              </w:rPr>
            </w:pPr>
          </w:p>
        </w:tc>
        <w:tc>
          <w:tcPr>
            <w:tcW w:w="7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36B72B9" w14:textId="77777777" w:rsidR="007202B0" w:rsidRPr="00616F4F" w:rsidRDefault="007202B0" w:rsidP="001E22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2009/10</w:t>
            </w:r>
          </w:p>
        </w:tc>
        <w:tc>
          <w:tcPr>
            <w:tcW w:w="9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C1CEAEB"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314,445 </w:t>
            </w:r>
          </w:p>
        </w:tc>
        <w:tc>
          <w:tcPr>
            <w:tcW w:w="102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C6CE654"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 2,196 </w:t>
            </w:r>
          </w:p>
        </w:tc>
        <w:tc>
          <w:tcPr>
            <w:tcW w:w="6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08CCFDC2" w14:textId="77777777" w:rsidR="007202B0" w:rsidRPr="00616F4F" w:rsidRDefault="007202B0" w:rsidP="001E221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6.98</w:t>
            </w:r>
          </w:p>
        </w:tc>
      </w:tr>
    </w:tbl>
    <w:p w14:paraId="3D6C9053" w14:textId="77777777" w:rsidR="00B64822" w:rsidRPr="00616F4F" w:rsidRDefault="00B64822" w:rsidP="007202B0">
      <w:pPr>
        <w:rPr>
          <w:rFonts w:eastAsiaTheme="minorHAnsi" w:cs="Arial"/>
          <w:noProof/>
          <w:sz w:val="18"/>
          <w:szCs w:val="18"/>
        </w:rPr>
      </w:pPr>
    </w:p>
    <w:p w14:paraId="00D5852B" w14:textId="54FD5A10" w:rsidR="00214FF9" w:rsidRPr="00616F4F" w:rsidRDefault="007202B0" w:rsidP="007202B0">
      <w:pPr>
        <w:rPr>
          <w:rFonts w:eastAsiaTheme="minorHAnsi" w:cs="Arial"/>
          <w:noProof/>
          <w:sz w:val="18"/>
          <w:szCs w:val="18"/>
        </w:rPr>
      </w:pPr>
      <w:r w:rsidRPr="00616F4F">
        <w:rPr>
          <w:rFonts w:eastAsiaTheme="minorHAnsi" w:cs="Arial"/>
          <w:noProof/>
          <w:sz w:val="18"/>
          <w:szCs w:val="18"/>
        </w:rPr>
        <w:t xml:space="preserve">Notes: </w:t>
      </w:r>
      <w:r w:rsidR="00671C1C" w:rsidRPr="00616F4F">
        <w:rPr>
          <w:rFonts w:eastAsiaTheme="minorHAnsi" w:cs="Arial"/>
          <w:noProof/>
          <w:sz w:val="18"/>
          <w:szCs w:val="18"/>
          <w:vertAlign w:val="superscript"/>
        </w:rPr>
        <w:t>1</w:t>
      </w:r>
      <w:r w:rsidR="00671C1C" w:rsidRPr="00616F4F">
        <w:rPr>
          <w:rFonts w:eastAsiaTheme="minorHAnsi" w:cs="Arial"/>
          <w:noProof/>
          <w:sz w:val="18"/>
          <w:szCs w:val="18"/>
        </w:rPr>
        <w:t xml:space="preserve"> </w:t>
      </w:r>
      <w:r w:rsidRPr="00616F4F">
        <w:rPr>
          <w:rFonts w:eastAsiaTheme="minorHAnsi" w:cs="Arial"/>
          <w:noProof/>
          <w:sz w:val="18"/>
          <w:szCs w:val="18"/>
        </w:rPr>
        <w:t xml:space="preserve">Denomintator patients </w:t>
      </w:r>
      <w:r w:rsidR="0062506E">
        <w:rPr>
          <w:rFonts w:eastAsiaTheme="minorHAnsi" w:cs="Arial"/>
          <w:noProof/>
          <w:sz w:val="18"/>
          <w:szCs w:val="18"/>
        </w:rPr>
        <w:t>are patients ‘at risk’, because they are</w:t>
      </w:r>
      <w:r w:rsidRPr="00616F4F">
        <w:rPr>
          <w:rFonts w:eastAsiaTheme="minorHAnsi" w:cs="Arial"/>
          <w:noProof/>
          <w:sz w:val="18"/>
          <w:szCs w:val="18"/>
        </w:rPr>
        <w:t xml:space="preserve"> hospitalizations for which safety incident would be considered preventa</w:t>
      </w:r>
      <w:r w:rsidR="009861AF" w:rsidRPr="00616F4F">
        <w:rPr>
          <w:rFonts w:eastAsiaTheme="minorHAnsi" w:cs="Arial"/>
          <w:noProof/>
          <w:sz w:val="18"/>
          <w:szCs w:val="18"/>
        </w:rPr>
        <w:t>ble according to AHRQ criteria;</w:t>
      </w:r>
      <w:r w:rsidR="00214FF9" w:rsidRPr="00616F4F">
        <w:rPr>
          <w:rFonts w:eastAsiaTheme="minorHAnsi" w:cs="Arial"/>
          <w:noProof/>
          <w:sz w:val="18"/>
          <w:szCs w:val="18"/>
        </w:rPr>
        <w:t xml:space="preserve"> there was considerable variation in the number of denominator patients across PSIs. This is explained by differences in exclusion criteria across PSIs. For example, Sepsis is considered a preventable PSI in only a very small group patients, and not preventable in all other patients. </w:t>
      </w:r>
    </w:p>
    <w:p w14:paraId="3A12FC01" w14:textId="723BB3C7" w:rsidR="00671C1C" w:rsidRPr="00616F4F" w:rsidRDefault="00671C1C" w:rsidP="00BC7CA9">
      <w:pPr>
        <w:rPr>
          <w:rFonts w:cs="Arial"/>
          <w:sz w:val="18"/>
          <w:szCs w:val="18"/>
        </w:rPr>
      </w:pPr>
      <w:r w:rsidRPr="00616F4F">
        <w:rPr>
          <w:rFonts w:eastAsiaTheme="minorHAnsi" w:cs="Arial"/>
          <w:noProof/>
          <w:sz w:val="18"/>
          <w:szCs w:val="18"/>
          <w:vertAlign w:val="superscript"/>
        </w:rPr>
        <w:t>2</w:t>
      </w:r>
      <w:r w:rsidRPr="00616F4F">
        <w:rPr>
          <w:rFonts w:eastAsiaTheme="minorHAnsi" w:cs="Arial"/>
          <w:noProof/>
          <w:sz w:val="18"/>
          <w:szCs w:val="18"/>
        </w:rPr>
        <w:t xml:space="preserve"> </w:t>
      </w:r>
      <w:r w:rsidR="007202B0" w:rsidRPr="00616F4F">
        <w:rPr>
          <w:rFonts w:eastAsiaTheme="minorHAnsi" w:cs="Arial"/>
          <w:noProof/>
          <w:sz w:val="18"/>
          <w:szCs w:val="18"/>
        </w:rPr>
        <w:t>Incidence is assessed with respect to denominator cases</w:t>
      </w:r>
      <w:r w:rsidR="001D38FA" w:rsidRPr="00616F4F">
        <w:rPr>
          <w:rFonts w:eastAsiaTheme="minorHAnsi" w:cs="Arial"/>
          <w:noProof/>
          <w:sz w:val="18"/>
          <w:szCs w:val="18"/>
        </w:rPr>
        <w:t>, and expressed per 1000 patients</w:t>
      </w:r>
      <w:r w:rsidR="007202B0" w:rsidRPr="00616F4F">
        <w:rPr>
          <w:rFonts w:eastAsiaTheme="minorHAnsi" w:cs="Arial"/>
          <w:noProof/>
          <w:sz w:val="18"/>
          <w:szCs w:val="18"/>
        </w:rPr>
        <w:t>.</w:t>
      </w:r>
      <w:r w:rsidR="007202B0" w:rsidRPr="00616F4F">
        <w:rPr>
          <w:rFonts w:cs="Arial"/>
          <w:sz w:val="18"/>
          <w:szCs w:val="18"/>
        </w:rPr>
        <w:t xml:space="preserve">  </w:t>
      </w:r>
      <w:r w:rsidRPr="00616F4F">
        <w:rPr>
          <w:rFonts w:cs="Arial"/>
          <w:sz w:val="18"/>
          <w:szCs w:val="18"/>
        </w:rPr>
        <w:br w:type="page"/>
      </w:r>
    </w:p>
    <w:p w14:paraId="7DF2497A" w14:textId="4C2DCDF9" w:rsidR="00671C1C" w:rsidRPr="00616F4F" w:rsidRDefault="00671C1C" w:rsidP="00671C1C">
      <w:pPr>
        <w:pStyle w:val="Heading2"/>
        <w:rPr>
          <w:rFonts w:asciiTheme="minorHAnsi" w:hAnsiTheme="minorHAnsi" w:cs="Arial"/>
          <w:sz w:val="22"/>
          <w:szCs w:val="22"/>
        </w:rPr>
      </w:pPr>
      <w:bookmarkStart w:id="18" w:name="_Toc457312916"/>
      <w:r w:rsidRPr="00616F4F">
        <w:rPr>
          <w:rFonts w:asciiTheme="minorHAnsi" w:hAnsiTheme="minorHAnsi" w:cs="Arial"/>
          <w:sz w:val="22"/>
          <w:szCs w:val="22"/>
        </w:rPr>
        <w:lastRenderedPageBreak/>
        <w:t xml:space="preserve">Table </w:t>
      </w:r>
      <w:r w:rsidR="00635E43" w:rsidRPr="00616F4F">
        <w:rPr>
          <w:rFonts w:asciiTheme="minorHAnsi" w:hAnsiTheme="minorHAnsi" w:cs="Arial"/>
          <w:sz w:val="22"/>
          <w:szCs w:val="22"/>
        </w:rPr>
        <w:t>S</w:t>
      </w:r>
      <w:r w:rsidR="00635E43">
        <w:rPr>
          <w:rFonts w:asciiTheme="minorHAnsi" w:hAnsiTheme="minorHAnsi" w:cs="Arial"/>
          <w:sz w:val="22"/>
          <w:szCs w:val="22"/>
        </w:rPr>
        <w:t>DC</w:t>
      </w:r>
      <w:r w:rsidRPr="00616F4F">
        <w:rPr>
          <w:rFonts w:asciiTheme="minorHAnsi" w:hAnsiTheme="minorHAnsi" w:cs="Arial"/>
          <w:sz w:val="22"/>
          <w:szCs w:val="22"/>
        </w:rPr>
        <w:t>2: Six AHRQ Patient Safety Incidents – Total case numbers and observed incidence rates in an average</w:t>
      </w:r>
      <w:r w:rsidRPr="00616F4F">
        <w:rPr>
          <w:rFonts w:asciiTheme="minorHAnsi" w:hAnsiTheme="minorHAnsi" w:cs="Arial"/>
          <w:sz w:val="22"/>
          <w:szCs w:val="22"/>
          <w:vertAlign w:val="superscript"/>
        </w:rPr>
        <w:t>1</w:t>
      </w:r>
      <w:r w:rsidRPr="00616F4F">
        <w:rPr>
          <w:rFonts w:asciiTheme="minorHAnsi" w:hAnsiTheme="minorHAnsi" w:cs="Arial"/>
          <w:sz w:val="22"/>
          <w:szCs w:val="22"/>
        </w:rPr>
        <w:t xml:space="preserve"> English hospital, 2005/06 to 2009/10</w:t>
      </w:r>
      <w:bookmarkEnd w:id="18"/>
    </w:p>
    <w:p w14:paraId="435C98BC" w14:textId="77777777" w:rsidR="007202B0" w:rsidRPr="00616F4F" w:rsidRDefault="007202B0" w:rsidP="007202B0">
      <w:pPr>
        <w:rPr>
          <w:rFonts w:cs="Arial"/>
          <w:sz w:val="18"/>
          <w:szCs w:val="18"/>
        </w:rPr>
      </w:pPr>
    </w:p>
    <w:tbl>
      <w:tblPr>
        <w:tblStyle w:val="GridTable4-Accent12"/>
        <w:tblW w:w="8926" w:type="dxa"/>
        <w:tblLayout w:type="fixed"/>
        <w:tblLook w:val="04A0" w:firstRow="1" w:lastRow="0" w:firstColumn="1" w:lastColumn="0" w:noHBand="0" w:noVBand="1"/>
      </w:tblPr>
      <w:tblGrid>
        <w:gridCol w:w="2972"/>
        <w:gridCol w:w="1276"/>
        <w:gridCol w:w="1701"/>
        <w:gridCol w:w="1559"/>
        <w:gridCol w:w="1418"/>
      </w:tblGrid>
      <w:tr w:rsidR="00671C1C" w:rsidRPr="00616F4F" w14:paraId="2931ADD5" w14:textId="77777777" w:rsidTr="006C491B">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14:paraId="5C047E42" w14:textId="464DFDBA" w:rsidR="00671C1C" w:rsidRPr="00616F4F" w:rsidRDefault="00671C1C" w:rsidP="00671C1C">
            <w:pPr>
              <w:spacing w:after="0" w:line="240" w:lineRule="auto"/>
              <w:rPr>
                <w:rFonts w:eastAsia="Times New Roman" w:cs="Arial"/>
                <w:color w:val="F2F2F2" w:themeColor="background1" w:themeShade="F2"/>
                <w:sz w:val="18"/>
                <w:szCs w:val="18"/>
              </w:rPr>
            </w:pPr>
            <w:r w:rsidRPr="00616F4F">
              <w:rPr>
                <w:rFonts w:cs="Arial"/>
                <w:sz w:val="18"/>
                <w:szCs w:val="18"/>
              </w:rPr>
              <w:t>Patient Safety Incident</w:t>
            </w:r>
          </w:p>
        </w:tc>
        <w:tc>
          <w:tcPr>
            <w:tcW w:w="1276" w:type="dxa"/>
            <w:noWrap/>
            <w:vAlign w:val="center"/>
            <w:hideMark/>
          </w:tcPr>
          <w:p w14:paraId="336C80AB" w14:textId="32F0CF4E" w:rsidR="00671C1C" w:rsidRPr="00616F4F" w:rsidRDefault="00671C1C" w:rsidP="00671C1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2F2F2" w:themeColor="background1" w:themeShade="F2"/>
                <w:sz w:val="18"/>
                <w:szCs w:val="18"/>
              </w:rPr>
            </w:pPr>
            <w:r w:rsidRPr="00616F4F">
              <w:rPr>
                <w:rFonts w:cs="Arial"/>
                <w:sz w:val="18"/>
                <w:szCs w:val="18"/>
              </w:rPr>
              <w:t>Year</w:t>
            </w:r>
          </w:p>
        </w:tc>
        <w:tc>
          <w:tcPr>
            <w:tcW w:w="1701" w:type="dxa"/>
            <w:noWrap/>
            <w:vAlign w:val="center"/>
            <w:hideMark/>
          </w:tcPr>
          <w:p w14:paraId="64910007" w14:textId="58742708" w:rsidR="00671C1C" w:rsidRPr="00616F4F" w:rsidRDefault="00671C1C" w:rsidP="00671C1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2F2F2" w:themeColor="background1" w:themeShade="F2"/>
                <w:sz w:val="18"/>
                <w:szCs w:val="18"/>
              </w:rPr>
            </w:pPr>
            <w:r w:rsidRPr="00616F4F">
              <w:rPr>
                <w:rFonts w:cs="Arial"/>
                <w:sz w:val="18"/>
                <w:szCs w:val="18"/>
              </w:rPr>
              <w:t>Denominator patients</w:t>
            </w:r>
            <w:r w:rsidRPr="00616F4F">
              <w:rPr>
                <w:rFonts w:cs="Arial"/>
                <w:sz w:val="18"/>
                <w:szCs w:val="18"/>
                <w:vertAlign w:val="superscript"/>
              </w:rPr>
              <w:t>2</w:t>
            </w:r>
          </w:p>
        </w:tc>
        <w:tc>
          <w:tcPr>
            <w:tcW w:w="1559" w:type="dxa"/>
            <w:noWrap/>
            <w:vAlign w:val="center"/>
            <w:hideMark/>
          </w:tcPr>
          <w:p w14:paraId="29BAF991" w14:textId="24CBA644" w:rsidR="00671C1C" w:rsidRPr="00616F4F" w:rsidRDefault="00671C1C" w:rsidP="00671C1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2F2F2" w:themeColor="background1" w:themeShade="F2"/>
                <w:sz w:val="18"/>
                <w:szCs w:val="18"/>
              </w:rPr>
            </w:pPr>
            <w:r w:rsidRPr="00616F4F">
              <w:rPr>
                <w:rFonts w:cs="Arial"/>
                <w:sz w:val="18"/>
                <w:szCs w:val="18"/>
              </w:rPr>
              <w:t>Number of Cases</w:t>
            </w:r>
          </w:p>
        </w:tc>
        <w:tc>
          <w:tcPr>
            <w:tcW w:w="1418" w:type="dxa"/>
            <w:noWrap/>
            <w:vAlign w:val="center"/>
            <w:hideMark/>
          </w:tcPr>
          <w:p w14:paraId="0504EE2B" w14:textId="53D8373C" w:rsidR="00671C1C" w:rsidRPr="00616F4F" w:rsidRDefault="00671C1C" w:rsidP="00671C1C">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Incidence (per 1000)</w:t>
            </w:r>
            <w:r w:rsidRPr="00616F4F">
              <w:rPr>
                <w:rFonts w:cs="Arial"/>
                <w:sz w:val="18"/>
                <w:szCs w:val="18"/>
                <w:vertAlign w:val="superscript"/>
              </w:rPr>
              <w:t>3</w:t>
            </w:r>
          </w:p>
        </w:tc>
      </w:tr>
      <w:tr w:rsidR="00671C1C" w:rsidRPr="00616F4F" w14:paraId="353C7494"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1E67F6B" w14:textId="1CB0C3F3"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Death in low-mortality HRG</w:t>
            </w:r>
          </w:p>
        </w:tc>
        <w:tc>
          <w:tcPr>
            <w:tcW w:w="1276" w:type="dxa"/>
            <w:noWrap/>
            <w:hideMark/>
          </w:tcPr>
          <w:p w14:paraId="32B3312B" w14:textId="74BF352B"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2005/06</w:t>
            </w:r>
          </w:p>
        </w:tc>
        <w:tc>
          <w:tcPr>
            <w:tcW w:w="1701" w:type="dxa"/>
            <w:noWrap/>
            <w:hideMark/>
          </w:tcPr>
          <w:p w14:paraId="1F721DDB"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20,814 </w:t>
            </w:r>
          </w:p>
        </w:tc>
        <w:tc>
          <w:tcPr>
            <w:tcW w:w="1559" w:type="dxa"/>
            <w:noWrap/>
            <w:hideMark/>
          </w:tcPr>
          <w:p w14:paraId="77F02F39"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9.0</w:t>
            </w:r>
          </w:p>
        </w:tc>
        <w:tc>
          <w:tcPr>
            <w:tcW w:w="1418" w:type="dxa"/>
            <w:noWrap/>
            <w:hideMark/>
          </w:tcPr>
          <w:p w14:paraId="5450A7A6"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0.43</w:t>
            </w:r>
          </w:p>
        </w:tc>
      </w:tr>
      <w:tr w:rsidR="00671C1C" w:rsidRPr="00616F4F" w14:paraId="071EE8E2"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6B513378" w14:textId="4E64EFDD"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(PSI 2)</w:t>
            </w:r>
          </w:p>
        </w:tc>
        <w:tc>
          <w:tcPr>
            <w:tcW w:w="1276" w:type="dxa"/>
            <w:noWrap/>
            <w:hideMark/>
          </w:tcPr>
          <w:p w14:paraId="25307D67" w14:textId="344C8E81"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2006/07</w:t>
            </w:r>
          </w:p>
        </w:tc>
        <w:tc>
          <w:tcPr>
            <w:tcW w:w="1701" w:type="dxa"/>
            <w:noWrap/>
            <w:hideMark/>
          </w:tcPr>
          <w:p w14:paraId="5047A72B"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22,470 </w:t>
            </w:r>
          </w:p>
        </w:tc>
        <w:tc>
          <w:tcPr>
            <w:tcW w:w="1559" w:type="dxa"/>
            <w:noWrap/>
            <w:hideMark/>
          </w:tcPr>
          <w:p w14:paraId="67E4F2C9"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7.9</w:t>
            </w:r>
          </w:p>
        </w:tc>
        <w:tc>
          <w:tcPr>
            <w:tcW w:w="1418" w:type="dxa"/>
            <w:noWrap/>
            <w:hideMark/>
          </w:tcPr>
          <w:p w14:paraId="554304E0"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0.35</w:t>
            </w:r>
          </w:p>
        </w:tc>
      </w:tr>
      <w:tr w:rsidR="00671C1C" w:rsidRPr="00616F4F" w14:paraId="443B588B"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47D8E1F8" w14:textId="23DD4FA5"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6661C5F3" w14:textId="3F84CE44"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2007/08</w:t>
            </w:r>
          </w:p>
        </w:tc>
        <w:tc>
          <w:tcPr>
            <w:tcW w:w="1701" w:type="dxa"/>
            <w:noWrap/>
            <w:hideMark/>
          </w:tcPr>
          <w:p w14:paraId="4FF3F9D5"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24,184 </w:t>
            </w:r>
          </w:p>
        </w:tc>
        <w:tc>
          <w:tcPr>
            <w:tcW w:w="1559" w:type="dxa"/>
            <w:noWrap/>
            <w:hideMark/>
          </w:tcPr>
          <w:p w14:paraId="5DC43233"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7.5</w:t>
            </w:r>
          </w:p>
        </w:tc>
        <w:tc>
          <w:tcPr>
            <w:tcW w:w="1418" w:type="dxa"/>
            <w:noWrap/>
            <w:hideMark/>
          </w:tcPr>
          <w:p w14:paraId="4AC6B5DA"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0.31</w:t>
            </w:r>
          </w:p>
        </w:tc>
      </w:tr>
      <w:tr w:rsidR="00671C1C" w:rsidRPr="00616F4F" w14:paraId="3C7CFF2B"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33C09900" w14:textId="7C45323F"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7EBA59EE" w14:textId="7C7D38F9"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2008/09</w:t>
            </w:r>
          </w:p>
        </w:tc>
        <w:tc>
          <w:tcPr>
            <w:tcW w:w="1701" w:type="dxa"/>
            <w:noWrap/>
            <w:hideMark/>
          </w:tcPr>
          <w:p w14:paraId="4E1903DC"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24,698 </w:t>
            </w:r>
          </w:p>
        </w:tc>
        <w:tc>
          <w:tcPr>
            <w:tcW w:w="1559" w:type="dxa"/>
            <w:noWrap/>
            <w:hideMark/>
          </w:tcPr>
          <w:p w14:paraId="30B5E743"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6.8</w:t>
            </w:r>
          </w:p>
        </w:tc>
        <w:tc>
          <w:tcPr>
            <w:tcW w:w="1418" w:type="dxa"/>
            <w:noWrap/>
            <w:hideMark/>
          </w:tcPr>
          <w:p w14:paraId="4D75D519"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0.28</w:t>
            </w:r>
          </w:p>
        </w:tc>
      </w:tr>
      <w:tr w:rsidR="00671C1C" w:rsidRPr="00616F4F" w14:paraId="2E5FBB1B"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2255DB5B" w14:textId="05A59BC4"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52CCF784" w14:textId="6D242B12"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2009/10</w:t>
            </w:r>
          </w:p>
        </w:tc>
        <w:tc>
          <w:tcPr>
            <w:tcW w:w="1701" w:type="dxa"/>
            <w:noWrap/>
            <w:hideMark/>
          </w:tcPr>
          <w:p w14:paraId="1C406B68"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25,843 </w:t>
            </w:r>
          </w:p>
        </w:tc>
        <w:tc>
          <w:tcPr>
            <w:tcW w:w="1559" w:type="dxa"/>
            <w:noWrap/>
            <w:hideMark/>
          </w:tcPr>
          <w:p w14:paraId="6E653032"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6.7</w:t>
            </w:r>
          </w:p>
        </w:tc>
        <w:tc>
          <w:tcPr>
            <w:tcW w:w="1418" w:type="dxa"/>
            <w:noWrap/>
            <w:hideMark/>
          </w:tcPr>
          <w:p w14:paraId="3AF6EFF1"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0.26</w:t>
            </w:r>
          </w:p>
        </w:tc>
      </w:tr>
      <w:tr w:rsidR="00671C1C" w:rsidRPr="00616F4F" w14:paraId="490CCC5F"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999CA62" w14:textId="3C9BFC3F"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Pressure Ulcer</w:t>
            </w:r>
          </w:p>
        </w:tc>
        <w:tc>
          <w:tcPr>
            <w:tcW w:w="1276" w:type="dxa"/>
            <w:noWrap/>
            <w:hideMark/>
          </w:tcPr>
          <w:p w14:paraId="0BF5E7B3" w14:textId="3B48DBFB"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2005/06</w:t>
            </w:r>
          </w:p>
        </w:tc>
        <w:tc>
          <w:tcPr>
            <w:tcW w:w="1701" w:type="dxa"/>
            <w:noWrap/>
            <w:hideMark/>
          </w:tcPr>
          <w:p w14:paraId="73C66630"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7,850 </w:t>
            </w:r>
          </w:p>
        </w:tc>
        <w:tc>
          <w:tcPr>
            <w:tcW w:w="1559" w:type="dxa"/>
            <w:noWrap/>
            <w:hideMark/>
          </w:tcPr>
          <w:p w14:paraId="1D4B2711"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63.9</w:t>
            </w:r>
          </w:p>
        </w:tc>
        <w:tc>
          <w:tcPr>
            <w:tcW w:w="1418" w:type="dxa"/>
            <w:noWrap/>
            <w:hideMark/>
          </w:tcPr>
          <w:p w14:paraId="672672BE"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8.14</w:t>
            </w:r>
          </w:p>
        </w:tc>
      </w:tr>
      <w:tr w:rsidR="00671C1C" w:rsidRPr="00616F4F" w14:paraId="5663D3B1"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0B094131" w14:textId="1BEA813F"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(PSI 3)</w:t>
            </w:r>
          </w:p>
        </w:tc>
        <w:tc>
          <w:tcPr>
            <w:tcW w:w="1276" w:type="dxa"/>
            <w:noWrap/>
            <w:hideMark/>
          </w:tcPr>
          <w:p w14:paraId="7D169EC2" w14:textId="365CF56E"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2006/07</w:t>
            </w:r>
          </w:p>
        </w:tc>
        <w:tc>
          <w:tcPr>
            <w:tcW w:w="1701" w:type="dxa"/>
            <w:noWrap/>
            <w:hideMark/>
          </w:tcPr>
          <w:p w14:paraId="67D56DE3"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7,577 </w:t>
            </w:r>
          </w:p>
        </w:tc>
        <w:tc>
          <w:tcPr>
            <w:tcW w:w="1559" w:type="dxa"/>
            <w:noWrap/>
            <w:hideMark/>
          </w:tcPr>
          <w:p w14:paraId="01E58F96"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68.2</w:t>
            </w:r>
          </w:p>
        </w:tc>
        <w:tc>
          <w:tcPr>
            <w:tcW w:w="1418" w:type="dxa"/>
            <w:noWrap/>
            <w:hideMark/>
          </w:tcPr>
          <w:p w14:paraId="5EC2131B"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9.01</w:t>
            </w:r>
          </w:p>
        </w:tc>
      </w:tr>
      <w:tr w:rsidR="00671C1C" w:rsidRPr="00616F4F" w14:paraId="5057AF41"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4EBD18D3" w14:textId="0E6D10F3"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476E233B" w14:textId="668EB356"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2007/08</w:t>
            </w:r>
          </w:p>
        </w:tc>
        <w:tc>
          <w:tcPr>
            <w:tcW w:w="1701" w:type="dxa"/>
            <w:noWrap/>
            <w:hideMark/>
          </w:tcPr>
          <w:p w14:paraId="674A5A55"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7,604 </w:t>
            </w:r>
          </w:p>
        </w:tc>
        <w:tc>
          <w:tcPr>
            <w:tcW w:w="1559" w:type="dxa"/>
            <w:noWrap/>
            <w:hideMark/>
          </w:tcPr>
          <w:p w14:paraId="2A786F28"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76.1</w:t>
            </w:r>
          </w:p>
        </w:tc>
        <w:tc>
          <w:tcPr>
            <w:tcW w:w="1418" w:type="dxa"/>
            <w:noWrap/>
            <w:hideMark/>
          </w:tcPr>
          <w:p w14:paraId="694D2A2B"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10.01</w:t>
            </w:r>
          </w:p>
        </w:tc>
      </w:tr>
      <w:tr w:rsidR="00671C1C" w:rsidRPr="00616F4F" w14:paraId="032C3E6F"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4EEB1F36" w14:textId="09300390"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2D194936" w14:textId="37A571E2"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2008/09</w:t>
            </w:r>
          </w:p>
        </w:tc>
        <w:tc>
          <w:tcPr>
            <w:tcW w:w="1701" w:type="dxa"/>
            <w:noWrap/>
            <w:hideMark/>
          </w:tcPr>
          <w:p w14:paraId="3E1A7A5A"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7,664 </w:t>
            </w:r>
          </w:p>
        </w:tc>
        <w:tc>
          <w:tcPr>
            <w:tcW w:w="1559" w:type="dxa"/>
            <w:noWrap/>
            <w:hideMark/>
          </w:tcPr>
          <w:p w14:paraId="18D4B174"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89.7</w:t>
            </w:r>
          </w:p>
        </w:tc>
        <w:tc>
          <w:tcPr>
            <w:tcW w:w="1418" w:type="dxa"/>
            <w:noWrap/>
            <w:hideMark/>
          </w:tcPr>
          <w:p w14:paraId="32A8720D"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11.71</w:t>
            </w:r>
          </w:p>
        </w:tc>
      </w:tr>
      <w:tr w:rsidR="00671C1C" w:rsidRPr="00616F4F" w14:paraId="70505AC6"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5363D667" w14:textId="12055128"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38252276" w14:textId="0A95920B"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2009/10</w:t>
            </w:r>
          </w:p>
        </w:tc>
        <w:tc>
          <w:tcPr>
            <w:tcW w:w="1701" w:type="dxa"/>
            <w:noWrap/>
            <w:hideMark/>
          </w:tcPr>
          <w:p w14:paraId="03A7C8B6"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7,657 </w:t>
            </w:r>
          </w:p>
        </w:tc>
        <w:tc>
          <w:tcPr>
            <w:tcW w:w="1559" w:type="dxa"/>
            <w:noWrap/>
            <w:hideMark/>
          </w:tcPr>
          <w:p w14:paraId="56CB984D"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108.6</w:t>
            </w:r>
          </w:p>
        </w:tc>
        <w:tc>
          <w:tcPr>
            <w:tcW w:w="1418" w:type="dxa"/>
            <w:noWrap/>
            <w:hideMark/>
          </w:tcPr>
          <w:p w14:paraId="5B9EA5ED"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14.19</w:t>
            </w:r>
          </w:p>
        </w:tc>
      </w:tr>
      <w:tr w:rsidR="00671C1C" w:rsidRPr="00616F4F" w14:paraId="79D929DE"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5B74A6D" w14:textId="78E5FA2B"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Central line infection</w:t>
            </w:r>
          </w:p>
        </w:tc>
        <w:tc>
          <w:tcPr>
            <w:tcW w:w="1276" w:type="dxa"/>
            <w:noWrap/>
            <w:hideMark/>
          </w:tcPr>
          <w:p w14:paraId="73AF1209" w14:textId="3A0CF2E8"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2005/06</w:t>
            </w:r>
          </w:p>
        </w:tc>
        <w:tc>
          <w:tcPr>
            <w:tcW w:w="1701" w:type="dxa"/>
            <w:noWrap/>
            <w:hideMark/>
          </w:tcPr>
          <w:p w14:paraId="1E53C654"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12,879 </w:t>
            </w:r>
          </w:p>
        </w:tc>
        <w:tc>
          <w:tcPr>
            <w:tcW w:w="1559" w:type="dxa"/>
            <w:noWrap/>
            <w:hideMark/>
          </w:tcPr>
          <w:p w14:paraId="0EEC3D17"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3.0</w:t>
            </w:r>
          </w:p>
        </w:tc>
        <w:tc>
          <w:tcPr>
            <w:tcW w:w="1418" w:type="dxa"/>
            <w:noWrap/>
            <w:hideMark/>
          </w:tcPr>
          <w:p w14:paraId="17F05427"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0.23</w:t>
            </w:r>
          </w:p>
        </w:tc>
      </w:tr>
      <w:tr w:rsidR="00671C1C" w:rsidRPr="00616F4F" w14:paraId="2E630912"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B28115A" w14:textId="0C5D130F"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(PSI 7)</w:t>
            </w:r>
          </w:p>
        </w:tc>
        <w:tc>
          <w:tcPr>
            <w:tcW w:w="1276" w:type="dxa"/>
            <w:noWrap/>
            <w:hideMark/>
          </w:tcPr>
          <w:p w14:paraId="6B2E6C28" w14:textId="3CDCA7FD"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2006/07</w:t>
            </w:r>
          </w:p>
        </w:tc>
        <w:tc>
          <w:tcPr>
            <w:tcW w:w="1701" w:type="dxa"/>
            <w:noWrap/>
            <w:hideMark/>
          </w:tcPr>
          <w:p w14:paraId="6EF818CA"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12,769 </w:t>
            </w:r>
          </w:p>
        </w:tc>
        <w:tc>
          <w:tcPr>
            <w:tcW w:w="1559" w:type="dxa"/>
            <w:noWrap/>
            <w:hideMark/>
          </w:tcPr>
          <w:p w14:paraId="3EDBEAB4"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w:t>
            </w:r>
          </w:p>
        </w:tc>
        <w:tc>
          <w:tcPr>
            <w:tcW w:w="1418" w:type="dxa"/>
            <w:noWrap/>
            <w:hideMark/>
          </w:tcPr>
          <w:p w14:paraId="15C7D5D5"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0.24</w:t>
            </w:r>
          </w:p>
        </w:tc>
      </w:tr>
      <w:tr w:rsidR="00671C1C" w:rsidRPr="00616F4F" w14:paraId="2565B1AC"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285FD653" w14:textId="69B0EF21"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7FADFF5F" w14:textId="4C422E03"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2007/08</w:t>
            </w:r>
          </w:p>
        </w:tc>
        <w:tc>
          <w:tcPr>
            <w:tcW w:w="1701" w:type="dxa"/>
            <w:noWrap/>
            <w:hideMark/>
          </w:tcPr>
          <w:p w14:paraId="512ADBD1"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12,772 </w:t>
            </w:r>
          </w:p>
        </w:tc>
        <w:tc>
          <w:tcPr>
            <w:tcW w:w="1559" w:type="dxa"/>
            <w:noWrap/>
            <w:hideMark/>
          </w:tcPr>
          <w:p w14:paraId="743FC7F3"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2.9</w:t>
            </w:r>
          </w:p>
        </w:tc>
        <w:tc>
          <w:tcPr>
            <w:tcW w:w="1418" w:type="dxa"/>
            <w:noWrap/>
            <w:hideMark/>
          </w:tcPr>
          <w:p w14:paraId="4DE6AC1D"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0.22</w:t>
            </w:r>
          </w:p>
        </w:tc>
      </w:tr>
      <w:tr w:rsidR="00671C1C" w:rsidRPr="00616F4F" w14:paraId="2FE0166B"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495DE4DB" w14:textId="43D2A62C"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32218970" w14:textId="769531FE"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2008/09</w:t>
            </w:r>
          </w:p>
        </w:tc>
        <w:tc>
          <w:tcPr>
            <w:tcW w:w="1701" w:type="dxa"/>
            <w:noWrap/>
            <w:hideMark/>
          </w:tcPr>
          <w:p w14:paraId="4BA26C65"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12,820 </w:t>
            </w:r>
          </w:p>
        </w:tc>
        <w:tc>
          <w:tcPr>
            <w:tcW w:w="1559" w:type="dxa"/>
            <w:noWrap/>
            <w:hideMark/>
          </w:tcPr>
          <w:p w14:paraId="31254F4F"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w:t>
            </w:r>
          </w:p>
        </w:tc>
        <w:tc>
          <w:tcPr>
            <w:tcW w:w="1418" w:type="dxa"/>
            <w:noWrap/>
            <w:hideMark/>
          </w:tcPr>
          <w:p w14:paraId="7F6063C2"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0.16</w:t>
            </w:r>
          </w:p>
        </w:tc>
      </w:tr>
      <w:tr w:rsidR="00671C1C" w:rsidRPr="00616F4F" w14:paraId="14253768"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42C8D3F9" w14:textId="033DB004"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2D78CDC7" w14:textId="5DC740CF"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2009/10</w:t>
            </w:r>
          </w:p>
        </w:tc>
        <w:tc>
          <w:tcPr>
            <w:tcW w:w="1701" w:type="dxa"/>
            <w:noWrap/>
            <w:hideMark/>
          </w:tcPr>
          <w:p w14:paraId="0E7B085D"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12,877 </w:t>
            </w:r>
          </w:p>
        </w:tc>
        <w:tc>
          <w:tcPr>
            <w:tcW w:w="1559" w:type="dxa"/>
            <w:noWrap/>
            <w:hideMark/>
          </w:tcPr>
          <w:p w14:paraId="20FC8CB0"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w:t>
            </w:r>
          </w:p>
        </w:tc>
        <w:tc>
          <w:tcPr>
            <w:tcW w:w="1418" w:type="dxa"/>
            <w:noWrap/>
            <w:hideMark/>
          </w:tcPr>
          <w:p w14:paraId="13ADF88F"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0.13</w:t>
            </w:r>
          </w:p>
        </w:tc>
      </w:tr>
      <w:tr w:rsidR="00671C1C" w:rsidRPr="00616F4F" w14:paraId="0D6DFA2B"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2CB3FC2" w14:textId="4728DE12"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Hip fracture</w:t>
            </w:r>
          </w:p>
        </w:tc>
        <w:tc>
          <w:tcPr>
            <w:tcW w:w="1276" w:type="dxa"/>
            <w:noWrap/>
            <w:hideMark/>
          </w:tcPr>
          <w:p w14:paraId="7A59F168" w14:textId="7DD43A3C"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2005/06</w:t>
            </w:r>
          </w:p>
        </w:tc>
        <w:tc>
          <w:tcPr>
            <w:tcW w:w="1701" w:type="dxa"/>
            <w:noWrap/>
            <w:hideMark/>
          </w:tcPr>
          <w:p w14:paraId="678F0D67"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19,519 </w:t>
            </w:r>
          </w:p>
        </w:tc>
        <w:tc>
          <w:tcPr>
            <w:tcW w:w="1559" w:type="dxa"/>
            <w:noWrap/>
            <w:hideMark/>
          </w:tcPr>
          <w:p w14:paraId="76021489"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c>
          <w:tcPr>
            <w:tcW w:w="1418" w:type="dxa"/>
            <w:noWrap/>
            <w:hideMark/>
          </w:tcPr>
          <w:p w14:paraId="48DAD018"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0.07</w:t>
            </w:r>
          </w:p>
        </w:tc>
      </w:tr>
      <w:tr w:rsidR="00671C1C" w:rsidRPr="00616F4F" w14:paraId="4CDC6710"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4F23081B" w14:textId="0E66BA63"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(PSI 8)</w:t>
            </w:r>
          </w:p>
        </w:tc>
        <w:tc>
          <w:tcPr>
            <w:tcW w:w="1276" w:type="dxa"/>
            <w:noWrap/>
            <w:hideMark/>
          </w:tcPr>
          <w:p w14:paraId="0DFACE66" w14:textId="74CA51FC"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2006/07</w:t>
            </w:r>
          </w:p>
        </w:tc>
        <w:tc>
          <w:tcPr>
            <w:tcW w:w="1701" w:type="dxa"/>
            <w:noWrap/>
            <w:hideMark/>
          </w:tcPr>
          <w:p w14:paraId="69CCE9AE"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20,916 </w:t>
            </w:r>
          </w:p>
        </w:tc>
        <w:tc>
          <w:tcPr>
            <w:tcW w:w="1559" w:type="dxa"/>
            <w:noWrap/>
            <w:hideMark/>
          </w:tcPr>
          <w:p w14:paraId="752DB51D"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c>
          <w:tcPr>
            <w:tcW w:w="1418" w:type="dxa"/>
            <w:noWrap/>
            <w:hideMark/>
          </w:tcPr>
          <w:p w14:paraId="758A11DE"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0.07</w:t>
            </w:r>
          </w:p>
        </w:tc>
      </w:tr>
      <w:tr w:rsidR="00671C1C" w:rsidRPr="00616F4F" w14:paraId="34D77346"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3E6A9C91" w14:textId="160926E8"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1B0532A8" w14:textId="03EE3631"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2007/08</w:t>
            </w:r>
          </w:p>
        </w:tc>
        <w:tc>
          <w:tcPr>
            <w:tcW w:w="1701" w:type="dxa"/>
            <w:noWrap/>
            <w:hideMark/>
          </w:tcPr>
          <w:p w14:paraId="3175118D"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23,151 </w:t>
            </w:r>
          </w:p>
        </w:tc>
        <w:tc>
          <w:tcPr>
            <w:tcW w:w="1559" w:type="dxa"/>
            <w:noWrap/>
            <w:hideMark/>
          </w:tcPr>
          <w:p w14:paraId="732F22BD"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w:t>
            </w:r>
          </w:p>
        </w:tc>
        <w:tc>
          <w:tcPr>
            <w:tcW w:w="1418" w:type="dxa"/>
            <w:noWrap/>
            <w:hideMark/>
          </w:tcPr>
          <w:p w14:paraId="7254A8AA"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0.06</w:t>
            </w:r>
          </w:p>
        </w:tc>
      </w:tr>
      <w:tr w:rsidR="00671C1C" w:rsidRPr="00616F4F" w14:paraId="07C7BDE8"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486E2576" w14:textId="78265BEF"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44A00253" w14:textId="25F99C39"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2008/09</w:t>
            </w:r>
          </w:p>
        </w:tc>
        <w:tc>
          <w:tcPr>
            <w:tcW w:w="1701" w:type="dxa"/>
            <w:noWrap/>
            <w:hideMark/>
          </w:tcPr>
          <w:p w14:paraId="4985F78E"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24,414 </w:t>
            </w:r>
          </w:p>
        </w:tc>
        <w:tc>
          <w:tcPr>
            <w:tcW w:w="1559" w:type="dxa"/>
            <w:noWrap/>
            <w:hideMark/>
          </w:tcPr>
          <w:p w14:paraId="3376CE6A"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w:t>
            </w:r>
          </w:p>
        </w:tc>
        <w:tc>
          <w:tcPr>
            <w:tcW w:w="1418" w:type="dxa"/>
            <w:noWrap/>
            <w:hideMark/>
          </w:tcPr>
          <w:p w14:paraId="6FD98B73"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0.07</w:t>
            </w:r>
          </w:p>
        </w:tc>
      </w:tr>
      <w:tr w:rsidR="00671C1C" w:rsidRPr="00616F4F" w14:paraId="2F9D0698"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14CD1BF7" w14:textId="72A1CEDD"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1BB68C6E" w14:textId="164C3D11"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2009/10</w:t>
            </w:r>
          </w:p>
        </w:tc>
        <w:tc>
          <w:tcPr>
            <w:tcW w:w="1701" w:type="dxa"/>
            <w:noWrap/>
            <w:hideMark/>
          </w:tcPr>
          <w:p w14:paraId="45360631"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24,890 </w:t>
            </w:r>
          </w:p>
        </w:tc>
        <w:tc>
          <w:tcPr>
            <w:tcW w:w="1559" w:type="dxa"/>
            <w:noWrap/>
            <w:hideMark/>
          </w:tcPr>
          <w:p w14:paraId="4498626A"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w:t>
            </w:r>
          </w:p>
        </w:tc>
        <w:tc>
          <w:tcPr>
            <w:tcW w:w="1418" w:type="dxa"/>
            <w:noWrap/>
            <w:hideMark/>
          </w:tcPr>
          <w:p w14:paraId="25044378"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0.06</w:t>
            </w:r>
          </w:p>
        </w:tc>
      </w:tr>
      <w:tr w:rsidR="00671C1C" w:rsidRPr="00616F4F" w14:paraId="44028116"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3612D14E" w14:textId="6750CC4B"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Deep vein thrombosis or</w:t>
            </w:r>
          </w:p>
        </w:tc>
        <w:tc>
          <w:tcPr>
            <w:tcW w:w="1276" w:type="dxa"/>
            <w:noWrap/>
            <w:hideMark/>
          </w:tcPr>
          <w:p w14:paraId="0AF4803F" w14:textId="0458790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2005/06</w:t>
            </w:r>
          </w:p>
        </w:tc>
        <w:tc>
          <w:tcPr>
            <w:tcW w:w="1701" w:type="dxa"/>
            <w:noWrap/>
            <w:hideMark/>
          </w:tcPr>
          <w:p w14:paraId="60E89B5F"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22,698 </w:t>
            </w:r>
          </w:p>
        </w:tc>
        <w:tc>
          <w:tcPr>
            <w:tcW w:w="1559" w:type="dxa"/>
            <w:noWrap/>
            <w:hideMark/>
          </w:tcPr>
          <w:p w14:paraId="569D64FA"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33.2</w:t>
            </w:r>
          </w:p>
        </w:tc>
        <w:tc>
          <w:tcPr>
            <w:tcW w:w="1418" w:type="dxa"/>
            <w:noWrap/>
            <w:hideMark/>
          </w:tcPr>
          <w:p w14:paraId="6F37A003"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1.46</w:t>
            </w:r>
          </w:p>
        </w:tc>
      </w:tr>
      <w:tr w:rsidR="00671C1C" w:rsidRPr="00616F4F" w14:paraId="5D04F51C"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F1EF558" w14:textId="038253EA"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Pulmonary embolism</w:t>
            </w:r>
          </w:p>
        </w:tc>
        <w:tc>
          <w:tcPr>
            <w:tcW w:w="1276" w:type="dxa"/>
            <w:noWrap/>
            <w:hideMark/>
          </w:tcPr>
          <w:p w14:paraId="51B70E54" w14:textId="7D40FC80"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2006/07</w:t>
            </w:r>
          </w:p>
        </w:tc>
        <w:tc>
          <w:tcPr>
            <w:tcW w:w="1701" w:type="dxa"/>
            <w:noWrap/>
            <w:hideMark/>
          </w:tcPr>
          <w:p w14:paraId="76AD92CA"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24,439 </w:t>
            </w:r>
          </w:p>
        </w:tc>
        <w:tc>
          <w:tcPr>
            <w:tcW w:w="1559" w:type="dxa"/>
            <w:noWrap/>
            <w:hideMark/>
          </w:tcPr>
          <w:p w14:paraId="7BE54D42"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37.1</w:t>
            </w:r>
          </w:p>
        </w:tc>
        <w:tc>
          <w:tcPr>
            <w:tcW w:w="1418" w:type="dxa"/>
            <w:noWrap/>
            <w:hideMark/>
          </w:tcPr>
          <w:p w14:paraId="26D1E32D"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1.52</w:t>
            </w:r>
          </w:p>
        </w:tc>
      </w:tr>
      <w:tr w:rsidR="00671C1C" w:rsidRPr="00616F4F" w14:paraId="31634E2F"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23C231E" w14:textId="753D8778"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(PS 12)</w:t>
            </w:r>
          </w:p>
        </w:tc>
        <w:tc>
          <w:tcPr>
            <w:tcW w:w="1276" w:type="dxa"/>
            <w:noWrap/>
            <w:hideMark/>
          </w:tcPr>
          <w:p w14:paraId="781BF79C" w14:textId="112BEF3F"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2007/08</w:t>
            </w:r>
          </w:p>
        </w:tc>
        <w:tc>
          <w:tcPr>
            <w:tcW w:w="1701" w:type="dxa"/>
            <w:noWrap/>
            <w:hideMark/>
          </w:tcPr>
          <w:p w14:paraId="63F700F9"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27,349 </w:t>
            </w:r>
          </w:p>
        </w:tc>
        <w:tc>
          <w:tcPr>
            <w:tcW w:w="1559" w:type="dxa"/>
            <w:noWrap/>
            <w:hideMark/>
          </w:tcPr>
          <w:p w14:paraId="15ED407A"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40.3</w:t>
            </w:r>
          </w:p>
        </w:tc>
        <w:tc>
          <w:tcPr>
            <w:tcW w:w="1418" w:type="dxa"/>
            <w:noWrap/>
            <w:hideMark/>
          </w:tcPr>
          <w:p w14:paraId="49CF5100"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1.47</w:t>
            </w:r>
          </w:p>
        </w:tc>
      </w:tr>
      <w:tr w:rsidR="00671C1C" w:rsidRPr="00616F4F" w14:paraId="67B83260"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49BB2B1A" w14:textId="1994784B"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2C716FF8" w14:textId="78A30E9E"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2008/09</w:t>
            </w:r>
          </w:p>
        </w:tc>
        <w:tc>
          <w:tcPr>
            <w:tcW w:w="1701" w:type="dxa"/>
            <w:noWrap/>
            <w:hideMark/>
          </w:tcPr>
          <w:p w14:paraId="16E149AC"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29,043 </w:t>
            </w:r>
          </w:p>
        </w:tc>
        <w:tc>
          <w:tcPr>
            <w:tcW w:w="1559" w:type="dxa"/>
            <w:noWrap/>
            <w:hideMark/>
          </w:tcPr>
          <w:p w14:paraId="5BD41763"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43.9</w:t>
            </w:r>
          </w:p>
        </w:tc>
        <w:tc>
          <w:tcPr>
            <w:tcW w:w="1418" w:type="dxa"/>
            <w:noWrap/>
            <w:hideMark/>
          </w:tcPr>
          <w:p w14:paraId="72920AE0"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1.51</w:t>
            </w:r>
          </w:p>
        </w:tc>
      </w:tr>
      <w:tr w:rsidR="00671C1C" w:rsidRPr="00616F4F" w14:paraId="49B69222"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20718895" w14:textId="6FD795D5"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3E9191B3" w14:textId="71983E1C"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2009/10</w:t>
            </w:r>
          </w:p>
        </w:tc>
        <w:tc>
          <w:tcPr>
            <w:tcW w:w="1701" w:type="dxa"/>
            <w:noWrap/>
            <w:hideMark/>
          </w:tcPr>
          <w:p w14:paraId="718F4422"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29,722 </w:t>
            </w:r>
          </w:p>
        </w:tc>
        <w:tc>
          <w:tcPr>
            <w:tcW w:w="1559" w:type="dxa"/>
            <w:noWrap/>
            <w:hideMark/>
          </w:tcPr>
          <w:p w14:paraId="2035D0D4"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47.6</w:t>
            </w:r>
          </w:p>
        </w:tc>
        <w:tc>
          <w:tcPr>
            <w:tcW w:w="1418" w:type="dxa"/>
            <w:noWrap/>
            <w:hideMark/>
          </w:tcPr>
          <w:p w14:paraId="4B990DE3"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1.60</w:t>
            </w:r>
          </w:p>
        </w:tc>
      </w:tr>
      <w:tr w:rsidR="00671C1C" w:rsidRPr="00616F4F" w14:paraId="50856434"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C1105EE" w14:textId="1480DFA1" w:rsidR="00671C1C" w:rsidRPr="00616F4F" w:rsidRDefault="00671C1C" w:rsidP="00671C1C">
            <w:pPr>
              <w:spacing w:after="0" w:line="240" w:lineRule="auto"/>
              <w:rPr>
                <w:rFonts w:eastAsia="Times New Roman" w:cs="Arial"/>
                <w:color w:val="000000"/>
                <w:sz w:val="18"/>
                <w:szCs w:val="18"/>
              </w:rPr>
            </w:pPr>
            <w:r w:rsidRPr="00616F4F">
              <w:rPr>
                <w:rFonts w:cs="Arial"/>
                <w:sz w:val="18"/>
                <w:szCs w:val="18"/>
              </w:rPr>
              <w:t>Sepsis (PSI 13)</w:t>
            </w:r>
          </w:p>
        </w:tc>
        <w:tc>
          <w:tcPr>
            <w:tcW w:w="1276" w:type="dxa"/>
            <w:noWrap/>
            <w:hideMark/>
          </w:tcPr>
          <w:p w14:paraId="341D64A9" w14:textId="54FE393E"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2005/06</w:t>
            </w:r>
          </w:p>
        </w:tc>
        <w:tc>
          <w:tcPr>
            <w:tcW w:w="1701" w:type="dxa"/>
            <w:noWrap/>
            <w:hideMark/>
          </w:tcPr>
          <w:p w14:paraId="66AB8221"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2,080 </w:t>
            </w:r>
          </w:p>
        </w:tc>
        <w:tc>
          <w:tcPr>
            <w:tcW w:w="1559" w:type="dxa"/>
            <w:noWrap/>
            <w:hideMark/>
          </w:tcPr>
          <w:p w14:paraId="5CAC2AEA"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12.0</w:t>
            </w:r>
          </w:p>
        </w:tc>
        <w:tc>
          <w:tcPr>
            <w:tcW w:w="1418" w:type="dxa"/>
            <w:noWrap/>
            <w:hideMark/>
          </w:tcPr>
          <w:p w14:paraId="53F747AC"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5.75</w:t>
            </w:r>
          </w:p>
        </w:tc>
      </w:tr>
      <w:tr w:rsidR="00671C1C" w:rsidRPr="00616F4F" w14:paraId="2979A4C1"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28620D1D" w14:textId="2F0FD039"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549DCC6E" w14:textId="2CE02576"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2006/07</w:t>
            </w:r>
          </w:p>
        </w:tc>
        <w:tc>
          <w:tcPr>
            <w:tcW w:w="1701" w:type="dxa"/>
            <w:noWrap/>
            <w:hideMark/>
          </w:tcPr>
          <w:p w14:paraId="44B868F5"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1,996 </w:t>
            </w:r>
          </w:p>
        </w:tc>
        <w:tc>
          <w:tcPr>
            <w:tcW w:w="1559" w:type="dxa"/>
            <w:noWrap/>
            <w:hideMark/>
          </w:tcPr>
          <w:p w14:paraId="719F6667"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13.1</w:t>
            </w:r>
          </w:p>
        </w:tc>
        <w:tc>
          <w:tcPr>
            <w:tcW w:w="1418" w:type="dxa"/>
            <w:noWrap/>
            <w:hideMark/>
          </w:tcPr>
          <w:p w14:paraId="0B2870BC"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6.55</w:t>
            </w:r>
          </w:p>
        </w:tc>
      </w:tr>
      <w:tr w:rsidR="00671C1C" w:rsidRPr="00616F4F" w14:paraId="16132955"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3AB24C64" w14:textId="0CB3DF0C"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65296EB8" w14:textId="4C92CAE5"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2007/08</w:t>
            </w:r>
          </w:p>
        </w:tc>
        <w:tc>
          <w:tcPr>
            <w:tcW w:w="1701" w:type="dxa"/>
            <w:noWrap/>
            <w:hideMark/>
          </w:tcPr>
          <w:p w14:paraId="0189733F"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1,946 </w:t>
            </w:r>
          </w:p>
        </w:tc>
        <w:tc>
          <w:tcPr>
            <w:tcW w:w="1559" w:type="dxa"/>
            <w:noWrap/>
            <w:hideMark/>
          </w:tcPr>
          <w:p w14:paraId="1116E8AB"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13.0</w:t>
            </w:r>
          </w:p>
        </w:tc>
        <w:tc>
          <w:tcPr>
            <w:tcW w:w="1418" w:type="dxa"/>
            <w:noWrap/>
            <w:hideMark/>
          </w:tcPr>
          <w:p w14:paraId="36E8A51D"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6.68</w:t>
            </w:r>
          </w:p>
        </w:tc>
      </w:tr>
      <w:tr w:rsidR="00671C1C" w:rsidRPr="00616F4F" w14:paraId="21C09A8F"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7825714D" w14:textId="6B8075A5"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4F78857E" w14:textId="31932AF5"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sz w:val="18"/>
                <w:szCs w:val="18"/>
              </w:rPr>
              <w:t>2008/09</w:t>
            </w:r>
          </w:p>
        </w:tc>
        <w:tc>
          <w:tcPr>
            <w:tcW w:w="1701" w:type="dxa"/>
            <w:noWrap/>
            <w:hideMark/>
          </w:tcPr>
          <w:p w14:paraId="5DA6099D"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1,883 </w:t>
            </w:r>
          </w:p>
        </w:tc>
        <w:tc>
          <w:tcPr>
            <w:tcW w:w="1559" w:type="dxa"/>
            <w:noWrap/>
            <w:hideMark/>
          </w:tcPr>
          <w:p w14:paraId="45CBB9E1"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12.3</w:t>
            </w:r>
          </w:p>
        </w:tc>
        <w:tc>
          <w:tcPr>
            <w:tcW w:w="1418" w:type="dxa"/>
            <w:noWrap/>
            <w:hideMark/>
          </w:tcPr>
          <w:p w14:paraId="33A6D185" w14:textId="77777777" w:rsidR="00671C1C" w:rsidRPr="00616F4F" w:rsidRDefault="00671C1C" w:rsidP="00671C1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6.55</w:t>
            </w:r>
          </w:p>
        </w:tc>
      </w:tr>
      <w:tr w:rsidR="00671C1C" w:rsidRPr="00616F4F" w14:paraId="616F62CC"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2972" w:type="dxa"/>
            <w:noWrap/>
          </w:tcPr>
          <w:p w14:paraId="74F61F1C" w14:textId="3A2E342D" w:rsidR="00671C1C" w:rsidRPr="00616F4F" w:rsidRDefault="00671C1C" w:rsidP="00671C1C">
            <w:pPr>
              <w:spacing w:after="0" w:line="240" w:lineRule="auto"/>
              <w:rPr>
                <w:rFonts w:eastAsia="Times New Roman" w:cs="Arial"/>
                <w:color w:val="000000"/>
                <w:sz w:val="18"/>
                <w:szCs w:val="18"/>
              </w:rPr>
            </w:pPr>
          </w:p>
        </w:tc>
        <w:tc>
          <w:tcPr>
            <w:tcW w:w="1276" w:type="dxa"/>
            <w:noWrap/>
            <w:hideMark/>
          </w:tcPr>
          <w:p w14:paraId="21147A19" w14:textId="3D5959F5"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sz w:val="18"/>
                <w:szCs w:val="18"/>
              </w:rPr>
              <w:t>2009/10</w:t>
            </w:r>
          </w:p>
        </w:tc>
        <w:tc>
          <w:tcPr>
            <w:tcW w:w="1701" w:type="dxa"/>
            <w:noWrap/>
            <w:hideMark/>
          </w:tcPr>
          <w:p w14:paraId="299CCD8D"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 xml:space="preserve">        1,774 </w:t>
            </w:r>
          </w:p>
        </w:tc>
        <w:tc>
          <w:tcPr>
            <w:tcW w:w="1559" w:type="dxa"/>
            <w:noWrap/>
            <w:hideMark/>
          </w:tcPr>
          <w:p w14:paraId="7F866419"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12.8</w:t>
            </w:r>
          </w:p>
        </w:tc>
        <w:tc>
          <w:tcPr>
            <w:tcW w:w="1418" w:type="dxa"/>
            <w:noWrap/>
            <w:hideMark/>
          </w:tcPr>
          <w:p w14:paraId="61BB1707" w14:textId="77777777" w:rsidR="00671C1C" w:rsidRPr="00616F4F" w:rsidRDefault="00671C1C" w:rsidP="00671C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7.22</w:t>
            </w:r>
          </w:p>
        </w:tc>
      </w:tr>
    </w:tbl>
    <w:p w14:paraId="0E721ABC" w14:textId="77777777" w:rsidR="00B64822" w:rsidRPr="00616F4F" w:rsidRDefault="00B64822" w:rsidP="007202B0">
      <w:pPr>
        <w:rPr>
          <w:rFonts w:eastAsiaTheme="minorHAnsi" w:cs="Arial"/>
          <w:noProof/>
          <w:sz w:val="18"/>
          <w:szCs w:val="18"/>
        </w:rPr>
      </w:pPr>
    </w:p>
    <w:p w14:paraId="7E2EB3A5" w14:textId="683BB584" w:rsidR="00671C1C" w:rsidRPr="00616F4F" w:rsidRDefault="00671C1C" w:rsidP="007202B0">
      <w:pPr>
        <w:rPr>
          <w:rFonts w:cs="Arial"/>
          <w:sz w:val="18"/>
          <w:szCs w:val="18"/>
        </w:rPr>
      </w:pPr>
      <w:r w:rsidRPr="00616F4F">
        <w:rPr>
          <w:rFonts w:eastAsiaTheme="minorHAnsi" w:cs="Arial"/>
          <w:noProof/>
          <w:sz w:val="18"/>
          <w:szCs w:val="18"/>
        </w:rPr>
        <w:t xml:space="preserve">Notes: </w:t>
      </w:r>
      <w:r w:rsidRPr="00616F4F">
        <w:rPr>
          <w:rFonts w:eastAsiaTheme="minorHAnsi" w:cs="Arial"/>
          <w:noProof/>
          <w:sz w:val="18"/>
          <w:szCs w:val="18"/>
          <w:vertAlign w:val="superscript"/>
        </w:rPr>
        <w:t>1</w:t>
      </w:r>
      <w:r w:rsidR="009861AF" w:rsidRPr="00616F4F">
        <w:rPr>
          <w:rFonts w:eastAsiaTheme="minorHAnsi" w:cs="Arial"/>
          <w:noProof/>
          <w:sz w:val="18"/>
          <w:szCs w:val="18"/>
        </w:rPr>
        <w:t xml:space="preserve"> Average</w:t>
      </w:r>
      <w:r w:rsidRPr="00616F4F">
        <w:rPr>
          <w:rFonts w:eastAsiaTheme="minorHAnsi" w:cs="Arial"/>
          <w:noProof/>
          <w:sz w:val="18"/>
          <w:szCs w:val="18"/>
        </w:rPr>
        <w:t xml:space="preserve"> hospital size is determined with respect to number of PS incidencts</w:t>
      </w:r>
      <w:r w:rsidR="009861AF" w:rsidRPr="00616F4F">
        <w:rPr>
          <w:rFonts w:eastAsiaTheme="minorHAnsi" w:cs="Arial"/>
          <w:noProof/>
          <w:sz w:val="18"/>
          <w:szCs w:val="18"/>
        </w:rPr>
        <w:t xml:space="preserve">; </w:t>
      </w:r>
      <w:r w:rsidRPr="00616F4F">
        <w:rPr>
          <w:rFonts w:eastAsiaTheme="minorHAnsi" w:cs="Arial"/>
          <w:noProof/>
          <w:sz w:val="18"/>
          <w:szCs w:val="18"/>
          <w:vertAlign w:val="superscript"/>
        </w:rPr>
        <w:t>2</w:t>
      </w:r>
      <w:r w:rsidRPr="00616F4F">
        <w:rPr>
          <w:rFonts w:eastAsiaTheme="minorHAnsi" w:cs="Arial"/>
          <w:noProof/>
          <w:sz w:val="18"/>
          <w:szCs w:val="18"/>
        </w:rPr>
        <w:t xml:space="preserve"> Denomintator patients comprises hospitalizations for which safety incident would be considered preventa</w:t>
      </w:r>
      <w:r w:rsidR="009861AF" w:rsidRPr="00616F4F">
        <w:rPr>
          <w:rFonts w:eastAsiaTheme="minorHAnsi" w:cs="Arial"/>
          <w:noProof/>
          <w:sz w:val="18"/>
          <w:szCs w:val="18"/>
        </w:rPr>
        <w:t xml:space="preserve">ble according to AHRQ criteria; </w:t>
      </w:r>
      <w:r w:rsidRPr="00616F4F">
        <w:rPr>
          <w:rFonts w:eastAsiaTheme="minorHAnsi" w:cs="Arial"/>
          <w:noProof/>
          <w:sz w:val="18"/>
          <w:szCs w:val="18"/>
          <w:vertAlign w:val="superscript"/>
        </w:rPr>
        <w:t>3</w:t>
      </w:r>
      <w:r w:rsidRPr="00616F4F">
        <w:rPr>
          <w:rFonts w:eastAsiaTheme="minorHAnsi" w:cs="Arial"/>
          <w:noProof/>
          <w:sz w:val="18"/>
          <w:szCs w:val="18"/>
        </w:rPr>
        <w:t xml:space="preserve"> Incidence is assessed with respect to denominator cases, and expressed per 1000 patients.</w:t>
      </w:r>
      <w:r w:rsidRPr="00616F4F">
        <w:rPr>
          <w:rFonts w:cs="Arial"/>
          <w:sz w:val="18"/>
          <w:szCs w:val="18"/>
        </w:rPr>
        <w:t xml:space="preserve"> </w:t>
      </w:r>
      <w:r w:rsidRPr="00616F4F">
        <w:rPr>
          <w:rFonts w:eastAsiaTheme="minorHAnsi" w:cs="Arial"/>
          <w:noProof/>
          <w:sz w:val="18"/>
          <w:szCs w:val="18"/>
        </w:rPr>
        <w:t xml:space="preserve">The incidence rate is similar to the </w:t>
      </w:r>
      <w:r w:rsidR="009861AF" w:rsidRPr="00616F4F">
        <w:rPr>
          <w:rFonts w:eastAsiaTheme="minorHAnsi" w:cs="Arial"/>
          <w:noProof/>
          <w:sz w:val="18"/>
          <w:szCs w:val="18"/>
        </w:rPr>
        <w:t xml:space="preserve">national </w:t>
      </w:r>
      <w:r w:rsidRPr="00616F4F">
        <w:rPr>
          <w:rFonts w:eastAsiaTheme="minorHAnsi" w:cs="Arial"/>
          <w:noProof/>
          <w:sz w:val="18"/>
          <w:szCs w:val="18"/>
        </w:rPr>
        <w:t>estimates. We would not expect the rates to be exactly the same, because the association between number of cases and size of hospital is unlikely to be</w:t>
      </w:r>
      <w:r w:rsidR="009861AF" w:rsidRPr="00616F4F">
        <w:rPr>
          <w:rFonts w:eastAsiaTheme="minorHAnsi" w:cs="Arial"/>
          <w:noProof/>
          <w:sz w:val="18"/>
          <w:szCs w:val="18"/>
        </w:rPr>
        <w:t xml:space="preserve"> perfectly linear</w:t>
      </w:r>
      <w:r w:rsidRPr="00616F4F">
        <w:rPr>
          <w:rFonts w:eastAsiaTheme="minorHAnsi" w:cs="Arial"/>
          <w:noProof/>
          <w:sz w:val="18"/>
          <w:szCs w:val="18"/>
        </w:rPr>
        <w:t xml:space="preserve">. </w:t>
      </w:r>
    </w:p>
    <w:p w14:paraId="7783C9C1" w14:textId="77777777" w:rsidR="007202B0" w:rsidRPr="00616F4F" w:rsidRDefault="007202B0" w:rsidP="007202B0">
      <w:pPr>
        <w:rPr>
          <w:rFonts w:cs="Arial"/>
          <w:sz w:val="18"/>
          <w:szCs w:val="18"/>
        </w:rPr>
        <w:sectPr w:rsidR="007202B0" w:rsidRPr="00616F4F" w:rsidSect="001E2212">
          <w:pgSz w:w="11906" w:h="16838"/>
          <w:pgMar w:top="1440" w:right="1440" w:bottom="1440" w:left="1440" w:header="708" w:footer="708" w:gutter="0"/>
          <w:cols w:space="708"/>
          <w:docGrid w:linePitch="360"/>
        </w:sectPr>
      </w:pPr>
    </w:p>
    <w:p w14:paraId="47962C13" w14:textId="417397E0" w:rsidR="00904FCA" w:rsidRPr="00616F4F" w:rsidRDefault="00436537" w:rsidP="00436537">
      <w:pPr>
        <w:pStyle w:val="Heading2"/>
        <w:rPr>
          <w:rFonts w:asciiTheme="minorHAnsi" w:hAnsiTheme="minorHAnsi" w:cs="Arial"/>
          <w:sz w:val="22"/>
          <w:szCs w:val="22"/>
        </w:rPr>
      </w:pPr>
      <w:bookmarkStart w:id="19" w:name="_Toc457312917"/>
      <w:r w:rsidRPr="00616F4F">
        <w:rPr>
          <w:rFonts w:asciiTheme="minorHAnsi" w:hAnsiTheme="minorHAnsi" w:cs="Arial"/>
          <w:sz w:val="22"/>
          <w:szCs w:val="22"/>
        </w:rPr>
        <w:lastRenderedPageBreak/>
        <w:t>Table</w:t>
      </w:r>
      <w:r w:rsidR="00904FCA" w:rsidRPr="00616F4F">
        <w:rPr>
          <w:rFonts w:asciiTheme="minorHAnsi" w:hAnsiTheme="minorHAnsi" w:cs="Arial"/>
          <w:sz w:val="22"/>
          <w:szCs w:val="22"/>
        </w:rPr>
        <w:t>s</w:t>
      </w:r>
      <w:r w:rsidRPr="00616F4F">
        <w:rPr>
          <w:rFonts w:asciiTheme="minorHAnsi" w:hAnsiTheme="minorHAnsi" w:cs="Arial"/>
          <w:sz w:val="22"/>
          <w:szCs w:val="22"/>
        </w:rPr>
        <w:t xml:space="preserve"> </w:t>
      </w:r>
      <w:r w:rsidR="00635E43" w:rsidRPr="00616F4F">
        <w:rPr>
          <w:rFonts w:asciiTheme="minorHAnsi" w:hAnsiTheme="minorHAnsi" w:cs="Arial"/>
          <w:sz w:val="22"/>
          <w:szCs w:val="22"/>
        </w:rPr>
        <w:t>S</w:t>
      </w:r>
      <w:r w:rsidR="00635E43">
        <w:rPr>
          <w:rFonts w:asciiTheme="minorHAnsi" w:hAnsiTheme="minorHAnsi" w:cs="Arial"/>
          <w:sz w:val="22"/>
          <w:szCs w:val="22"/>
        </w:rPr>
        <w:t>DC</w:t>
      </w:r>
      <w:r w:rsidR="0041235B" w:rsidRPr="00616F4F">
        <w:rPr>
          <w:rFonts w:asciiTheme="minorHAnsi" w:hAnsiTheme="minorHAnsi" w:cs="Arial"/>
          <w:sz w:val="22"/>
          <w:szCs w:val="22"/>
        </w:rPr>
        <w:t>3</w:t>
      </w:r>
      <w:r w:rsidR="00904FCA" w:rsidRPr="00616F4F">
        <w:rPr>
          <w:rFonts w:asciiTheme="minorHAnsi" w:hAnsiTheme="minorHAnsi" w:cs="Arial"/>
          <w:sz w:val="22"/>
          <w:szCs w:val="22"/>
        </w:rPr>
        <w:t>a-f</w:t>
      </w:r>
      <w:r w:rsidRPr="00616F4F">
        <w:rPr>
          <w:rFonts w:asciiTheme="minorHAnsi" w:hAnsiTheme="minorHAnsi" w:cs="Arial"/>
          <w:sz w:val="22"/>
          <w:szCs w:val="22"/>
        </w:rPr>
        <w:t xml:space="preserve">: Summary statistics and bias statistics, </w:t>
      </w:r>
      <w:r w:rsidR="00904FCA" w:rsidRPr="00616F4F">
        <w:rPr>
          <w:rFonts w:asciiTheme="minorHAnsi" w:hAnsiTheme="minorHAnsi" w:cs="Arial"/>
          <w:sz w:val="22"/>
          <w:szCs w:val="22"/>
        </w:rPr>
        <w:t>all PSIs, year 2009/10</w:t>
      </w:r>
      <w:bookmarkEnd w:id="19"/>
    </w:p>
    <w:p w14:paraId="6725ADC4" w14:textId="77777777" w:rsidR="00904FCA" w:rsidRPr="00616F4F" w:rsidRDefault="00904FCA" w:rsidP="00436537">
      <w:pPr>
        <w:pStyle w:val="Heading2"/>
        <w:rPr>
          <w:rFonts w:asciiTheme="minorHAnsi" w:hAnsiTheme="minorHAnsi" w:cs="Arial"/>
          <w:sz w:val="18"/>
          <w:szCs w:val="18"/>
        </w:rPr>
      </w:pPr>
    </w:p>
    <w:p w14:paraId="2B882261" w14:textId="50F0D04A" w:rsidR="00436537" w:rsidRPr="00E2486B" w:rsidRDefault="00904FCA" w:rsidP="00E2486B">
      <w:pPr>
        <w:rPr>
          <w:b/>
        </w:rPr>
      </w:pPr>
      <w:r w:rsidRPr="00E2486B">
        <w:rPr>
          <w:b/>
        </w:rPr>
        <w:t xml:space="preserve">Table </w:t>
      </w:r>
      <w:r w:rsidR="00635E43" w:rsidRPr="00E2486B">
        <w:rPr>
          <w:b/>
        </w:rPr>
        <w:t>SDC</w:t>
      </w:r>
      <w:r w:rsidR="0041235B" w:rsidRPr="00E2486B">
        <w:rPr>
          <w:b/>
        </w:rPr>
        <w:t>3</w:t>
      </w:r>
      <w:r w:rsidRPr="00E2486B">
        <w:rPr>
          <w:b/>
        </w:rPr>
        <w:t xml:space="preserve">a: </w:t>
      </w:r>
      <w:r w:rsidR="00436537" w:rsidRPr="00E2486B">
        <w:rPr>
          <w:b/>
        </w:rPr>
        <w:t>Death in low-mortality HRGs, year 2009/10</w:t>
      </w:r>
    </w:p>
    <w:p w14:paraId="209BA57A" w14:textId="77777777" w:rsidR="00436537" w:rsidRPr="00616F4F" w:rsidRDefault="00436537">
      <w:pPr>
        <w:spacing w:after="160" w:line="259" w:lineRule="auto"/>
        <w:rPr>
          <w:rFonts w:cs="Arial"/>
          <w:sz w:val="18"/>
          <w:szCs w:val="18"/>
        </w:rPr>
      </w:pPr>
    </w:p>
    <w:tbl>
      <w:tblPr>
        <w:tblStyle w:val="GridTable4-Accent12"/>
        <w:tblW w:w="13887" w:type="dxa"/>
        <w:tblLayout w:type="fixed"/>
        <w:tblLook w:val="04A0" w:firstRow="1" w:lastRow="0" w:firstColumn="1" w:lastColumn="0" w:noHBand="0" w:noVBand="1"/>
      </w:tblPr>
      <w:tblGrid>
        <w:gridCol w:w="4957"/>
        <w:gridCol w:w="1134"/>
        <w:gridCol w:w="1275"/>
        <w:gridCol w:w="1134"/>
        <w:gridCol w:w="1276"/>
        <w:gridCol w:w="851"/>
        <w:gridCol w:w="1134"/>
        <w:gridCol w:w="1275"/>
        <w:gridCol w:w="851"/>
      </w:tblGrid>
      <w:tr w:rsidR="00436537" w:rsidRPr="00616F4F" w14:paraId="6E285CFD" w14:textId="77777777" w:rsidTr="00436537">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right w:val="single" w:sz="4" w:space="0" w:color="auto"/>
            </w:tcBorders>
            <w:noWrap/>
            <w:hideMark/>
          </w:tcPr>
          <w:p w14:paraId="0E2802AE" w14:textId="77777777" w:rsidR="00436537" w:rsidRPr="00616F4F" w:rsidRDefault="00436537" w:rsidP="00804D98">
            <w:pPr>
              <w:spacing w:after="0" w:line="240" w:lineRule="auto"/>
              <w:rPr>
                <w:rFonts w:eastAsia="Times New Roman" w:cs="Arial"/>
                <w:sz w:val="18"/>
                <w:szCs w:val="18"/>
              </w:rPr>
            </w:pPr>
          </w:p>
        </w:tc>
        <w:tc>
          <w:tcPr>
            <w:tcW w:w="2409" w:type="dxa"/>
            <w:gridSpan w:val="2"/>
            <w:tcBorders>
              <w:top w:val="single" w:sz="4" w:space="0" w:color="auto"/>
              <w:left w:val="single" w:sz="4" w:space="0" w:color="auto"/>
              <w:right w:val="single" w:sz="4" w:space="0" w:color="auto"/>
            </w:tcBorders>
            <w:vAlign w:val="center"/>
            <w:hideMark/>
          </w:tcPr>
          <w:p w14:paraId="2FFB7A05" w14:textId="77777777" w:rsidR="00436537" w:rsidRPr="00616F4F" w:rsidRDefault="00436537" w:rsidP="0043653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Patients with incidents (n=1,444)</w:t>
            </w:r>
          </w:p>
        </w:tc>
        <w:tc>
          <w:tcPr>
            <w:tcW w:w="3261" w:type="dxa"/>
            <w:gridSpan w:val="3"/>
            <w:tcBorders>
              <w:top w:val="single" w:sz="4" w:space="0" w:color="auto"/>
              <w:left w:val="single" w:sz="4" w:space="0" w:color="auto"/>
              <w:right w:val="single" w:sz="4" w:space="0" w:color="auto"/>
            </w:tcBorders>
            <w:vAlign w:val="center"/>
            <w:hideMark/>
          </w:tcPr>
          <w:p w14:paraId="5D84DD1E" w14:textId="77777777" w:rsidR="00436537" w:rsidRPr="00616F4F" w:rsidRDefault="00436537" w:rsidP="0043653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Unmatched control patients (n=5,701,555)</w:t>
            </w:r>
          </w:p>
        </w:tc>
        <w:tc>
          <w:tcPr>
            <w:tcW w:w="3260" w:type="dxa"/>
            <w:gridSpan w:val="3"/>
            <w:tcBorders>
              <w:top w:val="single" w:sz="4" w:space="0" w:color="auto"/>
              <w:left w:val="single" w:sz="4" w:space="0" w:color="auto"/>
              <w:right w:val="single" w:sz="4" w:space="0" w:color="auto"/>
            </w:tcBorders>
            <w:vAlign w:val="center"/>
            <w:hideMark/>
          </w:tcPr>
          <w:p w14:paraId="4D23B6CB" w14:textId="77777777" w:rsidR="00436537" w:rsidRPr="00616F4F" w:rsidRDefault="00436537" w:rsidP="0043653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Matched control patients (n=1,571)</w:t>
            </w:r>
          </w:p>
        </w:tc>
      </w:tr>
      <w:tr w:rsidR="00436537" w:rsidRPr="00616F4F" w14:paraId="6D5488ED" w14:textId="77777777" w:rsidTr="004365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1D844E8C" w14:textId="77777777" w:rsidR="00804D98" w:rsidRPr="00616F4F" w:rsidRDefault="00804D98" w:rsidP="00804D98">
            <w:pPr>
              <w:spacing w:after="0" w:line="240" w:lineRule="auto"/>
              <w:rPr>
                <w:rFonts w:eastAsia="Times New Roman" w:cs="Arial"/>
                <w:color w:val="000000"/>
                <w:sz w:val="18"/>
                <w:szCs w:val="18"/>
              </w:rPr>
            </w:pPr>
            <w:r w:rsidRPr="00616F4F">
              <w:rPr>
                <w:rFonts w:eastAsia="Times New Roman" w:cs="Arial"/>
                <w:color w:val="000000"/>
                <w:sz w:val="18"/>
                <w:szCs w:val="18"/>
              </w:rPr>
              <w:t>Outcomes</w:t>
            </w:r>
          </w:p>
        </w:tc>
        <w:tc>
          <w:tcPr>
            <w:tcW w:w="1134" w:type="dxa"/>
            <w:tcBorders>
              <w:left w:val="single" w:sz="4" w:space="0" w:color="auto"/>
            </w:tcBorders>
            <w:noWrap/>
            <w:hideMark/>
          </w:tcPr>
          <w:p w14:paraId="77C6156A"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275" w:type="dxa"/>
            <w:tcBorders>
              <w:right w:val="single" w:sz="4" w:space="0" w:color="auto"/>
            </w:tcBorders>
            <w:noWrap/>
            <w:hideMark/>
          </w:tcPr>
          <w:p w14:paraId="05308B6F"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1134" w:type="dxa"/>
            <w:tcBorders>
              <w:left w:val="single" w:sz="4" w:space="0" w:color="auto"/>
            </w:tcBorders>
            <w:noWrap/>
            <w:hideMark/>
          </w:tcPr>
          <w:p w14:paraId="3261C19F"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276" w:type="dxa"/>
            <w:noWrap/>
            <w:hideMark/>
          </w:tcPr>
          <w:p w14:paraId="6B4DAF40"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851" w:type="dxa"/>
            <w:tcBorders>
              <w:right w:val="single" w:sz="4" w:space="0" w:color="auto"/>
            </w:tcBorders>
            <w:noWrap/>
            <w:hideMark/>
          </w:tcPr>
          <w:p w14:paraId="1E4916D3"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c>
          <w:tcPr>
            <w:tcW w:w="1134" w:type="dxa"/>
            <w:tcBorders>
              <w:left w:val="single" w:sz="4" w:space="0" w:color="auto"/>
            </w:tcBorders>
            <w:noWrap/>
            <w:hideMark/>
          </w:tcPr>
          <w:p w14:paraId="74FD57C5"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275" w:type="dxa"/>
            <w:noWrap/>
            <w:hideMark/>
          </w:tcPr>
          <w:p w14:paraId="361D0678"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851" w:type="dxa"/>
            <w:tcBorders>
              <w:right w:val="single" w:sz="4" w:space="0" w:color="auto"/>
            </w:tcBorders>
            <w:noWrap/>
            <w:hideMark/>
          </w:tcPr>
          <w:p w14:paraId="128E04A2"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r>
      <w:tr w:rsidR="00436537" w:rsidRPr="00616F4F" w14:paraId="5B6F9A44" w14:textId="77777777" w:rsidTr="00436537">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5F15D046" w14:textId="77777777" w:rsidR="00804D98" w:rsidRPr="00616F4F" w:rsidRDefault="00804D98" w:rsidP="00804D98">
            <w:pPr>
              <w:spacing w:after="0" w:line="240" w:lineRule="auto"/>
              <w:rPr>
                <w:rFonts w:eastAsia="Times New Roman" w:cs="Arial"/>
                <w:b w:val="0"/>
                <w:color w:val="000000"/>
                <w:sz w:val="18"/>
                <w:szCs w:val="18"/>
              </w:rPr>
            </w:pPr>
            <w:r w:rsidRPr="00616F4F">
              <w:rPr>
                <w:rFonts w:eastAsia="Times New Roman" w:cs="Arial"/>
                <w:b w:val="0"/>
                <w:color w:val="000000"/>
                <w:sz w:val="18"/>
                <w:szCs w:val="18"/>
              </w:rPr>
              <w:t>Death, in-hospital</w:t>
            </w:r>
          </w:p>
        </w:tc>
        <w:tc>
          <w:tcPr>
            <w:tcW w:w="1134" w:type="dxa"/>
            <w:tcBorders>
              <w:left w:val="single" w:sz="4" w:space="0" w:color="auto"/>
            </w:tcBorders>
            <w:noWrap/>
            <w:hideMark/>
          </w:tcPr>
          <w:p w14:paraId="62E40816" w14:textId="49ADF8B7" w:rsidR="00804D98" w:rsidRPr="00616F4F" w:rsidRDefault="0022535D"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0.95</w:t>
            </w:r>
          </w:p>
        </w:tc>
        <w:tc>
          <w:tcPr>
            <w:tcW w:w="1275" w:type="dxa"/>
            <w:tcBorders>
              <w:right w:val="single" w:sz="4" w:space="0" w:color="auto"/>
            </w:tcBorders>
            <w:noWrap/>
            <w:hideMark/>
          </w:tcPr>
          <w:p w14:paraId="61171B18"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w:t>
            </w:r>
          </w:p>
        </w:tc>
        <w:tc>
          <w:tcPr>
            <w:tcW w:w="1134" w:type="dxa"/>
            <w:tcBorders>
              <w:left w:val="single" w:sz="4" w:space="0" w:color="auto"/>
            </w:tcBorders>
            <w:noWrap/>
            <w:hideMark/>
          </w:tcPr>
          <w:p w14:paraId="4E773F29" w14:textId="46C82AB3" w:rsidR="00804D98" w:rsidRPr="00616F4F" w:rsidRDefault="0022535D"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5</w:t>
            </w:r>
          </w:p>
        </w:tc>
        <w:tc>
          <w:tcPr>
            <w:tcW w:w="1276" w:type="dxa"/>
            <w:noWrap/>
            <w:hideMark/>
          </w:tcPr>
          <w:p w14:paraId="4FBEE0C2"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0.01</w:t>
            </w:r>
          </w:p>
        </w:tc>
        <w:tc>
          <w:tcPr>
            <w:tcW w:w="851" w:type="dxa"/>
            <w:tcBorders>
              <w:right w:val="single" w:sz="4" w:space="0" w:color="auto"/>
            </w:tcBorders>
            <w:noWrap/>
            <w:hideMark/>
          </w:tcPr>
          <w:p w14:paraId="68C15CA6"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left w:val="single" w:sz="4" w:space="0" w:color="auto"/>
            </w:tcBorders>
            <w:noWrap/>
            <w:hideMark/>
          </w:tcPr>
          <w:p w14:paraId="5D0C34E7" w14:textId="5CD07E73" w:rsidR="00804D98" w:rsidRPr="00616F4F" w:rsidRDefault="0022535D"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5</w:t>
            </w:r>
          </w:p>
        </w:tc>
        <w:tc>
          <w:tcPr>
            <w:tcW w:w="1275" w:type="dxa"/>
            <w:noWrap/>
            <w:hideMark/>
          </w:tcPr>
          <w:p w14:paraId="385671A3"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0.06</w:t>
            </w:r>
          </w:p>
        </w:tc>
        <w:tc>
          <w:tcPr>
            <w:tcW w:w="851" w:type="dxa"/>
            <w:tcBorders>
              <w:right w:val="single" w:sz="4" w:space="0" w:color="auto"/>
            </w:tcBorders>
            <w:noWrap/>
            <w:hideMark/>
          </w:tcPr>
          <w:p w14:paraId="67524D62"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r>
      <w:tr w:rsidR="00436537" w:rsidRPr="00616F4F" w14:paraId="257CCD30" w14:textId="77777777" w:rsidTr="004365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right w:val="single" w:sz="4" w:space="0" w:color="auto"/>
            </w:tcBorders>
            <w:noWrap/>
            <w:hideMark/>
          </w:tcPr>
          <w:p w14:paraId="637E1198" w14:textId="77777777" w:rsidR="00804D98" w:rsidRPr="00616F4F" w:rsidRDefault="00804D98" w:rsidP="00804D98">
            <w:pPr>
              <w:spacing w:after="0" w:line="240" w:lineRule="auto"/>
              <w:rPr>
                <w:rFonts w:eastAsia="Times New Roman" w:cs="Arial"/>
                <w:b w:val="0"/>
                <w:color w:val="000000"/>
                <w:sz w:val="18"/>
                <w:szCs w:val="18"/>
              </w:rPr>
            </w:pPr>
            <w:r w:rsidRPr="00616F4F">
              <w:rPr>
                <w:rFonts w:eastAsia="Times New Roman" w:cs="Arial"/>
                <w:b w:val="0"/>
                <w:color w:val="000000"/>
                <w:sz w:val="18"/>
                <w:szCs w:val="18"/>
              </w:rPr>
              <w:t>Bed-days</w:t>
            </w:r>
          </w:p>
        </w:tc>
        <w:tc>
          <w:tcPr>
            <w:tcW w:w="1134" w:type="dxa"/>
            <w:tcBorders>
              <w:left w:val="single" w:sz="4" w:space="0" w:color="auto"/>
              <w:bottom w:val="single" w:sz="4" w:space="0" w:color="auto"/>
            </w:tcBorders>
            <w:noWrap/>
            <w:hideMark/>
          </w:tcPr>
          <w:p w14:paraId="7675EDD3"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13.28</w:t>
            </w:r>
          </w:p>
        </w:tc>
        <w:tc>
          <w:tcPr>
            <w:tcW w:w="1275" w:type="dxa"/>
            <w:tcBorders>
              <w:bottom w:val="single" w:sz="4" w:space="0" w:color="auto"/>
              <w:right w:val="single" w:sz="4" w:space="0" w:color="auto"/>
            </w:tcBorders>
            <w:noWrap/>
            <w:hideMark/>
          </w:tcPr>
          <w:p w14:paraId="2531B04A"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40.67</w:t>
            </w:r>
          </w:p>
        </w:tc>
        <w:tc>
          <w:tcPr>
            <w:tcW w:w="1134" w:type="dxa"/>
            <w:tcBorders>
              <w:left w:val="single" w:sz="4" w:space="0" w:color="auto"/>
              <w:bottom w:val="single" w:sz="4" w:space="0" w:color="auto"/>
            </w:tcBorders>
            <w:noWrap/>
            <w:hideMark/>
          </w:tcPr>
          <w:p w14:paraId="7E44CB70"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0.93</w:t>
            </w:r>
          </w:p>
        </w:tc>
        <w:tc>
          <w:tcPr>
            <w:tcW w:w="1276" w:type="dxa"/>
            <w:tcBorders>
              <w:bottom w:val="single" w:sz="4" w:space="0" w:color="auto"/>
            </w:tcBorders>
            <w:noWrap/>
            <w:hideMark/>
          </w:tcPr>
          <w:p w14:paraId="303D8F9C"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5.52</w:t>
            </w:r>
          </w:p>
        </w:tc>
        <w:tc>
          <w:tcPr>
            <w:tcW w:w="851" w:type="dxa"/>
            <w:tcBorders>
              <w:bottom w:val="single" w:sz="4" w:space="0" w:color="auto"/>
              <w:right w:val="single" w:sz="4" w:space="0" w:color="auto"/>
            </w:tcBorders>
            <w:noWrap/>
            <w:hideMark/>
          </w:tcPr>
          <w:p w14:paraId="44BB1A54"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1134" w:type="dxa"/>
            <w:tcBorders>
              <w:left w:val="single" w:sz="4" w:space="0" w:color="auto"/>
              <w:bottom w:val="single" w:sz="4" w:space="0" w:color="auto"/>
            </w:tcBorders>
            <w:noWrap/>
            <w:hideMark/>
          </w:tcPr>
          <w:p w14:paraId="58EDED5E"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3.16</w:t>
            </w:r>
          </w:p>
        </w:tc>
        <w:tc>
          <w:tcPr>
            <w:tcW w:w="1275" w:type="dxa"/>
            <w:tcBorders>
              <w:bottom w:val="single" w:sz="4" w:space="0" w:color="auto"/>
            </w:tcBorders>
            <w:noWrap/>
            <w:hideMark/>
          </w:tcPr>
          <w:p w14:paraId="3AB81BB8"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12.67</w:t>
            </w:r>
          </w:p>
        </w:tc>
        <w:tc>
          <w:tcPr>
            <w:tcW w:w="851" w:type="dxa"/>
            <w:tcBorders>
              <w:bottom w:val="single" w:sz="4" w:space="0" w:color="auto"/>
              <w:right w:val="single" w:sz="4" w:space="0" w:color="auto"/>
            </w:tcBorders>
            <w:noWrap/>
            <w:hideMark/>
          </w:tcPr>
          <w:p w14:paraId="440C4340"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r>
      <w:tr w:rsidR="00436537" w:rsidRPr="00616F4F" w14:paraId="1F711899" w14:textId="77777777" w:rsidTr="00436537">
        <w:trPr>
          <w:trHeight w:val="3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right w:val="single" w:sz="4" w:space="0" w:color="auto"/>
            </w:tcBorders>
            <w:noWrap/>
          </w:tcPr>
          <w:p w14:paraId="3FD8633C" w14:textId="77777777" w:rsidR="00804D98" w:rsidRPr="00616F4F" w:rsidRDefault="00804D98" w:rsidP="00804D98">
            <w:pPr>
              <w:spacing w:after="0" w:line="240" w:lineRule="auto"/>
              <w:rPr>
                <w:rFonts w:eastAsia="Times New Roman" w:cs="Arial"/>
                <w:color w:val="000000"/>
                <w:sz w:val="18"/>
                <w:szCs w:val="18"/>
              </w:rPr>
            </w:pPr>
            <w:r w:rsidRPr="00616F4F">
              <w:rPr>
                <w:rFonts w:eastAsia="Times New Roman" w:cs="Arial"/>
                <w:color w:val="000000"/>
                <w:sz w:val="18"/>
                <w:szCs w:val="18"/>
              </w:rPr>
              <w:t>Covariates</w:t>
            </w:r>
          </w:p>
        </w:tc>
        <w:tc>
          <w:tcPr>
            <w:tcW w:w="1134" w:type="dxa"/>
            <w:tcBorders>
              <w:top w:val="single" w:sz="4" w:space="0" w:color="auto"/>
              <w:left w:val="single" w:sz="4" w:space="0" w:color="auto"/>
            </w:tcBorders>
            <w:noWrap/>
          </w:tcPr>
          <w:p w14:paraId="6B63C27F"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top w:val="single" w:sz="4" w:space="0" w:color="auto"/>
              <w:right w:val="single" w:sz="4" w:space="0" w:color="auto"/>
            </w:tcBorders>
            <w:noWrap/>
          </w:tcPr>
          <w:p w14:paraId="6D2969D6"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top w:val="single" w:sz="4" w:space="0" w:color="auto"/>
              <w:left w:val="single" w:sz="4" w:space="0" w:color="auto"/>
            </w:tcBorders>
            <w:noWrap/>
          </w:tcPr>
          <w:p w14:paraId="68CE1F91"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6" w:type="dxa"/>
            <w:tcBorders>
              <w:top w:val="single" w:sz="4" w:space="0" w:color="auto"/>
            </w:tcBorders>
            <w:noWrap/>
          </w:tcPr>
          <w:p w14:paraId="469DDC03"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851" w:type="dxa"/>
            <w:tcBorders>
              <w:top w:val="single" w:sz="4" w:space="0" w:color="auto"/>
              <w:right w:val="single" w:sz="4" w:space="0" w:color="auto"/>
            </w:tcBorders>
            <w:noWrap/>
          </w:tcPr>
          <w:p w14:paraId="310E2CDE"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US"/>
              </w:rPr>
            </w:pPr>
          </w:p>
        </w:tc>
        <w:tc>
          <w:tcPr>
            <w:tcW w:w="1134" w:type="dxa"/>
            <w:tcBorders>
              <w:top w:val="single" w:sz="4" w:space="0" w:color="auto"/>
              <w:left w:val="single" w:sz="4" w:space="0" w:color="auto"/>
            </w:tcBorders>
            <w:noWrap/>
          </w:tcPr>
          <w:p w14:paraId="07DC08F5"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top w:val="single" w:sz="4" w:space="0" w:color="auto"/>
            </w:tcBorders>
            <w:noWrap/>
          </w:tcPr>
          <w:p w14:paraId="1F505D59"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851" w:type="dxa"/>
            <w:tcBorders>
              <w:top w:val="single" w:sz="4" w:space="0" w:color="auto"/>
              <w:right w:val="single" w:sz="4" w:space="0" w:color="auto"/>
            </w:tcBorders>
            <w:noWrap/>
          </w:tcPr>
          <w:p w14:paraId="6919D79A"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r>
      <w:tr w:rsidR="00436537" w:rsidRPr="00616F4F" w14:paraId="43010C93" w14:textId="77777777" w:rsidTr="004365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50C95D67" w14:textId="77777777" w:rsidR="00804D98" w:rsidRPr="00616F4F" w:rsidRDefault="00804D98" w:rsidP="00804D98">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Age</w:t>
            </w:r>
          </w:p>
        </w:tc>
        <w:tc>
          <w:tcPr>
            <w:tcW w:w="1134" w:type="dxa"/>
            <w:tcBorders>
              <w:left w:val="single" w:sz="4" w:space="0" w:color="auto"/>
            </w:tcBorders>
            <w:noWrap/>
            <w:hideMark/>
          </w:tcPr>
          <w:p w14:paraId="58111E9E"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71.18</w:t>
            </w:r>
          </w:p>
        </w:tc>
        <w:tc>
          <w:tcPr>
            <w:tcW w:w="1275" w:type="dxa"/>
            <w:tcBorders>
              <w:right w:val="single" w:sz="4" w:space="0" w:color="auto"/>
            </w:tcBorders>
            <w:noWrap/>
            <w:hideMark/>
          </w:tcPr>
          <w:p w14:paraId="23D08A50"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16.49</w:t>
            </w:r>
          </w:p>
        </w:tc>
        <w:tc>
          <w:tcPr>
            <w:tcW w:w="1134" w:type="dxa"/>
            <w:tcBorders>
              <w:left w:val="single" w:sz="4" w:space="0" w:color="auto"/>
            </w:tcBorders>
            <w:noWrap/>
            <w:hideMark/>
          </w:tcPr>
          <w:p w14:paraId="1256DCA8"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49.22</w:t>
            </w:r>
          </w:p>
        </w:tc>
        <w:tc>
          <w:tcPr>
            <w:tcW w:w="1276" w:type="dxa"/>
            <w:noWrap/>
            <w:hideMark/>
          </w:tcPr>
          <w:p w14:paraId="295BD859"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19.93</w:t>
            </w:r>
          </w:p>
        </w:tc>
        <w:tc>
          <w:tcPr>
            <w:tcW w:w="851" w:type="dxa"/>
            <w:tcBorders>
              <w:right w:val="single" w:sz="4" w:space="0" w:color="auto"/>
            </w:tcBorders>
            <w:noWrap/>
            <w:hideMark/>
          </w:tcPr>
          <w:p w14:paraId="43879477"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lang w:val="en-US"/>
              </w:rPr>
              <w:t>117.3</w:t>
            </w:r>
          </w:p>
        </w:tc>
        <w:tc>
          <w:tcPr>
            <w:tcW w:w="1134" w:type="dxa"/>
            <w:tcBorders>
              <w:left w:val="single" w:sz="4" w:space="0" w:color="auto"/>
            </w:tcBorders>
            <w:noWrap/>
            <w:hideMark/>
          </w:tcPr>
          <w:p w14:paraId="435773AB"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70.76</w:t>
            </w:r>
          </w:p>
        </w:tc>
        <w:tc>
          <w:tcPr>
            <w:tcW w:w="1275" w:type="dxa"/>
            <w:noWrap/>
            <w:hideMark/>
          </w:tcPr>
          <w:p w14:paraId="0CFD4A2E"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13.86</w:t>
            </w:r>
          </w:p>
        </w:tc>
        <w:tc>
          <w:tcPr>
            <w:tcW w:w="851" w:type="dxa"/>
            <w:tcBorders>
              <w:right w:val="single" w:sz="4" w:space="0" w:color="auto"/>
            </w:tcBorders>
            <w:noWrap/>
            <w:hideMark/>
          </w:tcPr>
          <w:p w14:paraId="6C137F21"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-4.8</w:t>
            </w:r>
          </w:p>
        </w:tc>
      </w:tr>
      <w:tr w:rsidR="00436537" w:rsidRPr="00616F4F" w14:paraId="18BF3FD2" w14:textId="77777777" w:rsidTr="00436537">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1A4C3959" w14:textId="77777777" w:rsidR="00804D98" w:rsidRPr="00616F4F" w:rsidRDefault="00804D98" w:rsidP="00804D98">
            <w:pPr>
              <w:spacing w:after="0" w:line="240" w:lineRule="auto"/>
              <w:rPr>
                <w:rFonts w:eastAsia="Times New Roman" w:cs="Arial"/>
                <w:b w:val="0"/>
                <w:color w:val="000000"/>
                <w:sz w:val="18"/>
                <w:szCs w:val="18"/>
              </w:rPr>
            </w:pPr>
            <w:r w:rsidRPr="00616F4F">
              <w:rPr>
                <w:rFonts w:eastAsia="Times New Roman" w:cs="Arial"/>
                <w:b w:val="0"/>
                <w:color w:val="000000"/>
                <w:sz w:val="18"/>
                <w:szCs w:val="18"/>
              </w:rPr>
              <w:t>Sex of patient, 0: male 1: female</w:t>
            </w:r>
          </w:p>
        </w:tc>
        <w:tc>
          <w:tcPr>
            <w:tcW w:w="1134" w:type="dxa"/>
            <w:tcBorders>
              <w:left w:val="single" w:sz="4" w:space="0" w:color="auto"/>
            </w:tcBorders>
            <w:noWrap/>
            <w:hideMark/>
          </w:tcPr>
          <w:p w14:paraId="7940CBEB"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0.45</w:t>
            </w:r>
          </w:p>
        </w:tc>
        <w:tc>
          <w:tcPr>
            <w:tcW w:w="1275" w:type="dxa"/>
            <w:tcBorders>
              <w:right w:val="single" w:sz="4" w:space="0" w:color="auto"/>
            </w:tcBorders>
            <w:noWrap/>
            <w:hideMark/>
          </w:tcPr>
          <w:p w14:paraId="45DBE63D"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1134" w:type="dxa"/>
            <w:tcBorders>
              <w:left w:val="single" w:sz="4" w:space="0" w:color="auto"/>
            </w:tcBorders>
            <w:noWrap/>
            <w:hideMark/>
          </w:tcPr>
          <w:p w14:paraId="201C9358"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0.66</w:t>
            </w:r>
          </w:p>
        </w:tc>
        <w:tc>
          <w:tcPr>
            <w:tcW w:w="1276" w:type="dxa"/>
            <w:noWrap/>
            <w:hideMark/>
          </w:tcPr>
          <w:p w14:paraId="034D6100"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0.47</w:t>
            </w:r>
          </w:p>
        </w:tc>
        <w:tc>
          <w:tcPr>
            <w:tcW w:w="851" w:type="dxa"/>
            <w:tcBorders>
              <w:right w:val="single" w:sz="4" w:space="0" w:color="auto"/>
            </w:tcBorders>
            <w:noWrap/>
            <w:hideMark/>
          </w:tcPr>
          <w:p w14:paraId="4A8F0229"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lang w:val="en-US"/>
              </w:rPr>
              <w:t>-42.9</w:t>
            </w:r>
          </w:p>
        </w:tc>
        <w:tc>
          <w:tcPr>
            <w:tcW w:w="1134" w:type="dxa"/>
            <w:tcBorders>
              <w:left w:val="single" w:sz="4" w:space="0" w:color="auto"/>
            </w:tcBorders>
            <w:noWrap/>
            <w:hideMark/>
          </w:tcPr>
          <w:p w14:paraId="6B52AB79"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0.44</w:t>
            </w:r>
          </w:p>
        </w:tc>
        <w:tc>
          <w:tcPr>
            <w:tcW w:w="1275" w:type="dxa"/>
            <w:noWrap/>
            <w:hideMark/>
          </w:tcPr>
          <w:p w14:paraId="5D8923DC"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right w:val="single" w:sz="4" w:space="0" w:color="auto"/>
            </w:tcBorders>
            <w:noWrap/>
            <w:hideMark/>
          </w:tcPr>
          <w:p w14:paraId="7131A621"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w:t>
            </w:r>
          </w:p>
        </w:tc>
      </w:tr>
      <w:tr w:rsidR="00436537" w:rsidRPr="00616F4F" w14:paraId="4AF157B3" w14:textId="77777777" w:rsidTr="004365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7C000A44" w14:textId="77777777" w:rsidR="00804D98" w:rsidRPr="00616F4F" w:rsidRDefault="00804D98" w:rsidP="00804D98">
            <w:pPr>
              <w:spacing w:after="0" w:line="240" w:lineRule="auto"/>
              <w:rPr>
                <w:rFonts w:eastAsia="Times New Roman" w:cs="Arial"/>
                <w:b w:val="0"/>
                <w:color w:val="000000"/>
                <w:sz w:val="18"/>
                <w:szCs w:val="18"/>
              </w:rPr>
            </w:pPr>
            <w:r w:rsidRPr="00616F4F">
              <w:rPr>
                <w:rFonts w:eastAsia="Times New Roman" w:cs="Arial"/>
                <w:b w:val="0"/>
                <w:color w:val="000000"/>
                <w:sz w:val="18"/>
                <w:szCs w:val="18"/>
              </w:rPr>
              <w:t xml:space="preserve">Weighted </w:t>
            </w:r>
            <w:proofErr w:type="spellStart"/>
            <w:r w:rsidRPr="00616F4F">
              <w:rPr>
                <w:rFonts w:eastAsia="Times New Roman" w:cs="Arial"/>
                <w:b w:val="0"/>
                <w:color w:val="000000"/>
                <w:sz w:val="18"/>
                <w:szCs w:val="18"/>
              </w:rPr>
              <w:t>Charlson</w:t>
            </w:r>
            <w:proofErr w:type="spellEnd"/>
            <w:r w:rsidRPr="00616F4F">
              <w:rPr>
                <w:rFonts w:eastAsia="Times New Roman" w:cs="Arial"/>
                <w:b w:val="0"/>
                <w:color w:val="000000"/>
                <w:sz w:val="18"/>
                <w:szCs w:val="18"/>
              </w:rPr>
              <w:t xml:space="preserve"> Index</w:t>
            </w:r>
          </w:p>
        </w:tc>
        <w:tc>
          <w:tcPr>
            <w:tcW w:w="1134" w:type="dxa"/>
            <w:tcBorders>
              <w:left w:val="single" w:sz="4" w:space="0" w:color="auto"/>
            </w:tcBorders>
            <w:noWrap/>
            <w:hideMark/>
          </w:tcPr>
          <w:p w14:paraId="2896CEA3"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1.98</w:t>
            </w:r>
          </w:p>
        </w:tc>
        <w:tc>
          <w:tcPr>
            <w:tcW w:w="1275" w:type="dxa"/>
            <w:tcBorders>
              <w:right w:val="single" w:sz="4" w:space="0" w:color="auto"/>
            </w:tcBorders>
            <w:noWrap/>
            <w:hideMark/>
          </w:tcPr>
          <w:p w14:paraId="3C82077A"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1.99</w:t>
            </w:r>
          </w:p>
        </w:tc>
        <w:tc>
          <w:tcPr>
            <w:tcW w:w="1134" w:type="dxa"/>
            <w:tcBorders>
              <w:left w:val="single" w:sz="4" w:space="0" w:color="auto"/>
            </w:tcBorders>
            <w:noWrap/>
            <w:hideMark/>
          </w:tcPr>
          <w:p w14:paraId="63659900"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0.25</w:t>
            </w:r>
          </w:p>
        </w:tc>
        <w:tc>
          <w:tcPr>
            <w:tcW w:w="1276" w:type="dxa"/>
            <w:noWrap/>
            <w:hideMark/>
          </w:tcPr>
          <w:p w14:paraId="4BAB925B"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0.7</w:t>
            </w:r>
          </w:p>
        </w:tc>
        <w:tc>
          <w:tcPr>
            <w:tcW w:w="851" w:type="dxa"/>
            <w:tcBorders>
              <w:right w:val="single" w:sz="4" w:space="0" w:color="auto"/>
            </w:tcBorders>
            <w:noWrap/>
            <w:hideMark/>
          </w:tcPr>
          <w:p w14:paraId="101A827B"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lang w:val="en-US"/>
              </w:rPr>
              <w:t>119.7</w:t>
            </w:r>
          </w:p>
        </w:tc>
        <w:tc>
          <w:tcPr>
            <w:tcW w:w="1134" w:type="dxa"/>
            <w:tcBorders>
              <w:left w:val="single" w:sz="4" w:space="0" w:color="auto"/>
            </w:tcBorders>
            <w:noWrap/>
            <w:hideMark/>
          </w:tcPr>
          <w:p w14:paraId="640C5EDB"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1.88</w:t>
            </w:r>
          </w:p>
        </w:tc>
        <w:tc>
          <w:tcPr>
            <w:tcW w:w="1275" w:type="dxa"/>
            <w:noWrap/>
            <w:hideMark/>
          </w:tcPr>
          <w:p w14:paraId="499FDDE9"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2.05</w:t>
            </w:r>
          </w:p>
        </w:tc>
        <w:tc>
          <w:tcPr>
            <w:tcW w:w="851" w:type="dxa"/>
            <w:tcBorders>
              <w:right w:val="single" w:sz="4" w:space="0" w:color="auto"/>
            </w:tcBorders>
            <w:noWrap/>
            <w:hideMark/>
          </w:tcPr>
          <w:p w14:paraId="15111222"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4.7</w:t>
            </w:r>
          </w:p>
        </w:tc>
      </w:tr>
      <w:tr w:rsidR="00436537" w:rsidRPr="00616F4F" w14:paraId="03FB6BF2" w14:textId="77777777" w:rsidTr="00436537">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27BE5475" w14:textId="77777777" w:rsidR="00804D98" w:rsidRPr="00616F4F" w:rsidRDefault="00804D98" w:rsidP="00804D98">
            <w:pPr>
              <w:spacing w:after="0" w:line="240" w:lineRule="auto"/>
              <w:rPr>
                <w:rFonts w:eastAsia="Times New Roman" w:cs="Arial"/>
                <w:b w:val="0"/>
                <w:color w:val="000000"/>
                <w:sz w:val="18"/>
                <w:szCs w:val="18"/>
              </w:rPr>
            </w:pPr>
            <w:r w:rsidRPr="00616F4F">
              <w:rPr>
                <w:rFonts w:eastAsia="Times New Roman" w:cs="Arial"/>
                <w:b w:val="0"/>
                <w:color w:val="000000"/>
                <w:sz w:val="18"/>
                <w:szCs w:val="18"/>
              </w:rPr>
              <w:t>Index of multiple deprivation</w:t>
            </w:r>
          </w:p>
        </w:tc>
        <w:tc>
          <w:tcPr>
            <w:tcW w:w="1134" w:type="dxa"/>
            <w:tcBorders>
              <w:left w:val="single" w:sz="4" w:space="0" w:color="auto"/>
            </w:tcBorders>
            <w:noWrap/>
            <w:hideMark/>
          </w:tcPr>
          <w:p w14:paraId="4BBACB98"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23.15</w:t>
            </w:r>
          </w:p>
        </w:tc>
        <w:tc>
          <w:tcPr>
            <w:tcW w:w="1275" w:type="dxa"/>
            <w:tcBorders>
              <w:right w:val="single" w:sz="4" w:space="0" w:color="auto"/>
            </w:tcBorders>
            <w:noWrap/>
            <w:hideMark/>
          </w:tcPr>
          <w:p w14:paraId="58215DCF"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16.23</w:t>
            </w:r>
          </w:p>
        </w:tc>
        <w:tc>
          <w:tcPr>
            <w:tcW w:w="1134" w:type="dxa"/>
            <w:tcBorders>
              <w:left w:val="single" w:sz="4" w:space="0" w:color="auto"/>
            </w:tcBorders>
            <w:noWrap/>
            <w:hideMark/>
          </w:tcPr>
          <w:p w14:paraId="1318B501"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23.13</w:t>
            </w:r>
          </w:p>
        </w:tc>
        <w:tc>
          <w:tcPr>
            <w:tcW w:w="1276" w:type="dxa"/>
            <w:noWrap/>
            <w:hideMark/>
          </w:tcPr>
          <w:p w14:paraId="35E4A2EF"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16.18</w:t>
            </w:r>
          </w:p>
        </w:tc>
        <w:tc>
          <w:tcPr>
            <w:tcW w:w="851" w:type="dxa"/>
            <w:tcBorders>
              <w:right w:val="single" w:sz="4" w:space="0" w:color="auto"/>
            </w:tcBorders>
            <w:noWrap/>
            <w:hideMark/>
          </w:tcPr>
          <w:p w14:paraId="1F4B6DD0"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lang w:val="en-US"/>
              </w:rPr>
              <w:t>0.6</w:t>
            </w:r>
          </w:p>
        </w:tc>
        <w:tc>
          <w:tcPr>
            <w:tcW w:w="1134" w:type="dxa"/>
            <w:tcBorders>
              <w:left w:val="single" w:sz="4" w:space="0" w:color="auto"/>
            </w:tcBorders>
            <w:noWrap/>
            <w:hideMark/>
          </w:tcPr>
          <w:p w14:paraId="2BC086E0"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23.01</w:t>
            </w:r>
          </w:p>
        </w:tc>
        <w:tc>
          <w:tcPr>
            <w:tcW w:w="1275" w:type="dxa"/>
            <w:noWrap/>
            <w:hideMark/>
          </w:tcPr>
          <w:p w14:paraId="14030FB3"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16.31</w:t>
            </w:r>
          </w:p>
        </w:tc>
        <w:tc>
          <w:tcPr>
            <w:tcW w:w="851" w:type="dxa"/>
            <w:tcBorders>
              <w:right w:val="single" w:sz="4" w:space="0" w:color="auto"/>
            </w:tcBorders>
            <w:noWrap/>
            <w:hideMark/>
          </w:tcPr>
          <w:p w14:paraId="547E1513"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w:t>
            </w:r>
          </w:p>
        </w:tc>
      </w:tr>
      <w:tr w:rsidR="00436537" w:rsidRPr="00616F4F" w14:paraId="60E04CC7" w14:textId="77777777" w:rsidTr="004365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5F68E7EC" w14:textId="77777777" w:rsidR="00804D98" w:rsidRPr="00616F4F" w:rsidRDefault="00804D98" w:rsidP="00804D98">
            <w:pPr>
              <w:spacing w:after="0" w:line="240" w:lineRule="auto"/>
              <w:rPr>
                <w:rFonts w:eastAsia="Times New Roman" w:cs="Arial"/>
                <w:b w:val="0"/>
                <w:color w:val="000000"/>
                <w:sz w:val="18"/>
                <w:szCs w:val="18"/>
              </w:rPr>
            </w:pPr>
            <w:r w:rsidRPr="00616F4F">
              <w:rPr>
                <w:rFonts w:eastAsia="Times New Roman" w:cs="Arial"/>
                <w:b w:val="0"/>
                <w:color w:val="000000"/>
                <w:sz w:val="18"/>
                <w:szCs w:val="18"/>
              </w:rPr>
              <w:t>Number of diagnoses in patient record (excl. PSI codes)</w:t>
            </w:r>
          </w:p>
        </w:tc>
        <w:tc>
          <w:tcPr>
            <w:tcW w:w="1134" w:type="dxa"/>
            <w:tcBorders>
              <w:left w:val="single" w:sz="4" w:space="0" w:color="auto"/>
            </w:tcBorders>
            <w:noWrap/>
            <w:hideMark/>
          </w:tcPr>
          <w:p w14:paraId="56962DBD"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6.47</w:t>
            </w:r>
          </w:p>
        </w:tc>
        <w:tc>
          <w:tcPr>
            <w:tcW w:w="1275" w:type="dxa"/>
            <w:tcBorders>
              <w:right w:val="single" w:sz="4" w:space="0" w:color="auto"/>
            </w:tcBorders>
            <w:noWrap/>
            <w:hideMark/>
          </w:tcPr>
          <w:p w14:paraId="5A657FCE"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3.13</w:t>
            </w:r>
          </w:p>
        </w:tc>
        <w:tc>
          <w:tcPr>
            <w:tcW w:w="1134" w:type="dxa"/>
            <w:tcBorders>
              <w:left w:val="single" w:sz="4" w:space="0" w:color="auto"/>
            </w:tcBorders>
            <w:noWrap/>
            <w:hideMark/>
          </w:tcPr>
          <w:p w14:paraId="02E4DB01"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2.39</w:t>
            </w:r>
          </w:p>
        </w:tc>
        <w:tc>
          <w:tcPr>
            <w:tcW w:w="1276" w:type="dxa"/>
            <w:noWrap/>
            <w:hideMark/>
          </w:tcPr>
          <w:p w14:paraId="20B26EB0"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1.64</w:t>
            </w:r>
          </w:p>
        </w:tc>
        <w:tc>
          <w:tcPr>
            <w:tcW w:w="851" w:type="dxa"/>
            <w:tcBorders>
              <w:right w:val="single" w:sz="4" w:space="0" w:color="auto"/>
            </w:tcBorders>
            <w:noWrap/>
            <w:hideMark/>
          </w:tcPr>
          <w:p w14:paraId="784D07B0"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lang w:val="en-US"/>
              </w:rPr>
              <w:t>164.7</w:t>
            </w:r>
          </w:p>
        </w:tc>
        <w:tc>
          <w:tcPr>
            <w:tcW w:w="1134" w:type="dxa"/>
            <w:tcBorders>
              <w:left w:val="single" w:sz="4" w:space="0" w:color="auto"/>
            </w:tcBorders>
            <w:noWrap/>
            <w:hideMark/>
          </w:tcPr>
          <w:p w14:paraId="3E2CF328"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6.29</w:t>
            </w:r>
          </w:p>
        </w:tc>
        <w:tc>
          <w:tcPr>
            <w:tcW w:w="1275" w:type="dxa"/>
            <w:noWrap/>
            <w:hideMark/>
          </w:tcPr>
          <w:p w14:paraId="5D79280F"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3.15</w:t>
            </w:r>
          </w:p>
        </w:tc>
        <w:tc>
          <w:tcPr>
            <w:tcW w:w="851" w:type="dxa"/>
            <w:tcBorders>
              <w:right w:val="single" w:sz="4" w:space="0" w:color="auto"/>
            </w:tcBorders>
            <w:noWrap/>
            <w:hideMark/>
          </w:tcPr>
          <w:p w14:paraId="0C02C22F"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w:t>
            </w:r>
          </w:p>
        </w:tc>
      </w:tr>
      <w:tr w:rsidR="00436537" w:rsidRPr="00616F4F" w14:paraId="25283354" w14:textId="77777777" w:rsidTr="00436537">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17EE67FB" w14:textId="77777777" w:rsidR="00804D98" w:rsidRPr="00616F4F" w:rsidRDefault="00804D98" w:rsidP="00804D98">
            <w:pPr>
              <w:spacing w:after="0" w:line="240" w:lineRule="auto"/>
              <w:rPr>
                <w:rFonts w:eastAsia="Times New Roman" w:cs="Arial"/>
                <w:b w:val="0"/>
                <w:color w:val="000000"/>
                <w:sz w:val="18"/>
                <w:szCs w:val="18"/>
              </w:rPr>
            </w:pPr>
            <w:r w:rsidRPr="00616F4F">
              <w:rPr>
                <w:rFonts w:eastAsia="Times New Roman" w:cs="Arial"/>
                <w:b w:val="0"/>
                <w:color w:val="000000"/>
                <w:sz w:val="18"/>
                <w:szCs w:val="18"/>
              </w:rPr>
              <w:t>Medical and dental staff WTE</w:t>
            </w:r>
          </w:p>
        </w:tc>
        <w:tc>
          <w:tcPr>
            <w:tcW w:w="1134" w:type="dxa"/>
            <w:tcBorders>
              <w:left w:val="single" w:sz="4" w:space="0" w:color="auto"/>
            </w:tcBorders>
            <w:noWrap/>
            <w:hideMark/>
          </w:tcPr>
          <w:p w14:paraId="3017BB10"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655.26</w:t>
            </w:r>
          </w:p>
        </w:tc>
        <w:tc>
          <w:tcPr>
            <w:tcW w:w="1275" w:type="dxa"/>
            <w:tcBorders>
              <w:right w:val="single" w:sz="4" w:space="0" w:color="auto"/>
            </w:tcBorders>
            <w:noWrap/>
            <w:hideMark/>
          </w:tcPr>
          <w:p w14:paraId="1970151B"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396.01</w:t>
            </w:r>
          </w:p>
        </w:tc>
        <w:tc>
          <w:tcPr>
            <w:tcW w:w="1134" w:type="dxa"/>
            <w:tcBorders>
              <w:left w:val="single" w:sz="4" w:space="0" w:color="auto"/>
            </w:tcBorders>
            <w:noWrap/>
            <w:hideMark/>
          </w:tcPr>
          <w:p w14:paraId="7BE65A70"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639.05</w:t>
            </w:r>
          </w:p>
        </w:tc>
        <w:tc>
          <w:tcPr>
            <w:tcW w:w="1276" w:type="dxa"/>
            <w:noWrap/>
            <w:hideMark/>
          </w:tcPr>
          <w:p w14:paraId="4F286C47"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373</w:t>
            </w:r>
          </w:p>
        </w:tc>
        <w:tc>
          <w:tcPr>
            <w:tcW w:w="851" w:type="dxa"/>
            <w:tcBorders>
              <w:right w:val="single" w:sz="4" w:space="0" w:color="auto"/>
            </w:tcBorders>
            <w:noWrap/>
            <w:hideMark/>
          </w:tcPr>
          <w:p w14:paraId="5CCEC7B8"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lang w:val="en-US"/>
              </w:rPr>
              <w:t>-4.3</w:t>
            </w:r>
          </w:p>
        </w:tc>
        <w:tc>
          <w:tcPr>
            <w:tcW w:w="1134" w:type="dxa"/>
            <w:tcBorders>
              <w:left w:val="single" w:sz="4" w:space="0" w:color="auto"/>
            </w:tcBorders>
            <w:noWrap/>
            <w:hideMark/>
          </w:tcPr>
          <w:p w14:paraId="03D0B537"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631.28</w:t>
            </w:r>
          </w:p>
        </w:tc>
        <w:tc>
          <w:tcPr>
            <w:tcW w:w="1275" w:type="dxa"/>
            <w:noWrap/>
            <w:hideMark/>
          </w:tcPr>
          <w:p w14:paraId="78C4AA83"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370.85</w:t>
            </w:r>
          </w:p>
        </w:tc>
        <w:tc>
          <w:tcPr>
            <w:tcW w:w="851" w:type="dxa"/>
            <w:tcBorders>
              <w:right w:val="single" w:sz="4" w:space="0" w:color="auto"/>
            </w:tcBorders>
            <w:noWrap/>
            <w:hideMark/>
          </w:tcPr>
          <w:p w14:paraId="2BCE51E3"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w:t>
            </w:r>
          </w:p>
        </w:tc>
      </w:tr>
      <w:tr w:rsidR="00436537" w:rsidRPr="00616F4F" w14:paraId="51C5F603" w14:textId="77777777" w:rsidTr="004365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1245EA65" w14:textId="77777777" w:rsidR="00804D98" w:rsidRPr="00616F4F" w:rsidRDefault="00804D98" w:rsidP="00804D98">
            <w:pPr>
              <w:spacing w:after="0" w:line="240" w:lineRule="auto"/>
              <w:rPr>
                <w:rFonts w:eastAsia="Times New Roman" w:cs="Arial"/>
                <w:b w:val="0"/>
                <w:color w:val="000000"/>
                <w:sz w:val="18"/>
                <w:szCs w:val="18"/>
              </w:rPr>
            </w:pPr>
            <w:r w:rsidRPr="00616F4F">
              <w:rPr>
                <w:rFonts w:eastAsia="Times New Roman" w:cs="Arial"/>
                <w:b w:val="0"/>
                <w:color w:val="000000"/>
                <w:sz w:val="18"/>
                <w:szCs w:val="18"/>
              </w:rPr>
              <w:t>Nursing, midwifery and health visiting staff WTE</w:t>
            </w:r>
          </w:p>
        </w:tc>
        <w:tc>
          <w:tcPr>
            <w:tcW w:w="1134" w:type="dxa"/>
            <w:tcBorders>
              <w:left w:val="single" w:sz="4" w:space="0" w:color="auto"/>
            </w:tcBorders>
            <w:noWrap/>
            <w:hideMark/>
          </w:tcPr>
          <w:p w14:paraId="1F3DE61B"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1643.78</w:t>
            </w:r>
          </w:p>
        </w:tc>
        <w:tc>
          <w:tcPr>
            <w:tcW w:w="1275" w:type="dxa"/>
            <w:tcBorders>
              <w:right w:val="single" w:sz="4" w:space="0" w:color="auto"/>
            </w:tcBorders>
            <w:noWrap/>
            <w:hideMark/>
          </w:tcPr>
          <w:p w14:paraId="24B1633E"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849.02</w:t>
            </w:r>
          </w:p>
        </w:tc>
        <w:tc>
          <w:tcPr>
            <w:tcW w:w="1134" w:type="dxa"/>
            <w:tcBorders>
              <w:left w:val="single" w:sz="4" w:space="0" w:color="auto"/>
            </w:tcBorders>
            <w:noWrap/>
            <w:hideMark/>
          </w:tcPr>
          <w:p w14:paraId="4438F54D"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1593.05</w:t>
            </w:r>
          </w:p>
        </w:tc>
        <w:tc>
          <w:tcPr>
            <w:tcW w:w="1276" w:type="dxa"/>
            <w:noWrap/>
            <w:hideMark/>
          </w:tcPr>
          <w:p w14:paraId="58275227"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816.75</w:t>
            </w:r>
          </w:p>
        </w:tc>
        <w:tc>
          <w:tcPr>
            <w:tcW w:w="851" w:type="dxa"/>
            <w:tcBorders>
              <w:right w:val="single" w:sz="4" w:space="0" w:color="auto"/>
            </w:tcBorders>
            <w:noWrap/>
            <w:hideMark/>
          </w:tcPr>
          <w:p w14:paraId="7787916F"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lang w:val="en-US"/>
              </w:rPr>
              <w:t>4.3</w:t>
            </w:r>
          </w:p>
        </w:tc>
        <w:tc>
          <w:tcPr>
            <w:tcW w:w="1134" w:type="dxa"/>
            <w:tcBorders>
              <w:left w:val="single" w:sz="4" w:space="0" w:color="auto"/>
            </w:tcBorders>
            <w:noWrap/>
            <w:hideMark/>
          </w:tcPr>
          <w:p w14:paraId="26E3456A"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1603.93</w:t>
            </w:r>
          </w:p>
        </w:tc>
        <w:tc>
          <w:tcPr>
            <w:tcW w:w="1275" w:type="dxa"/>
            <w:noWrap/>
            <w:hideMark/>
          </w:tcPr>
          <w:p w14:paraId="77EAB12C"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801.41</w:t>
            </w:r>
          </w:p>
        </w:tc>
        <w:tc>
          <w:tcPr>
            <w:tcW w:w="851" w:type="dxa"/>
            <w:tcBorders>
              <w:right w:val="single" w:sz="4" w:space="0" w:color="auto"/>
            </w:tcBorders>
            <w:noWrap/>
            <w:hideMark/>
          </w:tcPr>
          <w:p w14:paraId="019BD1A2"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w:t>
            </w:r>
          </w:p>
        </w:tc>
      </w:tr>
      <w:tr w:rsidR="00436537" w:rsidRPr="00616F4F" w14:paraId="40BD1BCD" w14:textId="77777777" w:rsidTr="00436537">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327BB9D8" w14:textId="77777777" w:rsidR="00804D98" w:rsidRPr="00616F4F" w:rsidRDefault="00804D98" w:rsidP="00804D98">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Average number of available beds</w:t>
            </w:r>
          </w:p>
        </w:tc>
        <w:tc>
          <w:tcPr>
            <w:tcW w:w="1134" w:type="dxa"/>
            <w:tcBorders>
              <w:left w:val="single" w:sz="4" w:space="0" w:color="auto"/>
            </w:tcBorders>
            <w:noWrap/>
            <w:hideMark/>
          </w:tcPr>
          <w:p w14:paraId="4F954FDC"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860.13</w:t>
            </w:r>
          </w:p>
        </w:tc>
        <w:tc>
          <w:tcPr>
            <w:tcW w:w="1275" w:type="dxa"/>
            <w:tcBorders>
              <w:right w:val="single" w:sz="4" w:space="0" w:color="auto"/>
            </w:tcBorders>
            <w:noWrap/>
            <w:hideMark/>
          </w:tcPr>
          <w:p w14:paraId="2E259433"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428</w:t>
            </w:r>
          </w:p>
        </w:tc>
        <w:tc>
          <w:tcPr>
            <w:tcW w:w="1134" w:type="dxa"/>
            <w:tcBorders>
              <w:left w:val="single" w:sz="4" w:space="0" w:color="auto"/>
            </w:tcBorders>
            <w:noWrap/>
            <w:hideMark/>
          </w:tcPr>
          <w:p w14:paraId="72B323DE"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848.05</w:t>
            </w:r>
          </w:p>
        </w:tc>
        <w:tc>
          <w:tcPr>
            <w:tcW w:w="1276" w:type="dxa"/>
            <w:noWrap/>
            <w:hideMark/>
          </w:tcPr>
          <w:p w14:paraId="5D73F674"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412.69</w:t>
            </w:r>
          </w:p>
        </w:tc>
        <w:tc>
          <w:tcPr>
            <w:tcW w:w="851" w:type="dxa"/>
            <w:tcBorders>
              <w:right w:val="single" w:sz="4" w:space="0" w:color="auto"/>
            </w:tcBorders>
            <w:noWrap/>
            <w:hideMark/>
          </w:tcPr>
          <w:p w14:paraId="44C2B541"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lang w:val="en-US"/>
              </w:rPr>
              <w:t>1.3</w:t>
            </w:r>
          </w:p>
        </w:tc>
        <w:tc>
          <w:tcPr>
            <w:tcW w:w="1134" w:type="dxa"/>
            <w:tcBorders>
              <w:left w:val="single" w:sz="4" w:space="0" w:color="auto"/>
            </w:tcBorders>
            <w:noWrap/>
            <w:hideMark/>
          </w:tcPr>
          <w:p w14:paraId="7CB054C7"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845.94</w:t>
            </w:r>
          </w:p>
        </w:tc>
        <w:tc>
          <w:tcPr>
            <w:tcW w:w="1275" w:type="dxa"/>
            <w:noWrap/>
            <w:hideMark/>
          </w:tcPr>
          <w:p w14:paraId="13B15227"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417.07</w:t>
            </w:r>
          </w:p>
        </w:tc>
        <w:tc>
          <w:tcPr>
            <w:tcW w:w="851" w:type="dxa"/>
            <w:tcBorders>
              <w:right w:val="single" w:sz="4" w:space="0" w:color="auto"/>
            </w:tcBorders>
            <w:noWrap/>
            <w:hideMark/>
          </w:tcPr>
          <w:p w14:paraId="14A95F63"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w:t>
            </w:r>
          </w:p>
        </w:tc>
      </w:tr>
      <w:tr w:rsidR="00436537" w:rsidRPr="00616F4F" w14:paraId="6B32EE71" w14:textId="77777777" w:rsidTr="004365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31E06236" w14:textId="77777777" w:rsidR="00804D98" w:rsidRPr="00616F4F" w:rsidRDefault="00804D98" w:rsidP="00804D98">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Average bed occupancy rate</w:t>
            </w:r>
          </w:p>
        </w:tc>
        <w:tc>
          <w:tcPr>
            <w:tcW w:w="1134" w:type="dxa"/>
            <w:tcBorders>
              <w:left w:val="single" w:sz="4" w:space="0" w:color="auto"/>
            </w:tcBorders>
            <w:noWrap/>
            <w:hideMark/>
          </w:tcPr>
          <w:p w14:paraId="08248A30"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86.35</w:t>
            </w:r>
          </w:p>
        </w:tc>
        <w:tc>
          <w:tcPr>
            <w:tcW w:w="1275" w:type="dxa"/>
            <w:tcBorders>
              <w:right w:val="single" w:sz="4" w:space="0" w:color="auto"/>
            </w:tcBorders>
            <w:noWrap/>
            <w:hideMark/>
          </w:tcPr>
          <w:p w14:paraId="7CD5FB5F"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6.76</w:t>
            </w:r>
          </w:p>
        </w:tc>
        <w:tc>
          <w:tcPr>
            <w:tcW w:w="1134" w:type="dxa"/>
            <w:tcBorders>
              <w:left w:val="single" w:sz="4" w:space="0" w:color="auto"/>
            </w:tcBorders>
            <w:noWrap/>
            <w:hideMark/>
          </w:tcPr>
          <w:p w14:paraId="38196499"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86.5</w:t>
            </w:r>
          </w:p>
        </w:tc>
        <w:tc>
          <w:tcPr>
            <w:tcW w:w="1276" w:type="dxa"/>
            <w:noWrap/>
            <w:hideMark/>
          </w:tcPr>
          <w:p w14:paraId="41350970"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6.59</w:t>
            </w:r>
          </w:p>
        </w:tc>
        <w:tc>
          <w:tcPr>
            <w:tcW w:w="851" w:type="dxa"/>
            <w:tcBorders>
              <w:right w:val="single" w:sz="4" w:space="0" w:color="auto"/>
            </w:tcBorders>
            <w:noWrap/>
            <w:hideMark/>
          </w:tcPr>
          <w:p w14:paraId="2AB7EEF2"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lang w:val="en-US"/>
              </w:rPr>
              <w:t>-2.2</w:t>
            </w:r>
          </w:p>
        </w:tc>
        <w:tc>
          <w:tcPr>
            <w:tcW w:w="1134" w:type="dxa"/>
            <w:tcBorders>
              <w:left w:val="single" w:sz="4" w:space="0" w:color="auto"/>
            </w:tcBorders>
            <w:noWrap/>
            <w:hideMark/>
          </w:tcPr>
          <w:p w14:paraId="6D568AE9"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86.5</w:t>
            </w:r>
          </w:p>
        </w:tc>
        <w:tc>
          <w:tcPr>
            <w:tcW w:w="1275" w:type="dxa"/>
            <w:noWrap/>
            <w:hideMark/>
          </w:tcPr>
          <w:p w14:paraId="2C1BF40C"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6.07</w:t>
            </w:r>
          </w:p>
        </w:tc>
        <w:tc>
          <w:tcPr>
            <w:tcW w:w="851" w:type="dxa"/>
            <w:tcBorders>
              <w:right w:val="single" w:sz="4" w:space="0" w:color="auto"/>
            </w:tcBorders>
            <w:noWrap/>
            <w:hideMark/>
          </w:tcPr>
          <w:p w14:paraId="476E3D50" w14:textId="77777777" w:rsidR="00804D98" w:rsidRPr="00616F4F" w:rsidRDefault="00804D98"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w:t>
            </w:r>
          </w:p>
        </w:tc>
      </w:tr>
      <w:tr w:rsidR="00436537" w:rsidRPr="00616F4F" w14:paraId="3A3F68F3" w14:textId="77777777" w:rsidTr="00436537">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right w:val="single" w:sz="4" w:space="0" w:color="auto"/>
            </w:tcBorders>
            <w:noWrap/>
            <w:hideMark/>
          </w:tcPr>
          <w:p w14:paraId="1BF250BA" w14:textId="77777777" w:rsidR="00804D98" w:rsidRPr="00616F4F" w:rsidRDefault="00804D98" w:rsidP="008125C6">
            <w:pPr>
              <w:spacing w:after="0" w:line="240" w:lineRule="auto"/>
              <w:rPr>
                <w:rFonts w:eastAsia="Times New Roman" w:cs="Arial"/>
                <w:b w:val="0"/>
                <w:color w:val="000000"/>
                <w:sz w:val="18"/>
                <w:szCs w:val="18"/>
              </w:rPr>
            </w:pPr>
            <w:r w:rsidRPr="00616F4F">
              <w:rPr>
                <w:rFonts w:eastAsia="Times New Roman" w:cs="Arial"/>
                <w:b w:val="0"/>
                <w:color w:val="000000"/>
                <w:sz w:val="18"/>
                <w:szCs w:val="18"/>
              </w:rPr>
              <w:t>Teaching status, 0: non-teaching, 1: teaching</w:t>
            </w:r>
          </w:p>
        </w:tc>
        <w:tc>
          <w:tcPr>
            <w:tcW w:w="1134" w:type="dxa"/>
            <w:tcBorders>
              <w:left w:val="single" w:sz="4" w:space="0" w:color="auto"/>
              <w:bottom w:val="single" w:sz="4" w:space="0" w:color="auto"/>
            </w:tcBorders>
            <w:noWrap/>
            <w:hideMark/>
          </w:tcPr>
          <w:p w14:paraId="3A0FA3CC"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0.45</w:t>
            </w:r>
          </w:p>
        </w:tc>
        <w:tc>
          <w:tcPr>
            <w:tcW w:w="1275" w:type="dxa"/>
            <w:tcBorders>
              <w:bottom w:val="single" w:sz="4" w:space="0" w:color="auto"/>
              <w:right w:val="single" w:sz="4" w:space="0" w:color="auto"/>
            </w:tcBorders>
            <w:noWrap/>
            <w:hideMark/>
          </w:tcPr>
          <w:p w14:paraId="050B93BE"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1134" w:type="dxa"/>
            <w:tcBorders>
              <w:left w:val="single" w:sz="4" w:space="0" w:color="auto"/>
              <w:bottom w:val="single" w:sz="4" w:space="0" w:color="auto"/>
            </w:tcBorders>
            <w:noWrap/>
            <w:hideMark/>
          </w:tcPr>
          <w:p w14:paraId="282F9034"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0.44</w:t>
            </w:r>
          </w:p>
        </w:tc>
        <w:tc>
          <w:tcPr>
            <w:tcW w:w="1276" w:type="dxa"/>
            <w:tcBorders>
              <w:bottom w:val="single" w:sz="4" w:space="0" w:color="auto"/>
            </w:tcBorders>
            <w:noWrap/>
            <w:hideMark/>
          </w:tcPr>
          <w:p w14:paraId="43BBECDD"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bottom w:val="single" w:sz="4" w:space="0" w:color="auto"/>
              <w:right w:val="single" w:sz="4" w:space="0" w:color="auto"/>
            </w:tcBorders>
            <w:noWrap/>
            <w:hideMark/>
          </w:tcPr>
          <w:p w14:paraId="1B7AA930"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lang w:val="en-US"/>
              </w:rPr>
              <w:t>2.6</w:t>
            </w:r>
          </w:p>
        </w:tc>
        <w:tc>
          <w:tcPr>
            <w:tcW w:w="1134" w:type="dxa"/>
            <w:tcBorders>
              <w:left w:val="single" w:sz="4" w:space="0" w:color="auto"/>
              <w:bottom w:val="single" w:sz="4" w:space="0" w:color="auto"/>
            </w:tcBorders>
            <w:noWrap/>
            <w:hideMark/>
          </w:tcPr>
          <w:p w14:paraId="4BB9542E"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0.42</w:t>
            </w:r>
          </w:p>
        </w:tc>
        <w:tc>
          <w:tcPr>
            <w:tcW w:w="1275" w:type="dxa"/>
            <w:tcBorders>
              <w:bottom w:val="single" w:sz="4" w:space="0" w:color="auto"/>
            </w:tcBorders>
            <w:noWrap/>
            <w:hideMark/>
          </w:tcPr>
          <w:p w14:paraId="1FDF35F7"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0.49</w:t>
            </w:r>
          </w:p>
        </w:tc>
        <w:tc>
          <w:tcPr>
            <w:tcW w:w="851" w:type="dxa"/>
            <w:tcBorders>
              <w:bottom w:val="single" w:sz="4" w:space="0" w:color="auto"/>
              <w:right w:val="single" w:sz="4" w:space="0" w:color="auto"/>
            </w:tcBorders>
            <w:noWrap/>
            <w:hideMark/>
          </w:tcPr>
          <w:p w14:paraId="5126029F" w14:textId="77777777" w:rsidR="00804D98" w:rsidRPr="00616F4F" w:rsidRDefault="00804D98"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2.5</w:t>
            </w:r>
          </w:p>
        </w:tc>
      </w:tr>
    </w:tbl>
    <w:p w14:paraId="2F20DE6D" w14:textId="77777777" w:rsidR="0064568F" w:rsidRPr="00616F4F" w:rsidRDefault="0064568F" w:rsidP="0041235B">
      <w:pPr>
        <w:rPr>
          <w:rFonts w:eastAsiaTheme="minorHAnsi" w:cs="Arial"/>
          <w:noProof/>
          <w:sz w:val="18"/>
          <w:szCs w:val="18"/>
        </w:rPr>
      </w:pPr>
    </w:p>
    <w:p w14:paraId="59A63542" w14:textId="754CB3CB" w:rsidR="00436537" w:rsidRPr="00616F4F" w:rsidRDefault="00436537" w:rsidP="0041235B">
      <w:pPr>
        <w:rPr>
          <w:rFonts w:eastAsiaTheme="minorHAnsi" w:cs="Arial"/>
          <w:noProof/>
          <w:sz w:val="18"/>
          <w:szCs w:val="18"/>
        </w:rPr>
      </w:pPr>
      <w:r w:rsidRPr="00616F4F">
        <w:rPr>
          <w:rFonts w:eastAsiaTheme="minorHAnsi" w:cs="Arial"/>
          <w:noProof/>
          <w:sz w:val="18"/>
          <w:szCs w:val="18"/>
        </w:rPr>
        <w:t xml:space="preserve">Note: %bias should be &lt;|10| after matching </w:t>
      </w:r>
      <w:r w:rsidR="002604F0">
        <w:rPr>
          <w:rFonts w:eastAsiaTheme="minorHAnsi" w:cs="Arial"/>
          <w:noProof/>
          <w:sz w:val="18"/>
          <w:szCs w:val="18"/>
        </w:rPr>
        <w:fldChar w:fldCharType="begin"/>
      </w:r>
      <w:r w:rsidR="002604F0">
        <w:rPr>
          <w:rFonts w:eastAsiaTheme="minorHAnsi" w:cs="Arial"/>
          <w:noProof/>
          <w:sz w:val="18"/>
          <w:szCs w:val="18"/>
        </w:rPr>
        <w:instrText xml:space="preserve"> ADDIN EN.CITE &lt;EndNote&gt;&lt;Cite&gt;&lt;Author&gt;Rubin&lt;/Author&gt;&lt;Year&gt;2001&lt;/Year&gt;&lt;RecNum&gt;748&lt;/RecNum&gt;&lt;DisplayText&gt;(21)&lt;/DisplayText&gt;&lt;record&gt;&lt;rec-number&gt;748&lt;/rec-number&gt;&lt;foreign-keys&gt;&lt;key app="EN" db-id="fweew0v96zr2xze25xrvwf59dx52x9w0spr9" timestamp="1460980283"&gt;748&lt;/key&gt;&lt;/foreign-keys&gt;&lt;ref-type name="Journal Article"&gt;17&lt;/ref-type&gt;&lt;contributors&gt;&lt;authors&gt;&lt;author&gt;Rubin, Donald B&lt;/author&gt;&lt;/authors&gt;&lt;/contributors&gt;&lt;titles&gt;&lt;title&gt;Using Propensity Scores to Help Design Observational Studies: Application to the Tobacco Litigation&lt;/title&gt;&lt;secondary-title&gt;Health Services and Outcomes Research Methodology&lt;/secondary-title&gt;&lt;alt-title&gt;Health Services &amp;amp; Outcomes Research Methodology&lt;/alt-title&gt;&lt;/titles&gt;&lt;periodical&gt;&lt;full-title&gt;Health Services and Outcomes Research Methodology&lt;/full-title&gt;&lt;abbr-1&gt;Health Services &amp;amp; Outcomes Research Methodology&lt;/abbr-1&gt;&lt;/periodical&gt;&lt;alt-periodical&gt;&lt;full-title&gt;Health Services and Outcomes Research Methodology&lt;/full-title&gt;&lt;abbr-1&gt;Health Services &amp;amp; Outcomes Research Methodology&lt;/abbr-1&gt;&lt;/alt-periodical&gt;&lt;pages&gt;169-188&lt;/pages&gt;&lt;volume&gt;2&lt;/volume&gt;&lt;number&gt;3-4&lt;/number&gt;&lt;keywords&gt;&lt;keyword&gt;balance&lt;/keyword&gt;&lt;keyword&gt;matching&lt;/keyword&gt;&lt;keyword&gt;subclassification&lt;/keyword&gt;&lt;/keywords&gt;&lt;dates&gt;&lt;year&gt;2001&lt;/year&gt;&lt;pub-dates&gt;&lt;date&gt;2001/12/01&lt;/date&gt;&lt;/pub-dates&gt;&lt;/dates&gt;&lt;publisher&gt;Kluwer Academic Publishers&lt;/publisher&gt;&lt;isbn&gt;1387-3741&lt;/isbn&gt;&lt;urls&gt;&lt;related-urls&gt;&lt;url&gt;http://dx.doi.org/10.1023/A%3A1020363010465&lt;/url&gt;&lt;/related-urls&gt;&lt;/urls&gt;&lt;electronic-resource-num&gt;10.1023/A:1020363010465&lt;/electronic-resource-num&gt;&lt;language&gt;English&lt;/language&gt;&lt;/record&gt;&lt;/Cite&gt;&lt;/EndNote&gt;</w:instrText>
      </w:r>
      <w:r w:rsidR="002604F0">
        <w:rPr>
          <w:rFonts w:eastAsiaTheme="minorHAnsi" w:cs="Arial"/>
          <w:noProof/>
          <w:sz w:val="18"/>
          <w:szCs w:val="18"/>
        </w:rPr>
        <w:fldChar w:fldCharType="separate"/>
      </w:r>
      <w:r w:rsidR="002604F0">
        <w:rPr>
          <w:rFonts w:eastAsiaTheme="minorHAnsi" w:cs="Arial"/>
          <w:noProof/>
          <w:sz w:val="18"/>
          <w:szCs w:val="18"/>
        </w:rPr>
        <w:t>(21)</w:t>
      </w:r>
      <w:r w:rsidR="002604F0">
        <w:rPr>
          <w:rFonts w:eastAsiaTheme="minorHAnsi" w:cs="Arial"/>
          <w:noProof/>
          <w:sz w:val="18"/>
          <w:szCs w:val="18"/>
        </w:rPr>
        <w:fldChar w:fldCharType="end"/>
      </w:r>
      <w:r w:rsidRPr="00616F4F">
        <w:rPr>
          <w:rFonts w:eastAsiaTheme="minorHAnsi" w:cs="Arial"/>
          <w:noProof/>
          <w:sz w:val="18"/>
          <w:szCs w:val="18"/>
        </w:rPr>
        <w:t>. There are slightly more matched control patients than patients with incidents because we allow tied matches</w:t>
      </w:r>
      <w:r w:rsidR="0031569F" w:rsidRPr="00616F4F">
        <w:rPr>
          <w:rFonts w:eastAsiaTheme="minorHAnsi" w:cs="Arial"/>
          <w:noProof/>
          <w:sz w:val="18"/>
          <w:szCs w:val="18"/>
        </w:rPr>
        <w:t>, i.e. control patients with the same propensity score are used to calculate ATTs</w:t>
      </w:r>
      <w:r w:rsidR="0041235B" w:rsidRPr="00616F4F">
        <w:rPr>
          <w:rFonts w:eastAsiaTheme="minorHAnsi" w:cs="Arial"/>
          <w:noProof/>
          <w:sz w:val="18"/>
          <w:szCs w:val="18"/>
        </w:rPr>
        <w:t xml:space="preserve">; </w:t>
      </w:r>
      <w:r w:rsidR="008125C6" w:rsidRPr="00616F4F">
        <w:rPr>
          <w:rFonts w:eastAsiaTheme="minorHAnsi" w:cs="Arial"/>
          <w:noProof/>
          <w:sz w:val="18"/>
          <w:szCs w:val="18"/>
        </w:rPr>
        <w:t>Number of patients with incidents in this table are smaller than all patients with incidents</w:t>
      </w:r>
      <w:r w:rsidR="0031569F" w:rsidRPr="00616F4F">
        <w:rPr>
          <w:rFonts w:eastAsiaTheme="minorHAnsi" w:cs="Arial"/>
          <w:noProof/>
          <w:sz w:val="18"/>
          <w:szCs w:val="18"/>
        </w:rPr>
        <w:t xml:space="preserve"> in table S1</w:t>
      </w:r>
      <w:r w:rsidR="008125C6" w:rsidRPr="00616F4F">
        <w:rPr>
          <w:rFonts w:eastAsiaTheme="minorHAnsi" w:cs="Arial"/>
          <w:noProof/>
          <w:sz w:val="18"/>
          <w:szCs w:val="18"/>
        </w:rPr>
        <w:t xml:space="preserve">, because patients with missing observations on any of the covariates and patients off the common support </w:t>
      </w:r>
      <w:r w:rsidR="0031569F" w:rsidRPr="00616F4F">
        <w:rPr>
          <w:rFonts w:eastAsiaTheme="minorHAnsi" w:cs="Arial"/>
          <w:noProof/>
          <w:sz w:val="18"/>
          <w:szCs w:val="18"/>
        </w:rPr>
        <w:t xml:space="preserve">(i.e. for whom there is no control patient with sufficiently similar propensity score) </w:t>
      </w:r>
      <w:r w:rsidR="008125C6" w:rsidRPr="00616F4F">
        <w:rPr>
          <w:rFonts w:eastAsiaTheme="minorHAnsi" w:cs="Arial"/>
          <w:noProof/>
          <w:sz w:val="18"/>
          <w:szCs w:val="18"/>
        </w:rPr>
        <w:t>are excluded from analysis</w:t>
      </w:r>
      <w:r w:rsidR="0041235B" w:rsidRPr="00616F4F">
        <w:rPr>
          <w:rFonts w:eastAsiaTheme="minorHAnsi" w:cs="Arial"/>
          <w:noProof/>
          <w:sz w:val="18"/>
          <w:szCs w:val="18"/>
        </w:rPr>
        <w:t xml:space="preserve">; </w:t>
      </w:r>
      <w:r w:rsidRPr="00616F4F">
        <w:rPr>
          <w:rFonts w:eastAsiaTheme="minorHAnsi" w:cs="Arial"/>
          <w:noProof/>
          <w:sz w:val="18"/>
          <w:szCs w:val="18"/>
        </w:rPr>
        <w:t xml:space="preserve">Results for other years are available from the corresponding author on request. </w:t>
      </w:r>
    </w:p>
    <w:p w14:paraId="5855FE37" w14:textId="77777777" w:rsidR="007202B0" w:rsidRPr="00616F4F" w:rsidRDefault="007202B0">
      <w:pPr>
        <w:spacing w:after="160" w:line="259" w:lineRule="auto"/>
        <w:rPr>
          <w:rFonts w:eastAsiaTheme="majorEastAsia" w:cs="Arial"/>
          <w:color w:val="2E74B5" w:themeColor="accent1" w:themeShade="BF"/>
          <w:sz w:val="18"/>
          <w:szCs w:val="18"/>
        </w:rPr>
      </w:pPr>
      <w:r w:rsidRPr="00616F4F">
        <w:rPr>
          <w:rFonts w:cs="Arial"/>
          <w:sz w:val="18"/>
          <w:szCs w:val="18"/>
        </w:rPr>
        <w:br w:type="page"/>
      </w:r>
    </w:p>
    <w:p w14:paraId="76066AA1" w14:textId="542EC9C0" w:rsidR="00AE6CA1" w:rsidRPr="00E2486B" w:rsidRDefault="00AE6CA1" w:rsidP="00E2486B">
      <w:pPr>
        <w:rPr>
          <w:b/>
        </w:rPr>
      </w:pPr>
      <w:r w:rsidRPr="00E2486B">
        <w:rPr>
          <w:b/>
        </w:rPr>
        <w:lastRenderedPageBreak/>
        <w:t xml:space="preserve">Table </w:t>
      </w:r>
      <w:r w:rsidR="00635E43" w:rsidRPr="00E2486B">
        <w:rPr>
          <w:b/>
        </w:rPr>
        <w:t>SDC</w:t>
      </w:r>
      <w:r w:rsidR="0041235B" w:rsidRPr="00E2486B">
        <w:rPr>
          <w:b/>
        </w:rPr>
        <w:t>3</w:t>
      </w:r>
      <w:r w:rsidR="00904FCA" w:rsidRPr="00E2486B">
        <w:rPr>
          <w:b/>
        </w:rPr>
        <w:t>b</w:t>
      </w:r>
      <w:r w:rsidRPr="00E2486B">
        <w:rPr>
          <w:b/>
        </w:rPr>
        <w:t>: Pressure Ulcers, year 2009/10</w:t>
      </w:r>
    </w:p>
    <w:p w14:paraId="6F359CD8" w14:textId="77777777" w:rsidR="00AE6CA1" w:rsidRPr="00616F4F" w:rsidRDefault="00AE6CA1" w:rsidP="00AE6CA1">
      <w:pPr>
        <w:rPr>
          <w:rFonts w:cs="Arial"/>
          <w:sz w:val="18"/>
          <w:szCs w:val="18"/>
        </w:rPr>
      </w:pPr>
    </w:p>
    <w:tbl>
      <w:tblPr>
        <w:tblStyle w:val="GridTable4-Accent12"/>
        <w:tblW w:w="4514" w:type="pct"/>
        <w:tblInd w:w="-5" w:type="dxa"/>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497"/>
        <w:gridCol w:w="1027"/>
        <w:gridCol w:w="1156"/>
        <w:gridCol w:w="1028"/>
        <w:gridCol w:w="1156"/>
        <w:gridCol w:w="773"/>
        <w:gridCol w:w="1028"/>
        <w:gridCol w:w="1156"/>
        <w:gridCol w:w="771"/>
      </w:tblGrid>
      <w:tr w:rsidR="00AE6CA1" w:rsidRPr="00616F4F" w14:paraId="23D99D80" w14:textId="77777777" w:rsidTr="00B044DA">
        <w:trPr>
          <w:cnfStyle w:val="100000000000" w:firstRow="1" w:lastRow="0" w:firstColumn="0" w:lastColumn="0" w:oddVBand="0" w:evenVBand="0" w:oddHBand="0" w:evenHBand="0" w:firstRowFirstColumn="0" w:firstRowLastColumn="0" w:lastRowFirstColumn="0" w:lastRowLastColumn="0"/>
          <w:trHeight w:hRule="exact" w:val="619"/>
        </w:trPr>
        <w:tc>
          <w:tcPr>
            <w:cnfStyle w:val="001000000000" w:firstRow="0" w:lastRow="0" w:firstColumn="1" w:lastColumn="0" w:oddVBand="0" w:evenVBand="0" w:oddHBand="0" w:evenHBand="0" w:firstRowFirstColumn="0" w:firstRowLastColumn="0" w:lastRowFirstColumn="0" w:lastRowLastColumn="0"/>
            <w:tcW w:w="1786" w:type="pct"/>
            <w:tcBorders>
              <w:top w:val="single" w:sz="4" w:space="0" w:color="auto"/>
              <w:left w:val="single" w:sz="4" w:space="0" w:color="auto"/>
              <w:bottom w:val="single" w:sz="4" w:space="0" w:color="auto"/>
              <w:right w:val="single" w:sz="4" w:space="0" w:color="auto"/>
            </w:tcBorders>
            <w:vAlign w:val="center"/>
          </w:tcPr>
          <w:p w14:paraId="76CEFC22" w14:textId="77777777" w:rsidR="00AE6CA1" w:rsidRPr="00616F4F" w:rsidRDefault="00AE6CA1" w:rsidP="001E2212">
            <w:pPr>
              <w:rPr>
                <w:rFonts w:eastAsia="Times New Roman" w:cs="Arial"/>
                <w:sz w:val="18"/>
                <w:szCs w:val="18"/>
              </w:rPr>
            </w:pPr>
          </w:p>
        </w:tc>
        <w:tc>
          <w:tcPr>
            <w:tcW w:w="867" w:type="pct"/>
            <w:gridSpan w:val="2"/>
            <w:tcBorders>
              <w:top w:val="single" w:sz="4" w:space="0" w:color="auto"/>
              <w:left w:val="single" w:sz="4" w:space="0" w:color="auto"/>
              <w:bottom w:val="single" w:sz="4" w:space="0" w:color="auto"/>
              <w:right w:val="single" w:sz="4" w:space="0" w:color="auto"/>
            </w:tcBorders>
            <w:noWrap/>
            <w:vAlign w:val="center"/>
            <w:hideMark/>
          </w:tcPr>
          <w:p w14:paraId="7DAB9351" w14:textId="77777777" w:rsidR="00AE6CA1" w:rsidRPr="00616F4F" w:rsidRDefault="00AE6CA1" w:rsidP="001E2212">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n-US"/>
              </w:rPr>
            </w:pPr>
            <w:r w:rsidRPr="00616F4F">
              <w:rPr>
                <w:rFonts w:eastAsia="Times New Roman" w:cs="Arial"/>
                <w:sz w:val="18"/>
                <w:szCs w:val="18"/>
              </w:rPr>
              <w:t>Patients with incidents (n=25,142</w:t>
            </w:r>
          </w:p>
        </w:tc>
        <w:tc>
          <w:tcPr>
            <w:tcW w:w="1174" w:type="pct"/>
            <w:gridSpan w:val="3"/>
            <w:tcBorders>
              <w:top w:val="single" w:sz="4" w:space="0" w:color="auto"/>
              <w:left w:val="single" w:sz="4" w:space="0" w:color="auto"/>
              <w:bottom w:val="single" w:sz="4" w:space="0" w:color="auto"/>
              <w:right w:val="single" w:sz="4" w:space="0" w:color="auto"/>
            </w:tcBorders>
            <w:vAlign w:val="center"/>
          </w:tcPr>
          <w:p w14:paraId="3A3F8B14" w14:textId="77777777" w:rsidR="00AE6CA1" w:rsidRPr="00616F4F" w:rsidRDefault="00AE6CA1" w:rsidP="00AE6CA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Unmatched control patients (n=1,748,618)</w:t>
            </w:r>
          </w:p>
        </w:tc>
        <w:tc>
          <w:tcPr>
            <w:tcW w:w="1173" w:type="pct"/>
            <w:gridSpan w:val="3"/>
            <w:tcBorders>
              <w:top w:val="single" w:sz="4" w:space="0" w:color="auto"/>
              <w:left w:val="single" w:sz="4" w:space="0" w:color="auto"/>
              <w:bottom w:val="single" w:sz="4" w:space="0" w:color="auto"/>
              <w:right w:val="single" w:sz="4" w:space="0" w:color="auto"/>
            </w:tcBorders>
            <w:noWrap/>
            <w:vAlign w:val="center"/>
            <w:hideMark/>
          </w:tcPr>
          <w:p w14:paraId="32C75376" w14:textId="77777777" w:rsidR="00AE6CA1" w:rsidRPr="00616F4F" w:rsidRDefault="00AE6CA1" w:rsidP="00AE6CA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sz w:val="18"/>
                <w:szCs w:val="18"/>
              </w:rPr>
              <w:t>Matched control patients (n=25,793)</w:t>
            </w:r>
          </w:p>
        </w:tc>
      </w:tr>
      <w:tr w:rsidR="00AE6CA1" w:rsidRPr="00616F4F" w14:paraId="537C3000" w14:textId="77777777" w:rsidTr="00AE6CA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top w:val="single" w:sz="4" w:space="0" w:color="auto"/>
              <w:left w:val="single" w:sz="4" w:space="0" w:color="auto"/>
              <w:right w:val="single" w:sz="4" w:space="0" w:color="auto"/>
            </w:tcBorders>
            <w:vAlign w:val="center"/>
          </w:tcPr>
          <w:p w14:paraId="6E7C03D9" w14:textId="77777777" w:rsidR="00AE6CA1" w:rsidRPr="00616F4F" w:rsidRDefault="00AE6CA1" w:rsidP="001E2212">
            <w:pPr>
              <w:rPr>
                <w:rFonts w:eastAsia="Times New Roman" w:cs="Arial"/>
                <w:color w:val="000000"/>
                <w:sz w:val="18"/>
                <w:szCs w:val="18"/>
              </w:rPr>
            </w:pPr>
            <w:r w:rsidRPr="00616F4F">
              <w:rPr>
                <w:rFonts w:eastAsia="Times New Roman" w:cs="Arial"/>
                <w:color w:val="000000"/>
                <w:sz w:val="18"/>
                <w:szCs w:val="18"/>
              </w:rPr>
              <w:t>Outcomes</w:t>
            </w:r>
          </w:p>
        </w:tc>
        <w:tc>
          <w:tcPr>
            <w:tcW w:w="408" w:type="pct"/>
            <w:tcBorders>
              <w:top w:val="single" w:sz="4" w:space="0" w:color="auto"/>
            </w:tcBorders>
            <w:noWrap/>
            <w:vAlign w:val="center"/>
            <w:hideMark/>
          </w:tcPr>
          <w:p w14:paraId="26AC9F8F"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459" w:type="pct"/>
            <w:tcBorders>
              <w:top w:val="single" w:sz="4" w:space="0" w:color="auto"/>
              <w:right w:val="single" w:sz="4" w:space="0" w:color="auto"/>
            </w:tcBorders>
            <w:noWrap/>
            <w:vAlign w:val="center"/>
            <w:hideMark/>
          </w:tcPr>
          <w:p w14:paraId="4771F103" w14:textId="77777777" w:rsidR="00AE6CA1" w:rsidRPr="00616F4F" w:rsidRDefault="00436537"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r w:rsidR="00AE6CA1" w:rsidRPr="00616F4F">
              <w:rPr>
                <w:rFonts w:eastAsia="Times New Roman" w:cs="Arial"/>
                <w:color w:val="000000"/>
                <w:sz w:val="18"/>
                <w:szCs w:val="18"/>
              </w:rPr>
              <w:t>.</w:t>
            </w:r>
          </w:p>
        </w:tc>
        <w:tc>
          <w:tcPr>
            <w:tcW w:w="408" w:type="pct"/>
            <w:tcBorders>
              <w:top w:val="single" w:sz="4" w:space="0" w:color="auto"/>
            </w:tcBorders>
            <w:noWrap/>
            <w:vAlign w:val="center"/>
            <w:hideMark/>
          </w:tcPr>
          <w:p w14:paraId="7937E58A"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459" w:type="pct"/>
            <w:tcBorders>
              <w:top w:val="single" w:sz="4" w:space="0" w:color="auto"/>
            </w:tcBorders>
            <w:noWrap/>
            <w:vAlign w:val="center"/>
            <w:hideMark/>
          </w:tcPr>
          <w:p w14:paraId="706DDD16" w14:textId="77777777" w:rsidR="00AE6CA1" w:rsidRPr="00616F4F" w:rsidRDefault="00436537"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307" w:type="pct"/>
            <w:tcBorders>
              <w:top w:val="single" w:sz="4" w:space="0" w:color="auto"/>
              <w:right w:val="single" w:sz="4" w:space="0" w:color="auto"/>
            </w:tcBorders>
            <w:vAlign w:val="center"/>
          </w:tcPr>
          <w:p w14:paraId="41C77BDE"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c>
          <w:tcPr>
            <w:tcW w:w="408" w:type="pct"/>
            <w:tcBorders>
              <w:top w:val="single" w:sz="4" w:space="0" w:color="auto"/>
            </w:tcBorders>
            <w:noWrap/>
            <w:vAlign w:val="center"/>
            <w:hideMark/>
          </w:tcPr>
          <w:p w14:paraId="1CE7DCA0"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459" w:type="pct"/>
            <w:tcBorders>
              <w:top w:val="single" w:sz="4" w:space="0" w:color="auto"/>
            </w:tcBorders>
            <w:noWrap/>
            <w:vAlign w:val="center"/>
            <w:hideMark/>
          </w:tcPr>
          <w:p w14:paraId="0607ABF6" w14:textId="77777777" w:rsidR="00AE6CA1" w:rsidRPr="00616F4F" w:rsidRDefault="00436537"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307" w:type="pct"/>
            <w:tcBorders>
              <w:top w:val="single" w:sz="4" w:space="0" w:color="auto"/>
            </w:tcBorders>
            <w:vAlign w:val="center"/>
          </w:tcPr>
          <w:p w14:paraId="6F5CBAEE"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r>
      <w:tr w:rsidR="00AE6CA1" w:rsidRPr="00616F4F" w14:paraId="79EF6D16" w14:textId="77777777" w:rsidTr="00AE6CA1">
        <w:trPr>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left w:val="single" w:sz="4" w:space="0" w:color="auto"/>
              <w:right w:val="single" w:sz="4" w:space="0" w:color="auto"/>
            </w:tcBorders>
            <w:vAlign w:val="center"/>
          </w:tcPr>
          <w:p w14:paraId="5E4A4D6F" w14:textId="77777777" w:rsidR="00AE6CA1" w:rsidRPr="00616F4F" w:rsidRDefault="00AE6CA1" w:rsidP="00AE6CA1">
            <w:pPr>
              <w:rPr>
                <w:rFonts w:eastAsia="Times New Roman" w:cs="Arial"/>
                <w:b w:val="0"/>
                <w:color w:val="000000"/>
                <w:sz w:val="18"/>
                <w:szCs w:val="18"/>
              </w:rPr>
            </w:pPr>
            <w:r w:rsidRPr="00616F4F">
              <w:rPr>
                <w:rFonts w:cs="Arial"/>
                <w:b w:val="0"/>
                <w:sz w:val="18"/>
                <w:szCs w:val="18"/>
              </w:rPr>
              <w:t>Death, in-hospital</w:t>
            </w:r>
          </w:p>
        </w:tc>
        <w:tc>
          <w:tcPr>
            <w:tcW w:w="408" w:type="pct"/>
            <w:noWrap/>
            <w:vAlign w:val="center"/>
            <w:hideMark/>
          </w:tcPr>
          <w:p w14:paraId="63898891"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0.29</w:t>
            </w:r>
          </w:p>
        </w:tc>
        <w:tc>
          <w:tcPr>
            <w:tcW w:w="459" w:type="pct"/>
            <w:tcBorders>
              <w:right w:val="single" w:sz="4" w:space="0" w:color="auto"/>
            </w:tcBorders>
            <w:noWrap/>
            <w:vAlign w:val="center"/>
            <w:hideMark/>
          </w:tcPr>
          <w:p w14:paraId="2E491C70"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0.46</w:t>
            </w:r>
          </w:p>
        </w:tc>
        <w:tc>
          <w:tcPr>
            <w:tcW w:w="408" w:type="pct"/>
            <w:noWrap/>
            <w:vAlign w:val="center"/>
            <w:hideMark/>
          </w:tcPr>
          <w:p w14:paraId="45D4AE88"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0.07</w:t>
            </w:r>
          </w:p>
        </w:tc>
        <w:tc>
          <w:tcPr>
            <w:tcW w:w="459" w:type="pct"/>
            <w:noWrap/>
            <w:vAlign w:val="center"/>
            <w:hideMark/>
          </w:tcPr>
          <w:p w14:paraId="0B3879F1"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0.26</w:t>
            </w:r>
          </w:p>
        </w:tc>
        <w:tc>
          <w:tcPr>
            <w:tcW w:w="307" w:type="pct"/>
            <w:tcBorders>
              <w:right w:val="single" w:sz="4" w:space="0" w:color="auto"/>
            </w:tcBorders>
            <w:vAlign w:val="center"/>
          </w:tcPr>
          <w:p w14:paraId="10AAC08F"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408" w:type="pct"/>
            <w:noWrap/>
            <w:vAlign w:val="center"/>
            <w:hideMark/>
          </w:tcPr>
          <w:p w14:paraId="01A9F5A9"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0.14</w:t>
            </w:r>
          </w:p>
        </w:tc>
        <w:tc>
          <w:tcPr>
            <w:tcW w:w="459" w:type="pct"/>
            <w:noWrap/>
            <w:vAlign w:val="center"/>
            <w:hideMark/>
          </w:tcPr>
          <w:p w14:paraId="70420159"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0.34</w:t>
            </w:r>
          </w:p>
        </w:tc>
        <w:tc>
          <w:tcPr>
            <w:tcW w:w="307" w:type="pct"/>
            <w:vAlign w:val="center"/>
          </w:tcPr>
          <w:p w14:paraId="2F3AB2F0"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r>
      <w:tr w:rsidR="00AE6CA1" w:rsidRPr="00616F4F" w14:paraId="0E8D677E" w14:textId="77777777" w:rsidTr="00AE6CA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left w:val="single" w:sz="4" w:space="0" w:color="auto"/>
              <w:bottom w:val="single" w:sz="4" w:space="0" w:color="auto"/>
              <w:right w:val="single" w:sz="4" w:space="0" w:color="auto"/>
            </w:tcBorders>
            <w:vAlign w:val="center"/>
          </w:tcPr>
          <w:p w14:paraId="7138E544" w14:textId="77777777" w:rsidR="00AE6CA1" w:rsidRPr="00616F4F" w:rsidRDefault="00AE6CA1" w:rsidP="00AE6CA1">
            <w:pPr>
              <w:rPr>
                <w:rFonts w:eastAsia="Times New Roman" w:cs="Arial"/>
                <w:b w:val="0"/>
                <w:color w:val="000000"/>
                <w:sz w:val="18"/>
                <w:szCs w:val="18"/>
              </w:rPr>
            </w:pPr>
            <w:r w:rsidRPr="00616F4F">
              <w:rPr>
                <w:rFonts w:cs="Arial"/>
                <w:b w:val="0"/>
                <w:sz w:val="18"/>
                <w:szCs w:val="18"/>
              </w:rPr>
              <w:t>Bed days</w:t>
            </w:r>
          </w:p>
        </w:tc>
        <w:tc>
          <w:tcPr>
            <w:tcW w:w="408" w:type="pct"/>
            <w:tcBorders>
              <w:bottom w:val="single" w:sz="4" w:space="0" w:color="auto"/>
            </w:tcBorders>
            <w:noWrap/>
            <w:vAlign w:val="center"/>
            <w:hideMark/>
          </w:tcPr>
          <w:p w14:paraId="2EC060B5"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37.3</w:t>
            </w:r>
          </w:p>
        </w:tc>
        <w:tc>
          <w:tcPr>
            <w:tcW w:w="459" w:type="pct"/>
            <w:tcBorders>
              <w:bottom w:val="single" w:sz="4" w:space="0" w:color="auto"/>
              <w:right w:val="single" w:sz="4" w:space="0" w:color="auto"/>
            </w:tcBorders>
            <w:noWrap/>
            <w:vAlign w:val="center"/>
            <w:hideMark/>
          </w:tcPr>
          <w:p w14:paraId="254AD519"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40.39</w:t>
            </w:r>
          </w:p>
        </w:tc>
        <w:tc>
          <w:tcPr>
            <w:tcW w:w="408" w:type="pct"/>
            <w:tcBorders>
              <w:bottom w:val="single" w:sz="4" w:space="0" w:color="auto"/>
            </w:tcBorders>
            <w:noWrap/>
            <w:vAlign w:val="center"/>
            <w:hideMark/>
          </w:tcPr>
          <w:p w14:paraId="42DDF5A6"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18.77</w:t>
            </w:r>
          </w:p>
        </w:tc>
        <w:tc>
          <w:tcPr>
            <w:tcW w:w="459" w:type="pct"/>
            <w:tcBorders>
              <w:bottom w:val="single" w:sz="4" w:space="0" w:color="auto"/>
            </w:tcBorders>
            <w:noWrap/>
            <w:vAlign w:val="center"/>
            <w:hideMark/>
          </w:tcPr>
          <w:p w14:paraId="5825CBC7"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32.09</w:t>
            </w:r>
          </w:p>
        </w:tc>
        <w:tc>
          <w:tcPr>
            <w:tcW w:w="307" w:type="pct"/>
            <w:tcBorders>
              <w:bottom w:val="single" w:sz="4" w:space="0" w:color="auto"/>
              <w:right w:val="single" w:sz="4" w:space="0" w:color="auto"/>
            </w:tcBorders>
            <w:vAlign w:val="center"/>
          </w:tcPr>
          <w:p w14:paraId="3D076F67"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408" w:type="pct"/>
            <w:tcBorders>
              <w:bottom w:val="single" w:sz="4" w:space="0" w:color="auto"/>
            </w:tcBorders>
            <w:noWrap/>
            <w:vAlign w:val="center"/>
            <w:hideMark/>
          </w:tcPr>
          <w:p w14:paraId="6149A1A6"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22.61</w:t>
            </w:r>
          </w:p>
        </w:tc>
        <w:tc>
          <w:tcPr>
            <w:tcW w:w="459" w:type="pct"/>
            <w:tcBorders>
              <w:bottom w:val="single" w:sz="4" w:space="0" w:color="auto"/>
            </w:tcBorders>
            <w:noWrap/>
            <w:vAlign w:val="center"/>
            <w:hideMark/>
          </w:tcPr>
          <w:p w14:paraId="60CB5856"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27.24</w:t>
            </w:r>
          </w:p>
        </w:tc>
        <w:tc>
          <w:tcPr>
            <w:tcW w:w="307" w:type="pct"/>
            <w:tcBorders>
              <w:bottom w:val="single" w:sz="4" w:space="0" w:color="auto"/>
            </w:tcBorders>
            <w:vAlign w:val="center"/>
          </w:tcPr>
          <w:p w14:paraId="7408BED2"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r>
      <w:tr w:rsidR="00AE6CA1" w:rsidRPr="00616F4F" w14:paraId="4DFA09B5" w14:textId="77777777" w:rsidTr="00AE6CA1">
        <w:trPr>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top w:val="single" w:sz="4" w:space="0" w:color="auto"/>
              <w:left w:val="single" w:sz="4" w:space="0" w:color="auto"/>
              <w:bottom w:val="nil"/>
              <w:right w:val="single" w:sz="4" w:space="0" w:color="auto"/>
            </w:tcBorders>
            <w:vAlign w:val="center"/>
          </w:tcPr>
          <w:p w14:paraId="61C80126" w14:textId="77777777" w:rsidR="00AE6CA1" w:rsidRPr="00616F4F" w:rsidRDefault="00AE6CA1" w:rsidP="001E2212">
            <w:pPr>
              <w:rPr>
                <w:rFonts w:cs="Arial"/>
                <w:sz w:val="18"/>
                <w:szCs w:val="18"/>
              </w:rPr>
            </w:pPr>
            <w:r w:rsidRPr="00616F4F">
              <w:rPr>
                <w:rFonts w:cs="Arial"/>
                <w:sz w:val="18"/>
                <w:szCs w:val="18"/>
              </w:rPr>
              <w:t>Covariates</w:t>
            </w:r>
          </w:p>
        </w:tc>
        <w:tc>
          <w:tcPr>
            <w:tcW w:w="408" w:type="pct"/>
            <w:tcBorders>
              <w:top w:val="single" w:sz="4" w:space="0" w:color="auto"/>
              <w:bottom w:val="nil"/>
            </w:tcBorders>
            <w:noWrap/>
            <w:vAlign w:val="center"/>
          </w:tcPr>
          <w:p w14:paraId="50E0E75F"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459" w:type="pct"/>
            <w:tcBorders>
              <w:top w:val="single" w:sz="4" w:space="0" w:color="auto"/>
              <w:bottom w:val="nil"/>
              <w:right w:val="single" w:sz="4" w:space="0" w:color="auto"/>
            </w:tcBorders>
            <w:noWrap/>
            <w:vAlign w:val="center"/>
          </w:tcPr>
          <w:p w14:paraId="5F18F5CF"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408" w:type="pct"/>
            <w:tcBorders>
              <w:top w:val="single" w:sz="4" w:space="0" w:color="auto"/>
              <w:bottom w:val="nil"/>
            </w:tcBorders>
            <w:noWrap/>
            <w:vAlign w:val="center"/>
          </w:tcPr>
          <w:p w14:paraId="5B9AFF48"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459" w:type="pct"/>
            <w:tcBorders>
              <w:top w:val="single" w:sz="4" w:space="0" w:color="auto"/>
              <w:bottom w:val="nil"/>
            </w:tcBorders>
            <w:noWrap/>
            <w:vAlign w:val="center"/>
          </w:tcPr>
          <w:p w14:paraId="64405B60"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307" w:type="pct"/>
            <w:tcBorders>
              <w:top w:val="single" w:sz="4" w:space="0" w:color="auto"/>
              <w:bottom w:val="nil"/>
              <w:right w:val="single" w:sz="4" w:space="0" w:color="auto"/>
            </w:tcBorders>
            <w:vAlign w:val="center"/>
          </w:tcPr>
          <w:p w14:paraId="13FE5323"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408" w:type="pct"/>
            <w:tcBorders>
              <w:top w:val="single" w:sz="4" w:space="0" w:color="auto"/>
              <w:bottom w:val="nil"/>
            </w:tcBorders>
            <w:noWrap/>
            <w:vAlign w:val="center"/>
          </w:tcPr>
          <w:p w14:paraId="1EC8105A"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459" w:type="pct"/>
            <w:tcBorders>
              <w:top w:val="single" w:sz="4" w:space="0" w:color="auto"/>
              <w:bottom w:val="nil"/>
            </w:tcBorders>
            <w:noWrap/>
            <w:vAlign w:val="center"/>
          </w:tcPr>
          <w:p w14:paraId="7C280DBB"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307" w:type="pct"/>
            <w:tcBorders>
              <w:top w:val="single" w:sz="4" w:space="0" w:color="auto"/>
              <w:bottom w:val="nil"/>
            </w:tcBorders>
            <w:vAlign w:val="center"/>
          </w:tcPr>
          <w:p w14:paraId="27A3B240"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AE6CA1" w:rsidRPr="00616F4F" w14:paraId="4D504195" w14:textId="77777777" w:rsidTr="00AE6CA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top w:val="nil"/>
              <w:left w:val="single" w:sz="4" w:space="0" w:color="auto"/>
              <w:right w:val="single" w:sz="4" w:space="0" w:color="auto"/>
            </w:tcBorders>
            <w:vAlign w:val="center"/>
          </w:tcPr>
          <w:p w14:paraId="0C533109" w14:textId="77777777" w:rsidR="00AE6CA1" w:rsidRPr="00616F4F" w:rsidRDefault="00AE6CA1" w:rsidP="00AE6CA1">
            <w:pPr>
              <w:rPr>
                <w:rFonts w:eastAsia="Times New Roman" w:cs="Arial"/>
                <w:b w:val="0"/>
                <w:color w:val="000000"/>
                <w:sz w:val="18"/>
                <w:szCs w:val="18"/>
              </w:rPr>
            </w:pPr>
            <w:r w:rsidRPr="00616F4F">
              <w:rPr>
                <w:rFonts w:cs="Arial"/>
                <w:b w:val="0"/>
                <w:sz w:val="18"/>
                <w:szCs w:val="18"/>
              </w:rPr>
              <w:t>Age</w:t>
            </w:r>
          </w:p>
        </w:tc>
        <w:tc>
          <w:tcPr>
            <w:tcW w:w="408" w:type="pct"/>
            <w:tcBorders>
              <w:top w:val="nil"/>
            </w:tcBorders>
            <w:noWrap/>
            <w:vAlign w:val="center"/>
            <w:hideMark/>
          </w:tcPr>
          <w:p w14:paraId="6E8CD64C"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79.07</w:t>
            </w:r>
          </w:p>
        </w:tc>
        <w:tc>
          <w:tcPr>
            <w:tcW w:w="459" w:type="pct"/>
            <w:tcBorders>
              <w:top w:val="nil"/>
              <w:right w:val="single" w:sz="4" w:space="0" w:color="auto"/>
            </w:tcBorders>
            <w:noWrap/>
            <w:vAlign w:val="center"/>
            <w:hideMark/>
          </w:tcPr>
          <w:p w14:paraId="2C060C02"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12.62</w:t>
            </w:r>
          </w:p>
        </w:tc>
        <w:tc>
          <w:tcPr>
            <w:tcW w:w="408" w:type="pct"/>
            <w:tcBorders>
              <w:top w:val="nil"/>
            </w:tcBorders>
            <w:noWrap/>
            <w:vAlign w:val="center"/>
            <w:hideMark/>
          </w:tcPr>
          <w:p w14:paraId="7F077FDD"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67.75</w:t>
            </w:r>
          </w:p>
        </w:tc>
        <w:tc>
          <w:tcPr>
            <w:tcW w:w="459" w:type="pct"/>
            <w:tcBorders>
              <w:top w:val="nil"/>
            </w:tcBorders>
            <w:noWrap/>
            <w:vAlign w:val="center"/>
            <w:hideMark/>
          </w:tcPr>
          <w:p w14:paraId="5DC14B00"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18.6</w:t>
            </w:r>
          </w:p>
        </w:tc>
        <w:tc>
          <w:tcPr>
            <w:tcW w:w="307" w:type="pct"/>
            <w:tcBorders>
              <w:top w:val="nil"/>
              <w:right w:val="single" w:sz="4" w:space="0" w:color="auto"/>
            </w:tcBorders>
            <w:vAlign w:val="center"/>
          </w:tcPr>
          <w:p w14:paraId="5B6739CE"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68</w:t>
            </w:r>
          </w:p>
        </w:tc>
        <w:tc>
          <w:tcPr>
            <w:tcW w:w="408" w:type="pct"/>
            <w:tcBorders>
              <w:top w:val="nil"/>
            </w:tcBorders>
            <w:noWrap/>
            <w:vAlign w:val="center"/>
            <w:hideMark/>
          </w:tcPr>
          <w:p w14:paraId="222188E0"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79.1</w:t>
            </w:r>
          </w:p>
        </w:tc>
        <w:tc>
          <w:tcPr>
            <w:tcW w:w="459" w:type="pct"/>
            <w:tcBorders>
              <w:top w:val="nil"/>
            </w:tcBorders>
            <w:noWrap/>
            <w:vAlign w:val="center"/>
            <w:hideMark/>
          </w:tcPr>
          <w:p w14:paraId="7B8CC892"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11.3</w:t>
            </w:r>
          </w:p>
        </w:tc>
        <w:tc>
          <w:tcPr>
            <w:tcW w:w="307" w:type="pct"/>
            <w:tcBorders>
              <w:top w:val="nil"/>
            </w:tcBorders>
            <w:vAlign w:val="center"/>
          </w:tcPr>
          <w:p w14:paraId="62F78904"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-1.7</w:t>
            </w:r>
          </w:p>
        </w:tc>
      </w:tr>
      <w:tr w:rsidR="00AE6CA1" w:rsidRPr="00616F4F" w14:paraId="4BA53DF8" w14:textId="77777777" w:rsidTr="00AE6CA1">
        <w:trPr>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left w:val="single" w:sz="4" w:space="0" w:color="auto"/>
              <w:right w:val="single" w:sz="4" w:space="0" w:color="auto"/>
            </w:tcBorders>
            <w:vAlign w:val="center"/>
          </w:tcPr>
          <w:p w14:paraId="1AF0D6E2" w14:textId="77777777" w:rsidR="00AE6CA1" w:rsidRPr="00616F4F" w:rsidRDefault="00AE6CA1" w:rsidP="001E2212">
            <w:pPr>
              <w:rPr>
                <w:rFonts w:eastAsia="Times New Roman" w:cs="Arial"/>
                <w:b w:val="0"/>
                <w:color w:val="000000"/>
                <w:sz w:val="18"/>
                <w:szCs w:val="18"/>
              </w:rPr>
            </w:pPr>
            <w:r w:rsidRPr="00616F4F">
              <w:rPr>
                <w:rFonts w:cs="Arial"/>
                <w:b w:val="0"/>
                <w:sz w:val="18"/>
                <w:szCs w:val="18"/>
              </w:rPr>
              <w:t>Sex of patient, 0: male 1: female</w:t>
            </w:r>
          </w:p>
        </w:tc>
        <w:tc>
          <w:tcPr>
            <w:tcW w:w="408" w:type="pct"/>
            <w:noWrap/>
            <w:vAlign w:val="center"/>
            <w:hideMark/>
          </w:tcPr>
          <w:p w14:paraId="24706934"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0.58</w:t>
            </w:r>
          </w:p>
        </w:tc>
        <w:tc>
          <w:tcPr>
            <w:tcW w:w="459" w:type="pct"/>
            <w:tcBorders>
              <w:right w:val="single" w:sz="4" w:space="0" w:color="auto"/>
            </w:tcBorders>
            <w:noWrap/>
            <w:vAlign w:val="center"/>
            <w:hideMark/>
          </w:tcPr>
          <w:p w14:paraId="0780C636"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0.49</w:t>
            </w:r>
          </w:p>
        </w:tc>
        <w:tc>
          <w:tcPr>
            <w:tcW w:w="408" w:type="pct"/>
            <w:noWrap/>
            <w:vAlign w:val="center"/>
            <w:hideMark/>
          </w:tcPr>
          <w:p w14:paraId="7240C2AE"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0.55</w:t>
            </w:r>
          </w:p>
        </w:tc>
        <w:tc>
          <w:tcPr>
            <w:tcW w:w="459" w:type="pct"/>
            <w:noWrap/>
            <w:vAlign w:val="center"/>
            <w:hideMark/>
          </w:tcPr>
          <w:p w14:paraId="39798ED6"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0.5</w:t>
            </w:r>
          </w:p>
        </w:tc>
        <w:tc>
          <w:tcPr>
            <w:tcW w:w="307" w:type="pct"/>
            <w:tcBorders>
              <w:right w:val="single" w:sz="4" w:space="0" w:color="auto"/>
            </w:tcBorders>
            <w:vAlign w:val="center"/>
          </w:tcPr>
          <w:p w14:paraId="07698AE0"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27.7</w:t>
            </w:r>
          </w:p>
        </w:tc>
        <w:tc>
          <w:tcPr>
            <w:tcW w:w="408" w:type="pct"/>
            <w:noWrap/>
            <w:vAlign w:val="center"/>
            <w:hideMark/>
          </w:tcPr>
          <w:p w14:paraId="770172C3"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0.57</w:t>
            </w:r>
          </w:p>
        </w:tc>
        <w:tc>
          <w:tcPr>
            <w:tcW w:w="459" w:type="pct"/>
            <w:noWrap/>
            <w:vAlign w:val="center"/>
            <w:hideMark/>
          </w:tcPr>
          <w:p w14:paraId="0D9C964F"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0.49</w:t>
            </w:r>
          </w:p>
        </w:tc>
        <w:tc>
          <w:tcPr>
            <w:tcW w:w="307" w:type="pct"/>
            <w:vAlign w:val="center"/>
          </w:tcPr>
          <w:p w14:paraId="4B3F04BA"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-0.4</w:t>
            </w:r>
          </w:p>
        </w:tc>
      </w:tr>
      <w:tr w:rsidR="00AE6CA1" w:rsidRPr="00616F4F" w14:paraId="0A296C44" w14:textId="77777777" w:rsidTr="00AE6CA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left w:val="single" w:sz="4" w:space="0" w:color="auto"/>
              <w:right w:val="single" w:sz="4" w:space="0" w:color="auto"/>
            </w:tcBorders>
            <w:vAlign w:val="center"/>
          </w:tcPr>
          <w:p w14:paraId="1D472A3D" w14:textId="77777777" w:rsidR="00AE6CA1" w:rsidRPr="00616F4F" w:rsidRDefault="00AE6CA1" w:rsidP="001E2212">
            <w:pPr>
              <w:rPr>
                <w:rFonts w:eastAsia="Times New Roman" w:cs="Arial"/>
                <w:b w:val="0"/>
                <w:color w:val="000000"/>
                <w:sz w:val="18"/>
                <w:szCs w:val="18"/>
              </w:rPr>
            </w:pPr>
            <w:r w:rsidRPr="00616F4F">
              <w:rPr>
                <w:rFonts w:cs="Arial"/>
                <w:b w:val="0"/>
                <w:sz w:val="18"/>
                <w:szCs w:val="18"/>
              </w:rPr>
              <w:t xml:space="preserve">Weighted </w:t>
            </w:r>
            <w:proofErr w:type="spellStart"/>
            <w:r w:rsidRPr="00616F4F">
              <w:rPr>
                <w:rFonts w:cs="Arial"/>
                <w:b w:val="0"/>
                <w:sz w:val="18"/>
                <w:szCs w:val="18"/>
              </w:rPr>
              <w:t>Charlson</w:t>
            </w:r>
            <w:proofErr w:type="spellEnd"/>
            <w:r w:rsidRPr="00616F4F">
              <w:rPr>
                <w:rFonts w:cs="Arial"/>
                <w:b w:val="0"/>
                <w:sz w:val="18"/>
                <w:szCs w:val="18"/>
              </w:rPr>
              <w:t xml:space="preserve"> Index</w:t>
            </w:r>
          </w:p>
        </w:tc>
        <w:tc>
          <w:tcPr>
            <w:tcW w:w="408" w:type="pct"/>
            <w:noWrap/>
            <w:vAlign w:val="center"/>
            <w:hideMark/>
          </w:tcPr>
          <w:p w14:paraId="4E2C2327"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1.98</w:t>
            </w:r>
          </w:p>
        </w:tc>
        <w:tc>
          <w:tcPr>
            <w:tcW w:w="459" w:type="pct"/>
            <w:tcBorders>
              <w:right w:val="single" w:sz="4" w:space="0" w:color="auto"/>
            </w:tcBorders>
            <w:noWrap/>
            <w:vAlign w:val="center"/>
            <w:hideMark/>
          </w:tcPr>
          <w:p w14:paraId="0E4D6377"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1.89</w:t>
            </w:r>
          </w:p>
        </w:tc>
        <w:tc>
          <w:tcPr>
            <w:tcW w:w="408" w:type="pct"/>
            <w:noWrap/>
            <w:vAlign w:val="center"/>
            <w:hideMark/>
          </w:tcPr>
          <w:p w14:paraId="49ED8CF8"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1.47</w:t>
            </w:r>
          </w:p>
        </w:tc>
        <w:tc>
          <w:tcPr>
            <w:tcW w:w="459" w:type="pct"/>
            <w:noWrap/>
            <w:vAlign w:val="center"/>
            <w:hideMark/>
          </w:tcPr>
          <w:p w14:paraId="3945DD89"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1.79</w:t>
            </w:r>
          </w:p>
        </w:tc>
        <w:tc>
          <w:tcPr>
            <w:tcW w:w="307" w:type="pct"/>
            <w:tcBorders>
              <w:right w:val="single" w:sz="4" w:space="0" w:color="auto"/>
            </w:tcBorders>
            <w:vAlign w:val="center"/>
          </w:tcPr>
          <w:p w14:paraId="4850A9A2"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82.5</w:t>
            </w:r>
          </w:p>
        </w:tc>
        <w:tc>
          <w:tcPr>
            <w:tcW w:w="408" w:type="pct"/>
            <w:noWrap/>
            <w:vAlign w:val="center"/>
            <w:hideMark/>
          </w:tcPr>
          <w:p w14:paraId="59889606"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1.98</w:t>
            </w:r>
          </w:p>
        </w:tc>
        <w:tc>
          <w:tcPr>
            <w:tcW w:w="459" w:type="pct"/>
            <w:noWrap/>
            <w:vAlign w:val="center"/>
            <w:hideMark/>
          </w:tcPr>
          <w:p w14:paraId="67F04CC7"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1.91</w:t>
            </w:r>
          </w:p>
        </w:tc>
        <w:tc>
          <w:tcPr>
            <w:tcW w:w="307" w:type="pct"/>
            <w:vAlign w:val="center"/>
          </w:tcPr>
          <w:p w14:paraId="08BE5E04"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1.9</w:t>
            </w:r>
          </w:p>
        </w:tc>
      </w:tr>
      <w:tr w:rsidR="00AE6CA1" w:rsidRPr="00616F4F" w14:paraId="268AB5BF" w14:textId="77777777" w:rsidTr="00AE6CA1">
        <w:trPr>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left w:val="single" w:sz="4" w:space="0" w:color="auto"/>
              <w:right w:val="single" w:sz="4" w:space="0" w:color="auto"/>
            </w:tcBorders>
            <w:vAlign w:val="center"/>
          </w:tcPr>
          <w:p w14:paraId="722B11A4" w14:textId="77777777" w:rsidR="00AE6CA1" w:rsidRPr="00616F4F" w:rsidRDefault="00AE6CA1" w:rsidP="001E2212">
            <w:pPr>
              <w:rPr>
                <w:rFonts w:eastAsia="Times New Roman" w:cs="Arial"/>
                <w:b w:val="0"/>
                <w:color w:val="000000"/>
                <w:sz w:val="18"/>
                <w:szCs w:val="18"/>
              </w:rPr>
            </w:pPr>
            <w:r w:rsidRPr="00616F4F">
              <w:rPr>
                <w:rFonts w:cs="Arial"/>
                <w:b w:val="0"/>
                <w:sz w:val="18"/>
                <w:szCs w:val="18"/>
              </w:rPr>
              <w:t>Index of multiple deprivation</w:t>
            </w:r>
          </w:p>
        </w:tc>
        <w:tc>
          <w:tcPr>
            <w:tcW w:w="408" w:type="pct"/>
            <w:noWrap/>
            <w:vAlign w:val="center"/>
            <w:hideMark/>
          </w:tcPr>
          <w:p w14:paraId="7950AF78"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23.35</w:t>
            </w:r>
          </w:p>
        </w:tc>
        <w:tc>
          <w:tcPr>
            <w:tcW w:w="459" w:type="pct"/>
            <w:tcBorders>
              <w:right w:val="single" w:sz="4" w:space="0" w:color="auto"/>
            </w:tcBorders>
            <w:noWrap/>
            <w:vAlign w:val="center"/>
            <w:hideMark/>
          </w:tcPr>
          <w:p w14:paraId="27688834"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15.97</w:t>
            </w:r>
          </w:p>
        </w:tc>
        <w:tc>
          <w:tcPr>
            <w:tcW w:w="408" w:type="pct"/>
            <w:noWrap/>
            <w:vAlign w:val="center"/>
            <w:hideMark/>
          </w:tcPr>
          <w:p w14:paraId="703E053C"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23.5</w:t>
            </w:r>
          </w:p>
        </w:tc>
        <w:tc>
          <w:tcPr>
            <w:tcW w:w="459" w:type="pct"/>
            <w:noWrap/>
            <w:vAlign w:val="center"/>
            <w:hideMark/>
          </w:tcPr>
          <w:p w14:paraId="165BC08A"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16.31</w:t>
            </w:r>
          </w:p>
        </w:tc>
        <w:tc>
          <w:tcPr>
            <w:tcW w:w="307" w:type="pct"/>
            <w:tcBorders>
              <w:right w:val="single" w:sz="4" w:space="0" w:color="auto"/>
            </w:tcBorders>
            <w:vAlign w:val="center"/>
          </w:tcPr>
          <w:p w14:paraId="58F63DC8"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-0.8</w:t>
            </w:r>
          </w:p>
        </w:tc>
        <w:tc>
          <w:tcPr>
            <w:tcW w:w="408" w:type="pct"/>
            <w:noWrap/>
            <w:vAlign w:val="center"/>
            <w:hideMark/>
          </w:tcPr>
          <w:p w14:paraId="79ACFEB7"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23.44</w:t>
            </w:r>
          </w:p>
        </w:tc>
        <w:tc>
          <w:tcPr>
            <w:tcW w:w="459" w:type="pct"/>
            <w:noWrap/>
            <w:vAlign w:val="center"/>
            <w:hideMark/>
          </w:tcPr>
          <w:p w14:paraId="7CB4A33F"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16.39</w:t>
            </w:r>
          </w:p>
        </w:tc>
        <w:tc>
          <w:tcPr>
            <w:tcW w:w="307" w:type="pct"/>
            <w:vAlign w:val="center"/>
          </w:tcPr>
          <w:p w14:paraId="38E78FF6"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-0.4</w:t>
            </w:r>
          </w:p>
        </w:tc>
      </w:tr>
      <w:tr w:rsidR="00AE6CA1" w:rsidRPr="00616F4F" w14:paraId="526EF485" w14:textId="77777777" w:rsidTr="00AE6CA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left w:val="single" w:sz="4" w:space="0" w:color="auto"/>
              <w:right w:val="single" w:sz="4" w:space="0" w:color="auto"/>
            </w:tcBorders>
            <w:vAlign w:val="center"/>
          </w:tcPr>
          <w:p w14:paraId="326B3103" w14:textId="77777777" w:rsidR="00AE6CA1" w:rsidRPr="00616F4F" w:rsidRDefault="00AE6CA1" w:rsidP="001E2212">
            <w:pPr>
              <w:rPr>
                <w:rFonts w:eastAsia="Times New Roman" w:cs="Arial"/>
                <w:b w:val="0"/>
                <w:color w:val="000000"/>
                <w:sz w:val="18"/>
                <w:szCs w:val="18"/>
              </w:rPr>
            </w:pPr>
            <w:r w:rsidRPr="00616F4F">
              <w:rPr>
                <w:rFonts w:cs="Arial"/>
                <w:b w:val="0"/>
                <w:sz w:val="18"/>
                <w:szCs w:val="18"/>
              </w:rPr>
              <w:t>Number of diagnoses in patient record (excl. PSI codes)</w:t>
            </w:r>
          </w:p>
        </w:tc>
        <w:tc>
          <w:tcPr>
            <w:tcW w:w="408" w:type="pct"/>
            <w:noWrap/>
            <w:vAlign w:val="center"/>
            <w:hideMark/>
          </w:tcPr>
          <w:p w14:paraId="554404A6"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8.31</w:t>
            </w:r>
          </w:p>
        </w:tc>
        <w:tc>
          <w:tcPr>
            <w:tcW w:w="459" w:type="pct"/>
            <w:tcBorders>
              <w:right w:val="single" w:sz="4" w:space="0" w:color="auto"/>
            </w:tcBorders>
            <w:noWrap/>
            <w:vAlign w:val="center"/>
            <w:hideMark/>
          </w:tcPr>
          <w:p w14:paraId="2D7335DD"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3.1</w:t>
            </w:r>
          </w:p>
        </w:tc>
        <w:tc>
          <w:tcPr>
            <w:tcW w:w="408" w:type="pct"/>
            <w:noWrap/>
            <w:vAlign w:val="center"/>
            <w:hideMark/>
          </w:tcPr>
          <w:p w14:paraId="37E625CB"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5.73</w:t>
            </w:r>
          </w:p>
        </w:tc>
        <w:tc>
          <w:tcPr>
            <w:tcW w:w="459" w:type="pct"/>
            <w:noWrap/>
            <w:vAlign w:val="center"/>
            <w:hideMark/>
          </w:tcPr>
          <w:p w14:paraId="1344B3AA"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3.18</w:t>
            </w:r>
          </w:p>
        </w:tc>
        <w:tc>
          <w:tcPr>
            <w:tcW w:w="307" w:type="pct"/>
            <w:tcBorders>
              <w:right w:val="single" w:sz="4" w:space="0" w:color="auto"/>
            </w:tcBorders>
            <w:vAlign w:val="center"/>
          </w:tcPr>
          <w:p w14:paraId="4DAD4F35"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-5</w:t>
            </w:r>
          </w:p>
        </w:tc>
        <w:tc>
          <w:tcPr>
            <w:tcW w:w="408" w:type="pct"/>
            <w:noWrap/>
            <w:vAlign w:val="center"/>
            <w:hideMark/>
          </w:tcPr>
          <w:p w14:paraId="0CC484EA"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8.23</w:t>
            </w:r>
          </w:p>
        </w:tc>
        <w:tc>
          <w:tcPr>
            <w:tcW w:w="459" w:type="pct"/>
            <w:noWrap/>
            <w:vAlign w:val="center"/>
            <w:hideMark/>
          </w:tcPr>
          <w:p w14:paraId="6A2BC49F"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3.24</w:t>
            </w:r>
          </w:p>
        </w:tc>
        <w:tc>
          <w:tcPr>
            <w:tcW w:w="307" w:type="pct"/>
            <w:vAlign w:val="center"/>
          </w:tcPr>
          <w:p w14:paraId="2C22E9C5"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0.2</w:t>
            </w:r>
          </w:p>
        </w:tc>
      </w:tr>
      <w:tr w:rsidR="00AE6CA1" w:rsidRPr="00616F4F" w14:paraId="54FB6A8F" w14:textId="77777777" w:rsidTr="00AE6CA1">
        <w:trPr>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left w:val="single" w:sz="4" w:space="0" w:color="auto"/>
              <w:right w:val="single" w:sz="4" w:space="0" w:color="auto"/>
            </w:tcBorders>
            <w:vAlign w:val="center"/>
          </w:tcPr>
          <w:p w14:paraId="05A776E0" w14:textId="77777777" w:rsidR="00AE6CA1" w:rsidRPr="00616F4F" w:rsidRDefault="00AE6CA1" w:rsidP="001E2212">
            <w:pPr>
              <w:rPr>
                <w:rFonts w:eastAsia="Times New Roman" w:cs="Arial"/>
                <w:b w:val="0"/>
                <w:color w:val="000000"/>
                <w:sz w:val="18"/>
                <w:szCs w:val="18"/>
              </w:rPr>
            </w:pPr>
            <w:r w:rsidRPr="00616F4F">
              <w:rPr>
                <w:rFonts w:cs="Arial"/>
                <w:b w:val="0"/>
                <w:sz w:val="18"/>
                <w:szCs w:val="18"/>
              </w:rPr>
              <w:t>Medical and dental staff WTE</w:t>
            </w:r>
          </w:p>
        </w:tc>
        <w:tc>
          <w:tcPr>
            <w:tcW w:w="408" w:type="pct"/>
            <w:noWrap/>
            <w:vAlign w:val="center"/>
            <w:hideMark/>
          </w:tcPr>
          <w:p w14:paraId="048819B7"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592.2</w:t>
            </w:r>
          </w:p>
        </w:tc>
        <w:tc>
          <w:tcPr>
            <w:tcW w:w="459" w:type="pct"/>
            <w:tcBorders>
              <w:right w:val="single" w:sz="4" w:space="0" w:color="auto"/>
            </w:tcBorders>
            <w:noWrap/>
            <w:vAlign w:val="center"/>
            <w:hideMark/>
          </w:tcPr>
          <w:p w14:paraId="744F26A4"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354.5</w:t>
            </w:r>
          </w:p>
        </w:tc>
        <w:tc>
          <w:tcPr>
            <w:tcW w:w="408" w:type="pct"/>
            <w:noWrap/>
            <w:vAlign w:val="center"/>
            <w:hideMark/>
          </w:tcPr>
          <w:p w14:paraId="1B8A6561"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627.92</w:t>
            </w:r>
          </w:p>
        </w:tc>
        <w:tc>
          <w:tcPr>
            <w:tcW w:w="459" w:type="pct"/>
            <w:noWrap/>
            <w:vAlign w:val="center"/>
            <w:hideMark/>
          </w:tcPr>
          <w:p w14:paraId="27600132"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385.79</w:t>
            </w:r>
          </w:p>
        </w:tc>
        <w:tc>
          <w:tcPr>
            <w:tcW w:w="307" w:type="pct"/>
            <w:tcBorders>
              <w:right w:val="single" w:sz="4" w:space="0" w:color="auto"/>
            </w:tcBorders>
            <w:vAlign w:val="center"/>
          </w:tcPr>
          <w:p w14:paraId="291AB588"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-10.3</w:t>
            </w:r>
          </w:p>
        </w:tc>
        <w:tc>
          <w:tcPr>
            <w:tcW w:w="408" w:type="pct"/>
            <w:noWrap/>
            <w:vAlign w:val="center"/>
            <w:hideMark/>
          </w:tcPr>
          <w:p w14:paraId="00B2D822"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593.33</w:t>
            </w:r>
          </w:p>
        </w:tc>
        <w:tc>
          <w:tcPr>
            <w:tcW w:w="459" w:type="pct"/>
            <w:noWrap/>
            <w:vAlign w:val="center"/>
            <w:hideMark/>
          </w:tcPr>
          <w:p w14:paraId="681A4CE4"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357.1</w:t>
            </w:r>
          </w:p>
        </w:tc>
        <w:tc>
          <w:tcPr>
            <w:tcW w:w="307" w:type="pct"/>
            <w:vAlign w:val="center"/>
          </w:tcPr>
          <w:p w14:paraId="5404BE0A"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0.3</w:t>
            </w:r>
          </w:p>
        </w:tc>
      </w:tr>
      <w:tr w:rsidR="00AE6CA1" w:rsidRPr="00616F4F" w14:paraId="3926721D" w14:textId="77777777" w:rsidTr="00AE6CA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left w:val="single" w:sz="4" w:space="0" w:color="auto"/>
              <w:right w:val="single" w:sz="4" w:space="0" w:color="auto"/>
            </w:tcBorders>
            <w:vAlign w:val="center"/>
          </w:tcPr>
          <w:p w14:paraId="4C33E37D" w14:textId="77777777" w:rsidR="00AE6CA1" w:rsidRPr="00616F4F" w:rsidRDefault="00AE6CA1" w:rsidP="001E2212">
            <w:pPr>
              <w:rPr>
                <w:rFonts w:eastAsia="Times New Roman" w:cs="Arial"/>
                <w:b w:val="0"/>
                <w:color w:val="000000"/>
                <w:sz w:val="18"/>
                <w:szCs w:val="18"/>
              </w:rPr>
            </w:pPr>
            <w:r w:rsidRPr="00616F4F">
              <w:rPr>
                <w:rFonts w:cs="Arial"/>
                <w:b w:val="0"/>
                <w:sz w:val="18"/>
                <w:szCs w:val="18"/>
              </w:rPr>
              <w:t>Nursing, midwifery and health visiting staff WTE</w:t>
            </w:r>
          </w:p>
        </w:tc>
        <w:tc>
          <w:tcPr>
            <w:tcW w:w="408" w:type="pct"/>
            <w:noWrap/>
            <w:vAlign w:val="center"/>
            <w:hideMark/>
          </w:tcPr>
          <w:p w14:paraId="7DAB0FB1"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1497.18</w:t>
            </w:r>
          </w:p>
        </w:tc>
        <w:tc>
          <w:tcPr>
            <w:tcW w:w="459" w:type="pct"/>
            <w:tcBorders>
              <w:right w:val="single" w:sz="4" w:space="0" w:color="auto"/>
            </w:tcBorders>
            <w:noWrap/>
            <w:vAlign w:val="center"/>
            <w:hideMark/>
          </w:tcPr>
          <w:p w14:paraId="2685FEFA"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796.16</w:t>
            </w:r>
          </w:p>
        </w:tc>
        <w:tc>
          <w:tcPr>
            <w:tcW w:w="408" w:type="pct"/>
            <w:noWrap/>
            <w:vAlign w:val="center"/>
            <w:hideMark/>
          </w:tcPr>
          <w:p w14:paraId="7D937217"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1587.42</w:t>
            </w:r>
          </w:p>
        </w:tc>
        <w:tc>
          <w:tcPr>
            <w:tcW w:w="459" w:type="pct"/>
            <w:noWrap/>
            <w:vAlign w:val="center"/>
            <w:hideMark/>
          </w:tcPr>
          <w:p w14:paraId="1C8CE22E"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825.71</w:t>
            </w:r>
          </w:p>
        </w:tc>
        <w:tc>
          <w:tcPr>
            <w:tcW w:w="307" w:type="pct"/>
            <w:tcBorders>
              <w:right w:val="single" w:sz="4" w:space="0" w:color="auto"/>
            </w:tcBorders>
            <w:vAlign w:val="center"/>
          </w:tcPr>
          <w:p w14:paraId="63CDC212"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-3.4</w:t>
            </w:r>
          </w:p>
        </w:tc>
        <w:tc>
          <w:tcPr>
            <w:tcW w:w="408" w:type="pct"/>
            <w:noWrap/>
            <w:vAlign w:val="center"/>
            <w:hideMark/>
          </w:tcPr>
          <w:p w14:paraId="679B11B1"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1498.11</w:t>
            </w:r>
          </w:p>
        </w:tc>
        <w:tc>
          <w:tcPr>
            <w:tcW w:w="459" w:type="pct"/>
            <w:noWrap/>
            <w:vAlign w:val="center"/>
            <w:hideMark/>
          </w:tcPr>
          <w:p w14:paraId="43029562"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793.5</w:t>
            </w:r>
          </w:p>
        </w:tc>
        <w:tc>
          <w:tcPr>
            <w:tcW w:w="307" w:type="pct"/>
            <w:vAlign w:val="center"/>
          </w:tcPr>
          <w:p w14:paraId="5529A186"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0.3</w:t>
            </w:r>
          </w:p>
        </w:tc>
      </w:tr>
      <w:tr w:rsidR="00AE6CA1" w:rsidRPr="00616F4F" w14:paraId="71797ED5" w14:textId="77777777" w:rsidTr="00AE6CA1">
        <w:trPr>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left w:val="single" w:sz="4" w:space="0" w:color="auto"/>
              <w:right w:val="single" w:sz="4" w:space="0" w:color="auto"/>
            </w:tcBorders>
            <w:vAlign w:val="center"/>
          </w:tcPr>
          <w:p w14:paraId="12F4939C" w14:textId="77777777" w:rsidR="00AE6CA1" w:rsidRPr="00616F4F" w:rsidRDefault="00AE6CA1" w:rsidP="001E2212">
            <w:pPr>
              <w:rPr>
                <w:rFonts w:eastAsia="Times New Roman" w:cs="Arial"/>
                <w:b w:val="0"/>
                <w:color w:val="000000"/>
                <w:sz w:val="18"/>
                <w:szCs w:val="18"/>
              </w:rPr>
            </w:pPr>
            <w:r w:rsidRPr="00616F4F">
              <w:rPr>
                <w:rFonts w:cs="Arial"/>
                <w:b w:val="0"/>
                <w:sz w:val="18"/>
                <w:szCs w:val="18"/>
              </w:rPr>
              <w:t>Average number of available beds</w:t>
            </w:r>
          </w:p>
        </w:tc>
        <w:tc>
          <w:tcPr>
            <w:tcW w:w="408" w:type="pct"/>
            <w:noWrap/>
            <w:vAlign w:val="center"/>
            <w:hideMark/>
          </w:tcPr>
          <w:p w14:paraId="4BCF8FAD"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820.41</w:t>
            </w:r>
          </w:p>
        </w:tc>
        <w:tc>
          <w:tcPr>
            <w:tcW w:w="459" w:type="pct"/>
            <w:tcBorders>
              <w:right w:val="single" w:sz="4" w:space="0" w:color="auto"/>
            </w:tcBorders>
            <w:noWrap/>
            <w:vAlign w:val="center"/>
            <w:hideMark/>
          </w:tcPr>
          <w:p w14:paraId="74C7CF0A"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411.56</w:t>
            </w:r>
          </w:p>
        </w:tc>
        <w:tc>
          <w:tcPr>
            <w:tcW w:w="408" w:type="pct"/>
            <w:noWrap/>
            <w:vAlign w:val="center"/>
            <w:hideMark/>
          </w:tcPr>
          <w:p w14:paraId="305EA1C1"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848.16</w:t>
            </w:r>
          </w:p>
        </w:tc>
        <w:tc>
          <w:tcPr>
            <w:tcW w:w="459" w:type="pct"/>
            <w:noWrap/>
            <w:vAlign w:val="center"/>
            <w:hideMark/>
          </w:tcPr>
          <w:p w14:paraId="39702AFA"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419.13</w:t>
            </w:r>
          </w:p>
        </w:tc>
        <w:tc>
          <w:tcPr>
            <w:tcW w:w="307" w:type="pct"/>
            <w:tcBorders>
              <w:right w:val="single" w:sz="4" w:space="0" w:color="auto"/>
            </w:tcBorders>
            <w:vAlign w:val="center"/>
          </w:tcPr>
          <w:p w14:paraId="1F2D85B3"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6.5</w:t>
            </w:r>
          </w:p>
        </w:tc>
        <w:tc>
          <w:tcPr>
            <w:tcW w:w="408" w:type="pct"/>
            <w:noWrap/>
            <w:vAlign w:val="center"/>
            <w:hideMark/>
          </w:tcPr>
          <w:p w14:paraId="306EE571"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819.18</w:t>
            </w:r>
          </w:p>
        </w:tc>
        <w:tc>
          <w:tcPr>
            <w:tcW w:w="459" w:type="pct"/>
            <w:noWrap/>
            <w:vAlign w:val="center"/>
            <w:hideMark/>
          </w:tcPr>
          <w:p w14:paraId="2964E97B"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405.3</w:t>
            </w:r>
          </w:p>
        </w:tc>
        <w:tc>
          <w:tcPr>
            <w:tcW w:w="307" w:type="pct"/>
            <w:vAlign w:val="center"/>
          </w:tcPr>
          <w:p w14:paraId="1F5DEDD3"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-0.1</w:t>
            </w:r>
          </w:p>
        </w:tc>
      </w:tr>
      <w:tr w:rsidR="00AE6CA1" w:rsidRPr="00616F4F" w14:paraId="38D5E4EF" w14:textId="77777777" w:rsidTr="00AE6CA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left w:val="single" w:sz="4" w:space="0" w:color="auto"/>
              <w:right w:val="single" w:sz="4" w:space="0" w:color="auto"/>
            </w:tcBorders>
            <w:vAlign w:val="center"/>
          </w:tcPr>
          <w:p w14:paraId="5D03A0A5" w14:textId="77777777" w:rsidR="00AE6CA1" w:rsidRPr="00616F4F" w:rsidRDefault="00AE6CA1" w:rsidP="001E2212">
            <w:pPr>
              <w:rPr>
                <w:rFonts w:eastAsia="Times New Roman" w:cs="Arial"/>
                <w:b w:val="0"/>
                <w:color w:val="000000"/>
                <w:sz w:val="18"/>
                <w:szCs w:val="18"/>
              </w:rPr>
            </w:pPr>
            <w:r w:rsidRPr="00616F4F">
              <w:rPr>
                <w:rFonts w:cs="Arial"/>
                <w:b w:val="0"/>
                <w:sz w:val="18"/>
                <w:szCs w:val="18"/>
              </w:rPr>
              <w:t>Average bed occupancy rate</w:t>
            </w:r>
          </w:p>
        </w:tc>
        <w:tc>
          <w:tcPr>
            <w:tcW w:w="408" w:type="pct"/>
            <w:noWrap/>
            <w:vAlign w:val="center"/>
            <w:hideMark/>
          </w:tcPr>
          <w:p w14:paraId="6F36D01A"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86.96</w:t>
            </w:r>
          </w:p>
        </w:tc>
        <w:tc>
          <w:tcPr>
            <w:tcW w:w="459" w:type="pct"/>
            <w:tcBorders>
              <w:right w:val="single" w:sz="4" w:space="0" w:color="auto"/>
            </w:tcBorders>
            <w:noWrap/>
            <w:vAlign w:val="center"/>
            <w:hideMark/>
          </w:tcPr>
          <w:p w14:paraId="24DA6072"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5.58</w:t>
            </w:r>
          </w:p>
        </w:tc>
        <w:tc>
          <w:tcPr>
            <w:tcW w:w="408" w:type="pct"/>
            <w:noWrap/>
            <w:vAlign w:val="center"/>
            <w:hideMark/>
          </w:tcPr>
          <w:p w14:paraId="68B2B793"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86.57</w:t>
            </w:r>
          </w:p>
        </w:tc>
        <w:tc>
          <w:tcPr>
            <w:tcW w:w="459" w:type="pct"/>
            <w:noWrap/>
            <w:vAlign w:val="center"/>
            <w:hideMark/>
          </w:tcPr>
          <w:p w14:paraId="2B396B27"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6.59</w:t>
            </w:r>
          </w:p>
        </w:tc>
        <w:tc>
          <w:tcPr>
            <w:tcW w:w="307" w:type="pct"/>
            <w:tcBorders>
              <w:right w:val="single" w:sz="4" w:space="0" w:color="auto"/>
            </w:tcBorders>
            <w:vAlign w:val="center"/>
          </w:tcPr>
          <w:p w14:paraId="54D08E75"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6.2</w:t>
            </w:r>
          </w:p>
        </w:tc>
        <w:tc>
          <w:tcPr>
            <w:tcW w:w="408" w:type="pct"/>
            <w:noWrap/>
            <w:vAlign w:val="center"/>
            <w:hideMark/>
          </w:tcPr>
          <w:p w14:paraId="5FF60FCB"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86.95</w:t>
            </w:r>
          </w:p>
        </w:tc>
        <w:tc>
          <w:tcPr>
            <w:tcW w:w="459" w:type="pct"/>
            <w:noWrap/>
            <w:vAlign w:val="center"/>
            <w:hideMark/>
          </w:tcPr>
          <w:p w14:paraId="7DC8D128"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5.6</w:t>
            </w:r>
          </w:p>
        </w:tc>
        <w:tc>
          <w:tcPr>
            <w:tcW w:w="307" w:type="pct"/>
            <w:vAlign w:val="center"/>
          </w:tcPr>
          <w:p w14:paraId="1C0CF9BF" w14:textId="77777777" w:rsidR="00AE6CA1" w:rsidRPr="00616F4F" w:rsidRDefault="00AE6CA1" w:rsidP="001E221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0.6</w:t>
            </w:r>
          </w:p>
        </w:tc>
      </w:tr>
      <w:tr w:rsidR="00AE6CA1" w:rsidRPr="00616F4F" w14:paraId="387AC97F" w14:textId="77777777" w:rsidTr="00AE6CA1">
        <w:trPr>
          <w:trHeight w:hRule="exact" w:val="284"/>
        </w:trPr>
        <w:tc>
          <w:tcPr>
            <w:cnfStyle w:val="001000000000" w:firstRow="0" w:lastRow="0" w:firstColumn="1" w:lastColumn="0" w:oddVBand="0" w:evenVBand="0" w:oddHBand="0" w:evenHBand="0" w:firstRowFirstColumn="0" w:firstRowLastColumn="0" w:lastRowFirstColumn="0" w:lastRowLastColumn="0"/>
            <w:tcW w:w="1786" w:type="pct"/>
            <w:tcBorders>
              <w:left w:val="single" w:sz="4" w:space="0" w:color="auto"/>
              <w:bottom w:val="single" w:sz="4" w:space="0" w:color="auto"/>
              <w:right w:val="single" w:sz="4" w:space="0" w:color="auto"/>
            </w:tcBorders>
            <w:vAlign w:val="center"/>
          </w:tcPr>
          <w:p w14:paraId="00BC88C8" w14:textId="77777777" w:rsidR="00AE6CA1" w:rsidRPr="00616F4F" w:rsidRDefault="00AE6CA1" w:rsidP="008125C6">
            <w:pPr>
              <w:rPr>
                <w:rFonts w:eastAsia="Times New Roman" w:cs="Arial"/>
                <w:b w:val="0"/>
                <w:color w:val="000000"/>
                <w:sz w:val="18"/>
                <w:szCs w:val="18"/>
              </w:rPr>
            </w:pPr>
            <w:r w:rsidRPr="00616F4F">
              <w:rPr>
                <w:rFonts w:cs="Arial"/>
                <w:b w:val="0"/>
                <w:sz w:val="18"/>
                <w:szCs w:val="18"/>
              </w:rPr>
              <w:t>Teaching status, 0: non-teaching, 1: teaching</w:t>
            </w:r>
          </w:p>
        </w:tc>
        <w:tc>
          <w:tcPr>
            <w:tcW w:w="408" w:type="pct"/>
            <w:tcBorders>
              <w:bottom w:val="single" w:sz="4" w:space="0" w:color="auto"/>
            </w:tcBorders>
            <w:noWrap/>
            <w:vAlign w:val="center"/>
            <w:hideMark/>
          </w:tcPr>
          <w:p w14:paraId="5BD81FF8"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0.41</w:t>
            </w:r>
          </w:p>
        </w:tc>
        <w:tc>
          <w:tcPr>
            <w:tcW w:w="459" w:type="pct"/>
            <w:tcBorders>
              <w:bottom w:val="single" w:sz="4" w:space="0" w:color="auto"/>
              <w:right w:val="single" w:sz="4" w:space="0" w:color="auto"/>
            </w:tcBorders>
            <w:noWrap/>
            <w:vAlign w:val="center"/>
            <w:hideMark/>
          </w:tcPr>
          <w:p w14:paraId="0D4F5998"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0.49</w:t>
            </w:r>
          </w:p>
        </w:tc>
        <w:tc>
          <w:tcPr>
            <w:tcW w:w="408" w:type="pct"/>
            <w:tcBorders>
              <w:bottom w:val="single" w:sz="4" w:space="0" w:color="auto"/>
            </w:tcBorders>
            <w:noWrap/>
            <w:vAlign w:val="center"/>
            <w:hideMark/>
          </w:tcPr>
          <w:p w14:paraId="382CDBC2"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0.42</w:t>
            </w:r>
          </w:p>
        </w:tc>
        <w:tc>
          <w:tcPr>
            <w:tcW w:w="459" w:type="pct"/>
            <w:tcBorders>
              <w:bottom w:val="single" w:sz="4" w:space="0" w:color="auto"/>
            </w:tcBorders>
            <w:noWrap/>
            <w:vAlign w:val="center"/>
            <w:hideMark/>
          </w:tcPr>
          <w:p w14:paraId="2BF77C84"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0.49</w:t>
            </w:r>
          </w:p>
        </w:tc>
        <w:tc>
          <w:tcPr>
            <w:tcW w:w="307" w:type="pct"/>
            <w:tcBorders>
              <w:bottom w:val="single" w:sz="4" w:space="0" w:color="auto"/>
              <w:right w:val="single" w:sz="4" w:space="0" w:color="auto"/>
            </w:tcBorders>
            <w:vAlign w:val="center"/>
          </w:tcPr>
          <w:p w14:paraId="5070A207"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-2.5</w:t>
            </w:r>
          </w:p>
        </w:tc>
        <w:tc>
          <w:tcPr>
            <w:tcW w:w="408" w:type="pct"/>
            <w:tcBorders>
              <w:bottom w:val="single" w:sz="4" w:space="0" w:color="auto"/>
            </w:tcBorders>
            <w:noWrap/>
            <w:vAlign w:val="center"/>
            <w:hideMark/>
          </w:tcPr>
          <w:p w14:paraId="0C04CABA"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0.41</w:t>
            </w:r>
          </w:p>
        </w:tc>
        <w:tc>
          <w:tcPr>
            <w:tcW w:w="459" w:type="pct"/>
            <w:tcBorders>
              <w:bottom w:val="single" w:sz="4" w:space="0" w:color="auto"/>
            </w:tcBorders>
            <w:noWrap/>
            <w:vAlign w:val="center"/>
            <w:hideMark/>
          </w:tcPr>
          <w:p w14:paraId="2EE1EF6E"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0.49</w:t>
            </w:r>
          </w:p>
        </w:tc>
        <w:tc>
          <w:tcPr>
            <w:tcW w:w="307" w:type="pct"/>
            <w:tcBorders>
              <w:bottom w:val="single" w:sz="4" w:space="0" w:color="auto"/>
            </w:tcBorders>
            <w:vAlign w:val="center"/>
          </w:tcPr>
          <w:p w14:paraId="2CAB08BB" w14:textId="77777777" w:rsidR="00AE6CA1" w:rsidRPr="00616F4F" w:rsidRDefault="00AE6CA1" w:rsidP="001E221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cs="Arial"/>
                <w:color w:val="000000"/>
                <w:sz w:val="18"/>
                <w:szCs w:val="18"/>
              </w:rPr>
              <w:t>0.5</w:t>
            </w:r>
          </w:p>
        </w:tc>
      </w:tr>
    </w:tbl>
    <w:p w14:paraId="5990E5A0" w14:textId="77777777" w:rsidR="00AE6CA1" w:rsidRPr="00616F4F" w:rsidRDefault="00AE6CA1" w:rsidP="00AE6CA1">
      <w:pPr>
        <w:spacing w:after="0" w:line="240" w:lineRule="auto"/>
        <w:rPr>
          <w:rFonts w:eastAsia="Times New Roman" w:cs="Arial"/>
          <w:b/>
          <w:bCs/>
          <w:color w:val="000000"/>
          <w:sz w:val="18"/>
          <w:szCs w:val="18"/>
          <w:lang w:eastAsia="en-US"/>
        </w:rPr>
      </w:pPr>
    </w:p>
    <w:p w14:paraId="26C618D2" w14:textId="77777777" w:rsidR="00436537" w:rsidRPr="00616F4F" w:rsidRDefault="00436537">
      <w:pPr>
        <w:spacing w:after="160" w:line="259" w:lineRule="auto"/>
        <w:rPr>
          <w:rFonts w:cs="Arial"/>
          <w:sz w:val="18"/>
          <w:szCs w:val="18"/>
        </w:rPr>
      </w:pPr>
      <w:r w:rsidRPr="00616F4F">
        <w:rPr>
          <w:rFonts w:cs="Arial"/>
          <w:sz w:val="18"/>
          <w:szCs w:val="18"/>
        </w:rPr>
        <w:br w:type="page"/>
      </w:r>
    </w:p>
    <w:p w14:paraId="27256AD6" w14:textId="1BBD304E" w:rsidR="00436537" w:rsidRPr="00E2486B" w:rsidRDefault="00436537" w:rsidP="00E2486B">
      <w:pPr>
        <w:rPr>
          <w:b/>
        </w:rPr>
      </w:pPr>
      <w:r w:rsidRPr="00E2486B">
        <w:rPr>
          <w:b/>
        </w:rPr>
        <w:lastRenderedPageBreak/>
        <w:t xml:space="preserve">Table </w:t>
      </w:r>
      <w:r w:rsidR="00635E43" w:rsidRPr="00E2486B">
        <w:rPr>
          <w:b/>
        </w:rPr>
        <w:t>SDC</w:t>
      </w:r>
      <w:r w:rsidR="0041235B" w:rsidRPr="00E2486B">
        <w:rPr>
          <w:b/>
        </w:rPr>
        <w:t>3</w:t>
      </w:r>
      <w:r w:rsidR="00904FCA" w:rsidRPr="00E2486B">
        <w:rPr>
          <w:b/>
        </w:rPr>
        <w:t>c</w:t>
      </w:r>
      <w:r w:rsidRPr="00E2486B">
        <w:rPr>
          <w:b/>
        </w:rPr>
        <w:t xml:space="preserve">: Central Line Infections, year 2009/10 </w:t>
      </w:r>
    </w:p>
    <w:p w14:paraId="61805228" w14:textId="77777777" w:rsidR="00AE6CA1" w:rsidRPr="00616F4F" w:rsidRDefault="00AE6CA1" w:rsidP="00AE6CA1">
      <w:pPr>
        <w:rPr>
          <w:rFonts w:cs="Arial"/>
          <w:sz w:val="18"/>
          <w:szCs w:val="18"/>
        </w:rPr>
      </w:pPr>
    </w:p>
    <w:tbl>
      <w:tblPr>
        <w:tblStyle w:val="GridTable4-Accent12"/>
        <w:tblW w:w="13887" w:type="dxa"/>
        <w:tblLayout w:type="fixed"/>
        <w:tblLook w:val="04A0" w:firstRow="1" w:lastRow="0" w:firstColumn="1" w:lastColumn="0" w:noHBand="0" w:noVBand="1"/>
      </w:tblPr>
      <w:tblGrid>
        <w:gridCol w:w="4957"/>
        <w:gridCol w:w="1134"/>
        <w:gridCol w:w="1275"/>
        <w:gridCol w:w="1134"/>
        <w:gridCol w:w="1276"/>
        <w:gridCol w:w="851"/>
        <w:gridCol w:w="1134"/>
        <w:gridCol w:w="1275"/>
        <w:gridCol w:w="851"/>
      </w:tblGrid>
      <w:tr w:rsidR="00436537" w:rsidRPr="00616F4F" w14:paraId="3FCD2C30" w14:textId="77777777" w:rsidTr="0043653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right w:val="single" w:sz="4" w:space="0" w:color="auto"/>
            </w:tcBorders>
            <w:noWrap/>
            <w:hideMark/>
          </w:tcPr>
          <w:p w14:paraId="12DCAE23" w14:textId="77777777" w:rsidR="00436537" w:rsidRPr="00616F4F" w:rsidRDefault="00436537" w:rsidP="00436537">
            <w:pPr>
              <w:spacing w:after="0" w:line="240" w:lineRule="auto"/>
              <w:rPr>
                <w:rFonts w:eastAsia="Times New Roman" w:cs="Arial"/>
                <w:sz w:val="18"/>
                <w:szCs w:val="18"/>
              </w:rPr>
            </w:pPr>
          </w:p>
        </w:tc>
        <w:tc>
          <w:tcPr>
            <w:tcW w:w="2409" w:type="dxa"/>
            <w:gridSpan w:val="2"/>
            <w:tcBorders>
              <w:top w:val="single" w:sz="4" w:space="0" w:color="auto"/>
              <w:left w:val="single" w:sz="4" w:space="0" w:color="auto"/>
              <w:right w:val="single" w:sz="4" w:space="0" w:color="auto"/>
            </w:tcBorders>
            <w:vAlign w:val="center"/>
            <w:hideMark/>
          </w:tcPr>
          <w:p w14:paraId="371133E1" w14:textId="77777777" w:rsidR="00436537" w:rsidRPr="00616F4F" w:rsidRDefault="00436537" w:rsidP="0043653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Patients with incidents (n=374)</w:t>
            </w:r>
          </w:p>
        </w:tc>
        <w:tc>
          <w:tcPr>
            <w:tcW w:w="3261" w:type="dxa"/>
            <w:gridSpan w:val="3"/>
            <w:tcBorders>
              <w:top w:val="single" w:sz="4" w:space="0" w:color="auto"/>
              <w:left w:val="single" w:sz="4" w:space="0" w:color="auto"/>
              <w:right w:val="single" w:sz="4" w:space="0" w:color="auto"/>
            </w:tcBorders>
            <w:vAlign w:val="center"/>
            <w:hideMark/>
          </w:tcPr>
          <w:p w14:paraId="2A001D4D" w14:textId="77777777" w:rsidR="00436537" w:rsidRPr="00616F4F" w:rsidRDefault="00436537" w:rsidP="0043653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Unmatched control patients (n=2,997,745)</w:t>
            </w:r>
          </w:p>
        </w:tc>
        <w:tc>
          <w:tcPr>
            <w:tcW w:w="3260" w:type="dxa"/>
            <w:gridSpan w:val="3"/>
            <w:tcBorders>
              <w:top w:val="single" w:sz="4" w:space="0" w:color="auto"/>
              <w:left w:val="single" w:sz="4" w:space="0" w:color="auto"/>
              <w:right w:val="single" w:sz="4" w:space="0" w:color="auto"/>
            </w:tcBorders>
            <w:vAlign w:val="center"/>
            <w:hideMark/>
          </w:tcPr>
          <w:p w14:paraId="6170CF4A" w14:textId="77777777" w:rsidR="00436537" w:rsidRPr="00616F4F" w:rsidRDefault="00436537" w:rsidP="0043653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Matched control patients (n=382)</w:t>
            </w:r>
          </w:p>
        </w:tc>
      </w:tr>
      <w:tr w:rsidR="00436537" w:rsidRPr="00616F4F" w14:paraId="0331ED6B" w14:textId="77777777" w:rsidTr="004365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3D251344" w14:textId="77777777" w:rsidR="00436537" w:rsidRPr="00616F4F" w:rsidRDefault="00436537" w:rsidP="00436537">
            <w:pPr>
              <w:spacing w:after="0" w:line="240" w:lineRule="auto"/>
              <w:rPr>
                <w:rFonts w:eastAsia="Times New Roman" w:cs="Arial"/>
                <w:color w:val="000000"/>
                <w:sz w:val="18"/>
                <w:szCs w:val="18"/>
              </w:rPr>
            </w:pPr>
            <w:r w:rsidRPr="00616F4F">
              <w:rPr>
                <w:rFonts w:eastAsia="Times New Roman" w:cs="Arial"/>
                <w:color w:val="000000"/>
                <w:sz w:val="18"/>
                <w:szCs w:val="18"/>
              </w:rPr>
              <w:t>Outcomes</w:t>
            </w:r>
          </w:p>
        </w:tc>
        <w:tc>
          <w:tcPr>
            <w:tcW w:w="1134" w:type="dxa"/>
            <w:tcBorders>
              <w:left w:val="single" w:sz="4" w:space="0" w:color="auto"/>
            </w:tcBorders>
            <w:noWrap/>
            <w:hideMark/>
          </w:tcPr>
          <w:p w14:paraId="5260EBC6"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275" w:type="dxa"/>
            <w:tcBorders>
              <w:right w:val="single" w:sz="4" w:space="0" w:color="auto"/>
            </w:tcBorders>
            <w:noWrap/>
            <w:hideMark/>
          </w:tcPr>
          <w:p w14:paraId="6B41DD20"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1134" w:type="dxa"/>
            <w:tcBorders>
              <w:left w:val="single" w:sz="4" w:space="0" w:color="auto"/>
            </w:tcBorders>
            <w:noWrap/>
            <w:hideMark/>
          </w:tcPr>
          <w:p w14:paraId="58CCF86E"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276" w:type="dxa"/>
            <w:noWrap/>
            <w:hideMark/>
          </w:tcPr>
          <w:p w14:paraId="4A636BB4"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851" w:type="dxa"/>
            <w:tcBorders>
              <w:right w:val="single" w:sz="4" w:space="0" w:color="auto"/>
            </w:tcBorders>
            <w:noWrap/>
            <w:hideMark/>
          </w:tcPr>
          <w:p w14:paraId="6327A6C4"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c>
          <w:tcPr>
            <w:tcW w:w="1134" w:type="dxa"/>
            <w:tcBorders>
              <w:left w:val="single" w:sz="4" w:space="0" w:color="auto"/>
            </w:tcBorders>
            <w:noWrap/>
            <w:hideMark/>
          </w:tcPr>
          <w:p w14:paraId="033586E5"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275" w:type="dxa"/>
            <w:noWrap/>
            <w:hideMark/>
          </w:tcPr>
          <w:p w14:paraId="3784C2ED"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851" w:type="dxa"/>
            <w:tcBorders>
              <w:right w:val="single" w:sz="4" w:space="0" w:color="auto"/>
            </w:tcBorders>
            <w:noWrap/>
            <w:hideMark/>
          </w:tcPr>
          <w:p w14:paraId="7B36DFBA"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r>
      <w:tr w:rsidR="00436537" w:rsidRPr="00616F4F" w14:paraId="1C0ECACA" w14:textId="77777777" w:rsidTr="00436537">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2D6DC550"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Death, in-hospital</w:t>
            </w:r>
          </w:p>
        </w:tc>
        <w:tc>
          <w:tcPr>
            <w:tcW w:w="1134" w:type="dxa"/>
            <w:tcBorders>
              <w:left w:val="single" w:sz="4" w:space="0" w:color="auto"/>
            </w:tcBorders>
            <w:noWrap/>
            <w:hideMark/>
          </w:tcPr>
          <w:p w14:paraId="673764AE"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0.09</w:t>
            </w:r>
          </w:p>
        </w:tc>
        <w:tc>
          <w:tcPr>
            <w:tcW w:w="1275" w:type="dxa"/>
            <w:tcBorders>
              <w:right w:val="single" w:sz="4" w:space="0" w:color="auto"/>
            </w:tcBorders>
            <w:noWrap/>
            <w:hideMark/>
          </w:tcPr>
          <w:p w14:paraId="531E572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0.29</w:t>
            </w:r>
          </w:p>
        </w:tc>
        <w:tc>
          <w:tcPr>
            <w:tcW w:w="1134" w:type="dxa"/>
            <w:tcBorders>
              <w:left w:val="single" w:sz="4" w:space="0" w:color="auto"/>
            </w:tcBorders>
            <w:noWrap/>
            <w:hideMark/>
          </w:tcPr>
          <w:p w14:paraId="4E025B3E"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0.05</w:t>
            </w:r>
          </w:p>
        </w:tc>
        <w:tc>
          <w:tcPr>
            <w:tcW w:w="1276" w:type="dxa"/>
            <w:noWrap/>
            <w:hideMark/>
          </w:tcPr>
          <w:p w14:paraId="4B733ED3"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0.22</w:t>
            </w:r>
          </w:p>
        </w:tc>
        <w:tc>
          <w:tcPr>
            <w:tcW w:w="851" w:type="dxa"/>
            <w:tcBorders>
              <w:right w:val="single" w:sz="4" w:space="0" w:color="auto"/>
            </w:tcBorders>
            <w:noWrap/>
            <w:hideMark/>
          </w:tcPr>
          <w:p w14:paraId="1F3E14AC"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left w:val="single" w:sz="4" w:space="0" w:color="auto"/>
            </w:tcBorders>
            <w:noWrap/>
            <w:hideMark/>
          </w:tcPr>
          <w:p w14:paraId="2BABD32B"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0.08</w:t>
            </w:r>
          </w:p>
        </w:tc>
        <w:tc>
          <w:tcPr>
            <w:tcW w:w="1275" w:type="dxa"/>
            <w:noWrap/>
            <w:hideMark/>
          </w:tcPr>
          <w:p w14:paraId="79D0D370"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0.27</w:t>
            </w:r>
          </w:p>
        </w:tc>
        <w:tc>
          <w:tcPr>
            <w:tcW w:w="851" w:type="dxa"/>
            <w:tcBorders>
              <w:right w:val="single" w:sz="4" w:space="0" w:color="auto"/>
            </w:tcBorders>
            <w:noWrap/>
            <w:hideMark/>
          </w:tcPr>
          <w:p w14:paraId="5B4C6014"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r>
      <w:tr w:rsidR="00436537" w:rsidRPr="00616F4F" w14:paraId="026832B1" w14:textId="77777777" w:rsidTr="004365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right w:val="single" w:sz="4" w:space="0" w:color="auto"/>
            </w:tcBorders>
            <w:noWrap/>
            <w:hideMark/>
          </w:tcPr>
          <w:p w14:paraId="7E8673F5"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Bed-days</w:t>
            </w:r>
          </w:p>
        </w:tc>
        <w:tc>
          <w:tcPr>
            <w:tcW w:w="1134" w:type="dxa"/>
            <w:tcBorders>
              <w:left w:val="single" w:sz="4" w:space="0" w:color="auto"/>
              <w:bottom w:val="single" w:sz="4" w:space="0" w:color="auto"/>
            </w:tcBorders>
            <w:noWrap/>
            <w:hideMark/>
          </w:tcPr>
          <w:p w14:paraId="071B7046"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31.17</w:t>
            </w:r>
          </w:p>
        </w:tc>
        <w:tc>
          <w:tcPr>
            <w:tcW w:w="1275" w:type="dxa"/>
            <w:tcBorders>
              <w:bottom w:val="single" w:sz="4" w:space="0" w:color="auto"/>
              <w:right w:val="single" w:sz="4" w:space="0" w:color="auto"/>
            </w:tcBorders>
            <w:noWrap/>
            <w:hideMark/>
          </w:tcPr>
          <w:p w14:paraId="42AEE10E"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45.21</w:t>
            </w:r>
          </w:p>
        </w:tc>
        <w:tc>
          <w:tcPr>
            <w:tcW w:w="1134" w:type="dxa"/>
            <w:tcBorders>
              <w:left w:val="single" w:sz="4" w:space="0" w:color="auto"/>
              <w:bottom w:val="single" w:sz="4" w:space="0" w:color="auto"/>
            </w:tcBorders>
            <w:noWrap/>
            <w:hideMark/>
          </w:tcPr>
          <w:p w14:paraId="49FCB5B2"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12.94</w:t>
            </w:r>
          </w:p>
        </w:tc>
        <w:tc>
          <w:tcPr>
            <w:tcW w:w="1276" w:type="dxa"/>
            <w:tcBorders>
              <w:bottom w:val="single" w:sz="4" w:space="0" w:color="auto"/>
            </w:tcBorders>
            <w:noWrap/>
            <w:hideMark/>
          </w:tcPr>
          <w:p w14:paraId="7ED33ECF"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28.66</w:t>
            </w:r>
          </w:p>
        </w:tc>
        <w:tc>
          <w:tcPr>
            <w:tcW w:w="851" w:type="dxa"/>
            <w:tcBorders>
              <w:bottom w:val="single" w:sz="4" w:space="0" w:color="auto"/>
              <w:right w:val="single" w:sz="4" w:space="0" w:color="auto"/>
            </w:tcBorders>
            <w:noWrap/>
            <w:hideMark/>
          </w:tcPr>
          <w:p w14:paraId="091D808A"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1134" w:type="dxa"/>
            <w:tcBorders>
              <w:left w:val="single" w:sz="4" w:space="0" w:color="auto"/>
              <w:bottom w:val="single" w:sz="4" w:space="0" w:color="auto"/>
            </w:tcBorders>
            <w:noWrap/>
            <w:hideMark/>
          </w:tcPr>
          <w:p w14:paraId="4BD8F2FE"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18.92</w:t>
            </w:r>
          </w:p>
        </w:tc>
        <w:tc>
          <w:tcPr>
            <w:tcW w:w="1275" w:type="dxa"/>
            <w:tcBorders>
              <w:bottom w:val="single" w:sz="4" w:space="0" w:color="auto"/>
            </w:tcBorders>
            <w:noWrap/>
            <w:hideMark/>
          </w:tcPr>
          <w:p w14:paraId="5CEED157"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31.9</w:t>
            </w:r>
          </w:p>
        </w:tc>
        <w:tc>
          <w:tcPr>
            <w:tcW w:w="851" w:type="dxa"/>
            <w:tcBorders>
              <w:bottom w:val="single" w:sz="4" w:space="0" w:color="auto"/>
              <w:right w:val="single" w:sz="4" w:space="0" w:color="auto"/>
            </w:tcBorders>
            <w:noWrap/>
            <w:hideMark/>
          </w:tcPr>
          <w:p w14:paraId="50E1D2FE"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r>
      <w:tr w:rsidR="00436537" w:rsidRPr="00616F4F" w14:paraId="50316316" w14:textId="77777777" w:rsidTr="00436537">
        <w:trPr>
          <w:trHeight w:val="3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right w:val="single" w:sz="4" w:space="0" w:color="auto"/>
            </w:tcBorders>
            <w:noWrap/>
          </w:tcPr>
          <w:p w14:paraId="726D70A9" w14:textId="77777777" w:rsidR="00436537" w:rsidRPr="00616F4F" w:rsidRDefault="00436537" w:rsidP="00436537">
            <w:pPr>
              <w:spacing w:after="0" w:line="240" w:lineRule="auto"/>
              <w:rPr>
                <w:rFonts w:eastAsia="Times New Roman" w:cs="Arial"/>
                <w:color w:val="000000"/>
                <w:sz w:val="18"/>
                <w:szCs w:val="18"/>
              </w:rPr>
            </w:pPr>
            <w:r w:rsidRPr="00616F4F">
              <w:rPr>
                <w:rFonts w:cs="Arial"/>
                <w:sz w:val="18"/>
                <w:szCs w:val="18"/>
              </w:rPr>
              <w:t>Covariates</w:t>
            </w:r>
          </w:p>
        </w:tc>
        <w:tc>
          <w:tcPr>
            <w:tcW w:w="1134" w:type="dxa"/>
            <w:tcBorders>
              <w:top w:val="single" w:sz="4" w:space="0" w:color="auto"/>
              <w:left w:val="single" w:sz="4" w:space="0" w:color="auto"/>
            </w:tcBorders>
            <w:noWrap/>
          </w:tcPr>
          <w:p w14:paraId="6B8804B9"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top w:val="single" w:sz="4" w:space="0" w:color="auto"/>
              <w:right w:val="single" w:sz="4" w:space="0" w:color="auto"/>
            </w:tcBorders>
            <w:noWrap/>
          </w:tcPr>
          <w:p w14:paraId="5C2A0B64"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top w:val="single" w:sz="4" w:space="0" w:color="auto"/>
              <w:left w:val="single" w:sz="4" w:space="0" w:color="auto"/>
            </w:tcBorders>
            <w:noWrap/>
          </w:tcPr>
          <w:p w14:paraId="5403E19B"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6" w:type="dxa"/>
            <w:tcBorders>
              <w:top w:val="single" w:sz="4" w:space="0" w:color="auto"/>
            </w:tcBorders>
            <w:noWrap/>
          </w:tcPr>
          <w:p w14:paraId="33F2CED3"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851" w:type="dxa"/>
            <w:tcBorders>
              <w:top w:val="single" w:sz="4" w:space="0" w:color="auto"/>
              <w:right w:val="single" w:sz="4" w:space="0" w:color="auto"/>
            </w:tcBorders>
            <w:noWrap/>
          </w:tcPr>
          <w:p w14:paraId="04F5547D"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top w:val="single" w:sz="4" w:space="0" w:color="auto"/>
              <w:left w:val="single" w:sz="4" w:space="0" w:color="auto"/>
            </w:tcBorders>
            <w:noWrap/>
          </w:tcPr>
          <w:p w14:paraId="52B6FF19"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top w:val="single" w:sz="4" w:space="0" w:color="auto"/>
            </w:tcBorders>
            <w:noWrap/>
          </w:tcPr>
          <w:p w14:paraId="51654B0E"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851" w:type="dxa"/>
            <w:tcBorders>
              <w:top w:val="single" w:sz="4" w:space="0" w:color="auto"/>
              <w:right w:val="single" w:sz="4" w:space="0" w:color="auto"/>
            </w:tcBorders>
            <w:noWrap/>
          </w:tcPr>
          <w:p w14:paraId="35FD4449"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r>
      <w:tr w:rsidR="00436537" w:rsidRPr="00616F4F" w14:paraId="497EE456" w14:textId="77777777" w:rsidTr="004365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11B3102C"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Age</w:t>
            </w:r>
          </w:p>
        </w:tc>
        <w:tc>
          <w:tcPr>
            <w:tcW w:w="1134" w:type="dxa"/>
            <w:tcBorders>
              <w:left w:val="single" w:sz="4" w:space="0" w:color="auto"/>
            </w:tcBorders>
            <w:noWrap/>
            <w:hideMark/>
          </w:tcPr>
          <w:p w14:paraId="1D801EE9"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61.87</w:t>
            </w:r>
          </w:p>
        </w:tc>
        <w:tc>
          <w:tcPr>
            <w:tcW w:w="1275" w:type="dxa"/>
            <w:tcBorders>
              <w:right w:val="single" w:sz="4" w:space="0" w:color="auto"/>
            </w:tcBorders>
            <w:noWrap/>
            <w:hideMark/>
          </w:tcPr>
          <w:p w14:paraId="572E8997"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18.63</w:t>
            </w:r>
          </w:p>
        </w:tc>
        <w:tc>
          <w:tcPr>
            <w:tcW w:w="1134" w:type="dxa"/>
            <w:tcBorders>
              <w:left w:val="single" w:sz="4" w:space="0" w:color="auto"/>
            </w:tcBorders>
            <w:noWrap/>
            <w:hideMark/>
          </w:tcPr>
          <w:p w14:paraId="2F61417E"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62.02</w:t>
            </w:r>
          </w:p>
        </w:tc>
        <w:tc>
          <w:tcPr>
            <w:tcW w:w="1276" w:type="dxa"/>
            <w:noWrap/>
            <w:hideMark/>
          </w:tcPr>
          <w:p w14:paraId="411A5E3B"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20.46</w:t>
            </w:r>
          </w:p>
        </w:tc>
        <w:tc>
          <w:tcPr>
            <w:tcW w:w="851" w:type="dxa"/>
            <w:tcBorders>
              <w:right w:val="single" w:sz="4" w:space="0" w:color="auto"/>
            </w:tcBorders>
            <w:noWrap/>
            <w:hideMark/>
          </w:tcPr>
          <w:p w14:paraId="2B9DE702"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w:t>
            </w:r>
          </w:p>
        </w:tc>
        <w:tc>
          <w:tcPr>
            <w:tcW w:w="1134" w:type="dxa"/>
            <w:tcBorders>
              <w:left w:val="single" w:sz="4" w:space="0" w:color="auto"/>
            </w:tcBorders>
            <w:noWrap/>
            <w:hideMark/>
          </w:tcPr>
          <w:p w14:paraId="63B40EF1"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63.27</w:t>
            </w:r>
          </w:p>
        </w:tc>
        <w:tc>
          <w:tcPr>
            <w:tcW w:w="1275" w:type="dxa"/>
            <w:noWrap/>
            <w:hideMark/>
          </w:tcPr>
          <w:p w14:paraId="0DAE1DE1"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20.84</w:t>
            </w:r>
          </w:p>
        </w:tc>
        <w:tc>
          <w:tcPr>
            <w:tcW w:w="851" w:type="dxa"/>
            <w:tcBorders>
              <w:right w:val="single" w:sz="4" w:space="0" w:color="auto"/>
            </w:tcBorders>
            <w:noWrap/>
            <w:hideMark/>
          </w:tcPr>
          <w:p w14:paraId="6BBCEA8C"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w:t>
            </w:r>
          </w:p>
        </w:tc>
      </w:tr>
      <w:tr w:rsidR="00436537" w:rsidRPr="00616F4F" w14:paraId="707F7D10" w14:textId="77777777" w:rsidTr="00436537">
        <w:trPr>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240A8B3D"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Sex of patient, 0: male 1: female</w:t>
            </w:r>
          </w:p>
        </w:tc>
        <w:tc>
          <w:tcPr>
            <w:tcW w:w="1134" w:type="dxa"/>
            <w:tcBorders>
              <w:left w:val="single" w:sz="4" w:space="0" w:color="auto"/>
            </w:tcBorders>
            <w:noWrap/>
            <w:hideMark/>
          </w:tcPr>
          <w:p w14:paraId="438C6E63"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0.47</w:t>
            </w:r>
          </w:p>
        </w:tc>
        <w:tc>
          <w:tcPr>
            <w:tcW w:w="1275" w:type="dxa"/>
            <w:tcBorders>
              <w:right w:val="single" w:sz="4" w:space="0" w:color="auto"/>
            </w:tcBorders>
            <w:noWrap/>
            <w:hideMark/>
          </w:tcPr>
          <w:p w14:paraId="7D73B3E3"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1134" w:type="dxa"/>
            <w:tcBorders>
              <w:left w:val="single" w:sz="4" w:space="0" w:color="auto"/>
            </w:tcBorders>
            <w:noWrap/>
            <w:hideMark/>
          </w:tcPr>
          <w:p w14:paraId="5AC90931"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0.56</w:t>
            </w:r>
          </w:p>
        </w:tc>
        <w:tc>
          <w:tcPr>
            <w:tcW w:w="1276" w:type="dxa"/>
            <w:noWrap/>
            <w:hideMark/>
          </w:tcPr>
          <w:p w14:paraId="6D729535"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right w:val="single" w:sz="4" w:space="0" w:color="auto"/>
            </w:tcBorders>
            <w:noWrap/>
            <w:hideMark/>
          </w:tcPr>
          <w:p w14:paraId="5FD30E7C"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-17.3</w:t>
            </w:r>
          </w:p>
        </w:tc>
        <w:tc>
          <w:tcPr>
            <w:tcW w:w="1134" w:type="dxa"/>
            <w:tcBorders>
              <w:left w:val="single" w:sz="4" w:space="0" w:color="auto"/>
            </w:tcBorders>
            <w:noWrap/>
            <w:hideMark/>
          </w:tcPr>
          <w:p w14:paraId="3EDF8B2E"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0.49</w:t>
            </w:r>
          </w:p>
        </w:tc>
        <w:tc>
          <w:tcPr>
            <w:tcW w:w="1275" w:type="dxa"/>
            <w:noWrap/>
            <w:hideMark/>
          </w:tcPr>
          <w:p w14:paraId="20EB3F4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right w:val="single" w:sz="4" w:space="0" w:color="auto"/>
            </w:tcBorders>
            <w:noWrap/>
            <w:hideMark/>
          </w:tcPr>
          <w:p w14:paraId="7BE738EB"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w:t>
            </w:r>
          </w:p>
        </w:tc>
      </w:tr>
      <w:tr w:rsidR="00436537" w:rsidRPr="00616F4F" w14:paraId="26813CB9" w14:textId="77777777" w:rsidTr="00436537">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65EDCC04"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 xml:space="preserve">Weighted </w:t>
            </w:r>
            <w:proofErr w:type="spellStart"/>
            <w:r w:rsidRPr="00616F4F">
              <w:rPr>
                <w:rFonts w:eastAsia="Times New Roman" w:cs="Arial"/>
                <w:b w:val="0"/>
                <w:color w:val="000000"/>
                <w:sz w:val="18"/>
                <w:szCs w:val="18"/>
              </w:rPr>
              <w:t>Charlson</w:t>
            </w:r>
            <w:proofErr w:type="spellEnd"/>
            <w:r w:rsidRPr="00616F4F">
              <w:rPr>
                <w:rFonts w:eastAsia="Times New Roman" w:cs="Arial"/>
                <w:b w:val="0"/>
                <w:color w:val="000000"/>
                <w:sz w:val="18"/>
                <w:szCs w:val="18"/>
              </w:rPr>
              <w:t xml:space="preserve"> Index</w:t>
            </w:r>
          </w:p>
        </w:tc>
        <w:tc>
          <w:tcPr>
            <w:tcW w:w="1134" w:type="dxa"/>
            <w:tcBorders>
              <w:left w:val="single" w:sz="4" w:space="0" w:color="auto"/>
            </w:tcBorders>
            <w:noWrap/>
            <w:hideMark/>
          </w:tcPr>
          <w:p w14:paraId="6EB8A35F"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1.58</w:t>
            </w:r>
          </w:p>
        </w:tc>
        <w:tc>
          <w:tcPr>
            <w:tcW w:w="1275" w:type="dxa"/>
            <w:tcBorders>
              <w:right w:val="single" w:sz="4" w:space="0" w:color="auto"/>
            </w:tcBorders>
            <w:noWrap/>
            <w:hideMark/>
          </w:tcPr>
          <w:p w14:paraId="3C605F42"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1.91</w:t>
            </w:r>
          </w:p>
        </w:tc>
        <w:tc>
          <w:tcPr>
            <w:tcW w:w="1134" w:type="dxa"/>
            <w:tcBorders>
              <w:left w:val="single" w:sz="4" w:space="0" w:color="auto"/>
            </w:tcBorders>
            <w:noWrap/>
            <w:hideMark/>
          </w:tcPr>
          <w:p w14:paraId="5833489B"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1.02</w:t>
            </w:r>
          </w:p>
        </w:tc>
        <w:tc>
          <w:tcPr>
            <w:tcW w:w="1276" w:type="dxa"/>
            <w:noWrap/>
            <w:hideMark/>
          </w:tcPr>
          <w:p w14:paraId="42755626"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w:t>
            </w:r>
          </w:p>
        </w:tc>
        <w:tc>
          <w:tcPr>
            <w:tcW w:w="851" w:type="dxa"/>
            <w:tcBorders>
              <w:right w:val="single" w:sz="4" w:space="0" w:color="auto"/>
            </w:tcBorders>
            <w:noWrap/>
            <w:hideMark/>
          </w:tcPr>
          <w:p w14:paraId="2A76C29A"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32.9</w:t>
            </w:r>
          </w:p>
        </w:tc>
        <w:tc>
          <w:tcPr>
            <w:tcW w:w="1134" w:type="dxa"/>
            <w:tcBorders>
              <w:left w:val="single" w:sz="4" w:space="0" w:color="auto"/>
            </w:tcBorders>
            <w:noWrap/>
            <w:hideMark/>
          </w:tcPr>
          <w:p w14:paraId="29145CC6"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1.52</w:t>
            </w:r>
          </w:p>
        </w:tc>
        <w:tc>
          <w:tcPr>
            <w:tcW w:w="1275" w:type="dxa"/>
            <w:noWrap/>
            <w:hideMark/>
          </w:tcPr>
          <w:p w14:paraId="0D37CEB5"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1.84</w:t>
            </w:r>
          </w:p>
        </w:tc>
        <w:tc>
          <w:tcPr>
            <w:tcW w:w="851" w:type="dxa"/>
            <w:tcBorders>
              <w:right w:val="single" w:sz="4" w:space="0" w:color="auto"/>
            </w:tcBorders>
            <w:noWrap/>
            <w:hideMark/>
          </w:tcPr>
          <w:p w14:paraId="3101A0C4"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w:t>
            </w:r>
          </w:p>
        </w:tc>
      </w:tr>
      <w:tr w:rsidR="00436537" w:rsidRPr="00616F4F" w14:paraId="4228FBF5" w14:textId="77777777" w:rsidTr="00436537">
        <w:trPr>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47033D8E"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Index of multiple deprivation</w:t>
            </w:r>
          </w:p>
        </w:tc>
        <w:tc>
          <w:tcPr>
            <w:tcW w:w="1134" w:type="dxa"/>
            <w:tcBorders>
              <w:left w:val="single" w:sz="4" w:space="0" w:color="auto"/>
            </w:tcBorders>
            <w:noWrap/>
            <w:hideMark/>
          </w:tcPr>
          <w:p w14:paraId="625D3AD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24.39</w:t>
            </w:r>
          </w:p>
        </w:tc>
        <w:tc>
          <w:tcPr>
            <w:tcW w:w="1275" w:type="dxa"/>
            <w:tcBorders>
              <w:right w:val="single" w:sz="4" w:space="0" w:color="auto"/>
            </w:tcBorders>
            <w:noWrap/>
            <w:hideMark/>
          </w:tcPr>
          <w:p w14:paraId="2DA7242C"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16.93</w:t>
            </w:r>
          </w:p>
        </w:tc>
        <w:tc>
          <w:tcPr>
            <w:tcW w:w="1134" w:type="dxa"/>
            <w:tcBorders>
              <w:left w:val="single" w:sz="4" w:space="0" w:color="auto"/>
            </w:tcBorders>
            <w:noWrap/>
            <w:hideMark/>
          </w:tcPr>
          <w:p w14:paraId="00236C34"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23.57</w:t>
            </w:r>
          </w:p>
        </w:tc>
        <w:tc>
          <w:tcPr>
            <w:tcW w:w="1276" w:type="dxa"/>
            <w:noWrap/>
            <w:hideMark/>
          </w:tcPr>
          <w:p w14:paraId="69FAAD8D"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16.36</w:t>
            </w:r>
          </w:p>
        </w:tc>
        <w:tc>
          <w:tcPr>
            <w:tcW w:w="851" w:type="dxa"/>
            <w:tcBorders>
              <w:right w:val="single" w:sz="4" w:space="0" w:color="auto"/>
            </w:tcBorders>
            <w:noWrap/>
            <w:hideMark/>
          </w:tcPr>
          <w:p w14:paraId="50E0EFF0"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4.9</w:t>
            </w:r>
          </w:p>
        </w:tc>
        <w:tc>
          <w:tcPr>
            <w:tcW w:w="1134" w:type="dxa"/>
            <w:tcBorders>
              <w:left w:val="single" w:sz="4" w:space="0" w:color="auto"/>
            </w:tcBorders>
            <w:noWrap/>
            <w:hideMark/>
          </w:tcPr>
          <w:p w14:paraId="606199C2"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22.82</w:t>
            </w:r>
          </w:p>
        </w:tc>
        <w:tc>
          <w:tcPr>
            <w:tcW w:w="1275" w:type="dxa"/>
            <w:noWrap/>
            <w:hideMark/>
          </w:tcPr>
          <w:p w14:paraId="1B54A3EF"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16.44</w:t>
            </w:r>
          </w:p>
        </w:tc>
        <w:tc>
          <w:tcPr>
            <w:tcW w:w="851" w:type="dxa"/>
            <w:tcBorders>
              <w:right w:val="single" w:sz="4" w:space="0" w:color="auto"/>
            </w:tcBorders>
            <w:noWrap/>
            <w:hideMark/>
          </w:tcPr>
          <w:p w14:paraId="1921D65A"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9.9</w:t>
            </w:r>
          </w:p>
        </w:tc>
      </w:tr>
      <w:tr w:rsidR="00436537" w:rsidRPr="00616F4F" w14:paraId="648B97E2" w14:textId="77777777" w:rsidTr="00436537">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3956C7DC"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Number of diagnoses in patient record (excl. PSI codes)</w:t>
            </w:r>
          </w:p>
        </w:tc>
        <w:tc>
          <w:tcPr>
            <w:tcW w:w="1134" w:type="dxa"/>
            <w:tcBorders>
              <w:left w:val="single" w:sz="4" w:space="0" w:color="auto"/>
            </w:tcBorders>
            <w:noWrap/>
            <w:hideMark/>
          </w:tcPr>
          <w:p w14:paraId="513E254D"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7.85</w:t>
            </w:r>
          </w:p>
        </w:tc>
        <w:tc>
          <w:tcPr>
            <w:tcW w:w="1275" w:type="dxa"/>
            <w:tcBorders>
              <w:right w:val="single" w:sz="4" w:space="0" w:color="auto"/>
            </w:tcBorders>
            <w:noWrap/>
            <w:hideMark/>
          </w:tcPr>
          <w:p w14:paraId="5829E7C4"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3.47</w:t>
            </w:r>
          </w:p>
        </w:tc>
        <w:tc>
          <w:tcPr>
            <w:tcW w:w="1134" w:type="dxa"/>
            <w:tcBorders>
              <w:left w:val="single" w:sz="4" w:space="0" w:color="auto"/>
            </w:tcBorders>
            <w:noWrap/>
            <w:hideMark/>
          </w:tcPr>
          <w:p w14:paraId="5AAD4083"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4.74</w:t>
            </w:r>
          </w:p>
        </w:tc>
        <w:tc>
          <w:tcPr>
            <w:tcW w:w="1276" w:type="dxa"/>
            <w:noWrap/>
            <w:hideMark/>
          </w:tcPr>
          <w:p w14:paraId="4390DA86"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2.94</w:t>
            </w:r>
          </w:p>
        </w:tc>
        <w:tc>
          <w:tcPr>
            <w:tcW w:w="851" w:type="dxa"/>
            <w:tcBorders>
              <w:right w:val="single" w:sz="4" w:space="0" w:color="auto"/>
            </w:tcBorders>
            <w:noWrap/>
            <w:hideMark/>
          </w:tcPr>
          <w:p w14:paraId="271C26F7"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96.8</w:t>
            </w:r>
          </w:p>
        </w:tc>
        <w:tc>
          <w:tcPr>
            <w:tcW w:w="1134" w:type="dxa"/>
            <w:tcBorders>
              <w:left w:val="single" w:sz="4" w:space="0" w:color="auto"/>
            </w:tcBorders>
            <w:noWrap/>
            <w:hideMark/>
          </w:tcPr>
          <w:p w14:paraId="7E0F94DD"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7.76</w:t>
            </w:r>
          </w:p>
        </w:tc>
        <w:tc>
          <w:tcPr>
            <w:tcW w:w="1275" w:type="dxa"/>
            <w:noWrap/>
            <w:hideMark/>
          </w:tcPr>
          <w:p w14:paraId="36CED8E6"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3.71</w:t>
            </w:r>
          </w:p>
        </w:tc>
        <w:tc>
          <w:tcPr>
            <w:tcW w:w="851" w:type="dxa"/>
            <w:tcBorders>
              <w:right w:val="single" w:sz="4" w:space="0" w:color="auto"/>
            </w:tcBorders>
            <w:noWrap/>
            <w:hideMark/>
          </w:tcPr>
          <w:p w14:paraId="3863B7B6"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w:t>
            </w:r>
          </w:p>
        </w:tc>
      </w:tr>
      <w:tr w:rsidR="00436537" w:rsidRPr="00616F4F" w14:paraId="698190F6" w14:textId="77777777" w:rsidTr="00436537">
        <w:trPr>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5A4E9FFA"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Medical and dental staff WTE</w:t>
            </w:r>
          </w:p>
        </w:tc>
        <w:tc>
          <w:tcPr>
            <w:tcW w:w="1134" w:type="dxa"/>
            <w:tcBorders>
              <w:left w:val="single" w:sz="4" w:space="0" w:color="auto"/>
            </w:tcBorders>
            <w:noWrap/>
            <w:hideMark/>
          </w:tcPr>
          <w:p w14:paraId="155C22B9"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580.58</w:t>
            </w:r>
          </w:p>
        </w:tc>
        <w:tc>
          <w:tcPr>
            <w:tcW w:w="1275" w:type="dxa"/>
            <w:tcBorders>
              <w:right w:val="single" w:sz="4" w:space="0" w:color="auto"/>
            </w:tcBorders>
            <w:noWrap/>
            <w:hideMark/>
          </w:tcPr>
          <w:p w14:paraId="0AACD213"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342.63</w:t>
            </w:r>
          </w:p>
        </w:tc>
        <w:tc>
          <w:tcPr>
            <w:tcW w:w="1134" w:type="dxa"/>
            <w:tcBorders>
              <w:left w:val="single" w:sz="4" w:space="0" w:color="auto"/>
            </w:tcBorders>
            <w:noWrap/>
            <w:hideMark/>
          </w:tcPr>
          <w:p w14:paraId="2303E59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626.21</w:t>
            </w:r>
          </w:p>
        </w:tc>
        <w:tc>
          <w:tcPr>
            <w:tcW w:w="1276" w:type="dxa"/>
            <w:noWrap/>
            <w:hideMark/>
          </w:tcPr>
          <w:p w14:paraId="678B9EA8"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386.39</w:t>
            </w:r>
          </w:p>
        </w:tc>
        <w:tc>
          <w:tcPr>
            <w:tcW w:w="851" w:type="dxa"/>
            <w:tcBorders>
              <w:right w:val="single" w:sz="4" w:space="0" w:color="auto"/>
            </w:tcBorders>
            <w:noWrap/>
            <w:hideMark/>
          </w:tcPr>
          <w:p w14:paraId="725273D6"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-4.6</w:t>
            </w:r>
          </w:p>
        </w:tc>
        <w:tc>
          <w:tcPr>
            <w:tcW w:w="1134" w:type="dxa"/>
            <w:tcBorders>
              <w:left w:val="single" w:sz="4" w:space="0" w:color="auto"/>
            </w:tcBorders>
            <w:noWrap/>
            <w:hideMark/>
          </w:tcPr>
          <w:p w14:paraId="6032CCA8"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560.21</w:t>
            </w:r>
          </w:p>
        </w:tc>
        <w:tc>
          <w:tcPr>
            <w:tcW w:w="1275" w:type="dxa"/>
            <w:noWrap/>
            <w:hideMark/>
          </w:tcPr>
          <w:p w14:paraId="17E222DF"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349.56</w:t>
            </w:r>
          </w:p>
        </w:tc>
        <w:tc>
          <w:tcPr>
            <w:tcW w:w="851" w:type="dxa"/>
            <w:tcBorders>
              <w:right w:val="single" w:sz="4" w:space="0" w:color="auto"/>
            </w:tcBorders>
            <w:noWrap/>
            <w:hideMark/>
          </w:tcPr>
          <w:p w14:paraId="596096AF"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4.2</w:t>
            </w:r>
          </w:p>
        </w:tc>
      </w:tr>
      <w:tr w:rsidR="00436537" w:rsidRPr="00616F4F" w14:paraId="518B7747" w14:textId="77777777" w:rsidTr="00436537">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2AA321F5"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Nursing, midwifery and health visiting staff WTE</w:t>
            </w:r>
          </w:p>
        </w:tc>
        <w:tc>
          <w:tcPr>
            <w:tcW w:w="1134" w:type="dxa"/>
            <w:tcBorders>
              <w:left w:val="single" w:sz="4" w:space="0" w:color="auto"/>
            </w:tcBorders>
            <w:noWrap/>
            <w:hideMark/>
          </w:tcPr>
          <w:p w14:paraId="4F5A7FC1"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1452.31</w:t>
            </w:r>
          </w:p>
        </w:tc>
        <w:tc>
          <w:tcPr>
            <w:tcW w:w="1275" w:type="dxa"/>
            <w:tcBorders>
              <w:right w:val="single" w:sz="4" w:space="0" w:color="auto"/>
            </w:tcBorders>
            <w:noWrap/>
            <w:hideMark/>
          </w:tcPr>
          <w:p w14:paraId="5DE40174"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771.08</w:t>
            </w:r>
          </w:p>
        </w:tc>
        <w:tc>
          <w:tcPr>
            <w:tcW w:w="1134" w:type="dxa"/>
            <w:tcBorders>
              <w:left w:val="single" w:sz="4" w:space="0" w:color="auto"/>
            </w:tcBorders>
            <w:noWrap/>
            <w:hideMark/>
          </w:tcPr>
          <w:p w14:paraId="0F18A007"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1584.4</w:t>
            </w:r>
          </w:p>
        </w:tc>
        <w:tc>
          <w:tcPr>
            <w:tcW w:w="1276" w:type="dxa"/>
            <w:noWrap/>
            <w:hideMark/>
          </w:tcPr>
          <w:p w14:paraId="3EBFDAB3"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827.64</w:t>
            </w:r>
          </w:p>
        </w:tc>
        <w:tc>
          <w:tcPr>
            <w:tcW w:w="851" w:type="dxa"/>
            <w:tcBorders>
              <w:right w:val="single" w:sz="4" w:space="0" w:color="auto"/>
            </w:tcBorders>
            <w:noWrap/>
            <w:hideMark/>
          </w:tcPr>
          <w:p w14:paraId="6135DAAB"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-17.3</w:t>
            </w:r>
          </w:p>
        </w:tc>
        <w:tc>
          <w:tcPr>
            <w:tcW w:w="1134" w:type="dxa"/>
            <w:tcBorders>
              <w:left w:val="single" w:sz="4" w:space="0" w:color="auto"/>
            </w:tcBorders>
            <w:noWrap/>
            <w:hideMark/>
          </w:tcPr>
          <w:p w14:paraId="6A12C38F"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1393.96</w:t>
            </w:r>
          </w:p>
        </w:tc>
        <w:tc>
          <w:tcPr>
            <w:tcW w:w="1275" w:type="dxa"/>
            <w:noWrap/>
            <w:hideMark/>
          </w:tcPr>
          <w:p w14:paraId="6CE5454D"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776.79</w:t>
            </w:r>
          </w:p>
        </w:tc>
        <w:tc>
          <w:tcPr>
            <w:tcW w:w="851" w:type="dxa"/>
            <w:tcBorders>
              <w:right w:val="single" w:sz="4" w:space="0" w:color="auto"/>
            </w:tcBorders>
            <w:noWrap/>
            <w:hideMark/>
          </w:tcPr>
          <w:p w14:paraId="32A07A95"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6.7</w:t>
            </w:r>
          </w:p>
        </w:tc>
      </w:tr>
      <w:tr w:rsidR="00436537" w:rsidRPr="00616F4F" w14:paraId="045E87C5" w14:textId="77777777" w:rsidTr="00436537">
        <w:trPr>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6E6BADC4"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Average number of available beds</w:t>
            </w:r>
          </w:p>
        </w:tc>
        <w:tc>
          <w:tcPr>
            <w:tcW w:w="1134" w:type="dxa"/>
            <w:tcBorders>
              <w:left w:val="single" w:sz="4" w:space="0" w:color="auto"/>
            </w:tcBorders>
            <w:noWrap/>
            <w:hideMark/>
          </w:tcPr>
          <w:p w14:paraId="33F6234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778.87</w:t>
            </w:r>
          </w:p>
        </w:tc>
        <w:tc>
          <w:tcPr>
            <w:tcW w:w="1275" w:type="dxa"/>
            <w:tcBorders>
              <w:right w:val="single" w:sz="4" w:space="0" w:color="auto"/>
            </w:tcBorders>
            <w:noWrap/>
            <w:hideMark/>
          </w:tcPr>
          <w:p w14:paraId="04B42400"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380.62</w:t>
            </w:r>
          </w:p>
        </w:tc>
        <w:tc>
          <w:tcPr>
            <w:tcW w:w="1134" w:type="dxa"/>
            <w:tcBorders>
              <w:left w:val="single" w:sz="4" w:space="0" w:color="auto"/>
            </w:tcBorders>
            <w:noWrap/>
            <w:hideMark/>
          </w:tcPr>
          <w:p w14:paraId="0DD5D93D"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843.66</w:t>
            </w:r>
          </w:p>
        </w:tc>
        <w:tc>
          <w:tcPr>
            <w:tcW w:w="1276" w:type="dxa"/>
            <w:noWrap/>
            <w:hideMark/>
          </w:tcPr>
          <w:p w14:paraId="5FFBA65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421.64</w:t>
            </w:r>
          </w:p>
        </w:tc>
        <w:tc>
          <w:tcPr>
            <w:tcW w:w="851" w:type="dxa"/>
            <w:tcBorders>
              <w:right w:val="single" w:sz="4" w:space="0" w:color="auto"/>
            </w:tcBorders>
            <w:noWrap/>
            <w:hideMark/>
          </w:tcPr>
          <w:p w14:paraId="542945C0"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-9.8</w:t>
            </w:r>
          </w:p>
        </w:tc>
        <w:tc>
          <w:tcPr>
            <w:tcW w:w="1134" w:type="dxa"/>
            <w:tcBorders>
              <w:left w:val="single" w:sz="4" w:space="0" w:color="auto"/>
            </w:tcBorders>
            <w:noWrap/>
            <w:hideMark/>
          </w:tcPr>
          <w:p w14:paraId="4E65B10A"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768.3</w:t>
            </w:r>
          </w:p>
        </w:tc>
        <w:tc>
          <w:tcPr>
            <w:tcW w:w="1275" w:type="dxa"/>
            <w:noWrap/>
            <w:hideMark/>
          </w:tcPr>
          <w:p w14:paraId="2E45A1C1"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400.02</w:t>
            </w:r>
          </w:p>
        </w:tc>
        <w:tc>
          <w:tcPr>
            <w:tcW w:w="851" w:type="dxa"/>
            <w:tcBorders>
              <w:right w:val="single" w:sz="4" w:space="0" w:color="auto"/>
            </w:tcBorders>
            <w:noWrap/>
            <w:hideMark/>
          </w:tcPr>
          <w:p w14:paraId="405B29C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w:t>
            </w:r>
          </w:p>
        </w:tc>
      </w:tr>
      <w:tr w:rsidR="00436537" w:rsidRPr="00616F4F" w14:paraId="414DA204" w14:textId="77777777" w:rsidTr="00436537">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398B4731"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Average bed occupancy rate</w:t>
            </w:r>
          </w:p>
        </w:tc>
        <w:tc>
          <w:tcPr>
            <w:tcW w:w="1134" w:type="dxa"/>
            <w:tcBorders>
              <w:left w:val="single" w:sz="4" w:space="0" w:color="auto"/>
            </w:tcBorders>
            <w:noWrap/>
            <w:hideMark/>
          </w:tcPr>
          <w:p w14:paraId="2F36E63D"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86.24</w:t>
            </w:r>
          </w:p>
        </w:tc>
        <w:tc>
          <w:tcPr>
            <w:tcW w:w="1275" w:type="dxa"/>
            <w:tcBorders>
              <w:right w:val="single" w:sz="4" w:space="0" w:color="auto"/>
            </w:tcBorders>
            <w:noWrap/>
            <w:hideMark/>
          </w:tcPr>
          <w:p w14:paraId="682B77EB"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4.55</w:t>
            </w:r>
          </w:p>
        </w:tc>
        <w:tc>
          <w:tcPr>
            <w:tcW w:w="1134" w:type="dxa"/>
            <w:tcBorders>
              <w:left w:val="single" w:sz="4" w:space="0" w:color="auto"/>
            </w:tcBorders>
            <w:noWrap/>
            <w:hideMark/>
          </w:tcPr>
          <w:p w14:paraId="66A45054"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86.53</w:t>
            </w:r>
          </w:p>
        </w:tc>
        <w:tc>
          <w:tcPr>
            <w:tcW w:w="1276" w:type="dxa"/>
            <w:noWrap/>
            <w:hideMark/>
          </w:tcPr>
          <w:p w14:paraId="48AA9E2D"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6.6</w:t>
            </w:r>
          </w:p>
        </w:tc>
        <w:tc>
          <w:tcPr>
            <w:tcW w:w="851" w:type="dxa"/>
            <w:tcBorders>
              <w:right w:val="single" w:sz="4" w:space="0" w:color="auto"/>
            </w:tcBorders>
            <w:noWrap/>
            <w:hideMark/>
          </w:tcPr>
          <w:p w14:paraId="54830142"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w:t>
            </w:r>
          </w:p>
        </w:tc>
        <w:tc>
          <w:tcPr>
            <w:tcW w:w="1134" w:type="dxa"/>
            <w:tcBorders>
              <w:left w:val="single" w:sz="4" w:space="0" w:color="auto"/>
            </w:tcBorders>
            <w:noWrap/>
            <w:hideMark/>
          </w:tcPr>
          <w:p w14:paraId="40D423CF"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86.58</w:t>
            </w:r>
          </w:p>
        </w:tc>
        <w:tc>
          <w:tcPr>
            <w:tcW w:w="1275" w:type="dxa"/>
            <w:noWrap/>
            <w:hideMark/>
          </w:tcPr>
          <w:p w14:paraId="256E8615"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4.63</w:t>
            </w:r>
          </w:p>
        </w:tc>
        <w:tc>
          <w:tcPr>
            <w:tcW w:w="851" w:type="dxa"/>
            <w:tcBorders>
              <w:right w:val="single" w:sz="4" w:space="0" w:color="auto"/>
            </w:tcBorders>
            <w:noWrap/>
            <w:hideMark/>
          </w:tcPr>
          <w:p w14:paraId="1C1A8ADB"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-6.3</w:t>
            </w:r>
          </w:p>
        </w:tc>
      </w:tr>
      <w:tr w:rsidR="00436537" w:rsidRPr="00616F4F" w14:paraId="27D73345" w14:textId="77777777" w:rsidTr="00436537">
        <w:trPr>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right w:val="single" w:sz="4" w:space="0" w:color="auto"/>
            </w:tcBorders>
            <w:noWrap/>
            <w:hideMark/>
          </w:tcPr>
          <w:p w14:paraId="5A4D3E9B" w14:textId="77777777" w:rsidR="00436537" w:rsidRPr="00616F4F" w:rsidRDefault="00436537" w:rsidP="008125C6">
            <w:pPr>
              <w:spacing w:after="0" w:line="240" w:lineRule="auto"/>
              <w:rPr>
                <w:rFonts w:eastAsia="Times New Roman" w:cs="Arial"/>
                <w:b w:val="0"/>
                <w:color w:val="000000"/>
                <w:sz w:val="18"/>
                <w:szCs w:val="18"/>
              </w:rPr>
            </w:pPr>
            <w:r w:rsidRPr="00616F4F">
              <w:rPr>
                <w:rFonts w:eastAsia="Times New Roman" w:cs="Arial"/>
                <w:b w:val="0"/>
                <w:color w:val="000000"/>
                <w:sz w:val="18"/>
                <w:szCs w:val="18"/>
              </w:rPr>
              <w:t>Teaching status, 0: non-teaching, 1: teaching</w:t>
            </w:r>
          </w:p>
        </w:tc>
        <w:tc>
          <w:tcPr>
            <w:tcW w:w="1134" w:type="dxa"/>
            <w:tcBorders>
              <w:left w:val="single" w:sz="4" w:space="0" w:color="auto"/>
              <w:bottom w:val="single" w:sz="4" w:space="0" w:color="auto"/>
            </w:tcBorders>
            <w:noWrap/>
            <w:hideMark/>
          </w:tcPr>
          <w:p w14:paraId="6067A144"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0.27</w:t>
            </w:r>
          </w:p>
        </w:tc>
        <w:tc>
          <w:tcPr>
            <w:tcW w:w="1275" w:type="dxa"/>
            <w:tcBorders>
              <w:bottom w:val="single" w:sz="4" w:space="0" w:color="auto"/>
              <w:right w:val="single" w:sz="4" w:space="0" w:color="auto"/>
            </w:tcBorders>
            <w:noWrap/>
            <w:hideMark/>
          </w:tcPr>
          <w:p w14:paraId="02A28932"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0.45</w:t>
            </w:r>
          </w:p>
        </w:tc>
        <w:tc>
          <w:tcPr>
            <w:tcW w:w="1134" w:type="dxa"/>
            <w:tcBorders>
              <w:left w:val="single" w:sz="4" w:space="0" w:color="auto"/>
              <w:bottom w:val="single" w:sz="4" w:space="0" w:color="auto"/>
            </w:tcBorders>
            <w:noWrap/>
            <w:hideMark/>
          </w:tcPr>
          <w:p w14:paraId="3075EE53"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0.42</w:t>
            </w:r>
          </w:p>
        </w:tc>
        <w:tc>
          <w:tcPr>
            <w:tcW w:w="1276" w:type="dxa"/>
            <w:tcBorders>
              <w:bottom w:val="single" w:sz="4" w:space="0" w:color="auto"/>
            </w:tcBorders>
            <w:noWrap/>
            <w:hideMark/>
          </w:tcPr>
          <w:p w14:paraId="3744B19C"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0.49</w:t>
            </w:r>
          </w:p>
        </w:tc>
        <w:tc>
          <w:tcPr>
            <w:tcW w:w="851" w:type="dxa"/>
            <w:tcBorders>
              <w:bottom w:val="single" w:sz="4" w:space="0" w:color="auto"/>
              <w:right w:val="single" w:sz="4" w:space="0" w:color="auto"/>
            </w:tcBorders>
            <w:noWrap/>
            <w:hideMark/>
          </w:tcPr>
          <w:p w14:paraId="615E74C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-23.5</w:t>
            </w:r>
          </w:p>
        </w:tc>
        <w:tc>
          <w:tcPr>
            <w:tcW w:w="1134" w:type="dxa"/>
            <w:tcBorders>
              <w:left w:val="single" w:sz="4" w:space="0" w:color="auto"/>
              <w:bottom w:val="single" w:sz="4" w:space="0" w:color="auto"/>
            </w:tcBorders>
            <w:noWrap/>
            <w:hideMark/>
          </w:tcPr>
          <w:p w14:paraId="7FB2DE9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0.24</w:t>
            </w:r>
          </w:p>
        </w:tc>
        <w:tc>
          <w:tcPr>
            <w:tcW w:w="1275" w:type="dxa"/>
            <w:tcBorders>
              <w:bottom w:val="single" w:sz="4" w:space="0" w:color="auto"/>
            </w:tcBorders>
            <w:noWrap/>
            <w:hideMark/>
          </w:tcPr>
          <w:p w14:paraId="0C124111"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0.43</w:t>
            </w:r>
          </w:p>
        </w:tc>
        <w:tc>
          <w:tcPr>
            <w:tcW w:w="851" w:type="dxa"/>
            <w:tcBorders>
              <w:bottom w:val="single" w:sz="4" w:space="0" w:color="auto"/>
              <w:right w:val="single" w:sz="4" w:space="0" w:color="auto"/>
            </w:tcBorders>
            <w:noWrap/>
            <w:hideMark/>
          </w:tcPr>
          <w:p w14:paraId="3356E68B"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w:t>
            </w:r>
          </w:p>
        </w:tc>
      </w:tr>
    </w:tbl>
    <w:p w14:paraId="05D6B091" w14:textId="77777777" w:rsidR="00436537" w:rsidRPr="00616F4F" w:rsidRDefault="00436537" w:rsidP="00AE6CA1">
      <w:pPr>
        <w:rPr>
          <w:rFonts w:cs="Arial"/>
          <w:sz w:val="18"/>
          <w:szCs w:val="18"/>
        </w:rPr>
      </w:pPr>
    </w:p>
    <w:p w14:paraId="18405DA1" w14:textId="77777777" w:rsidR="00436537" w:rsidRPr="00616F4F" w:rsidRDefault="00436537">
      <w:pPr>
        <w:spacing w:after="160" w:line="259" w:lineRule="auto"/>
        <w:rPr>
          <w:rFonts w:cs="Arial"/>
          <w:sz w:val="18"/>
          <w:szCs w:val="18"/>
        </w:rPr>
      </w:pPr>
      <w:r w:rsidRPr="00616F4F">
        <w:rPr>
          <w:rFonts w:cs="Arial"/>
          <w:sz w:val="18"/>
          <w:szCs w:val="18"/>
        </w:rPr>
        <w:br w:type="page"/>
      </w:r>
    </w:p>
    <w:p w14:paraId="640D5F42" w14:textId="102EA458" w:rsidR="00436537" w:rsidRPr="00E2486B" w:rsidRDefault="00436537" w:rsidP="00E2486B">
      <w:pPr>
        <w:rPr>
          <w:b/>
        </w:rPr>
      </w:pPr>
      <w:r w:rsidRPr="00E2486B">
        <w:rPr>
          <w:b/>
        </w:rPr>
        <w:lastRenderedPageBreak/>
        <w:t xml:space="preserve">Table </w:t>
      </w:r>
      <w:r w:rsidR="00635E43" w:rsidRPr="00E2486B">
        <w:rPr>
          <w:b/>
        </w:rPr>
        <w:t>SDC</w:t>
      </w:r>
      <w:r w:rsidR="0041235B" w:rsidRPr="00E2486B">
        <w:rPr>
          <w:b/>
        </w:rPr>
        <w:t>3</w:t>
      </w:r>
      <w:r w:rsidR="00904FCA" w:rsidRPr="00E2486B">
        <w:rPr>
          <w:b/>
        </w:rPr>
        <w:t>d</w:t>
      </w:r>
      <w:r w:rsidRPr="00E2486B">
        <w:rPr>
          <w:b/>
        </w:rPr>
        <w:t>: Post-operative Hip fractur</w:t>
      </w:r>
      <w:r w:rsidR="008125C6" w:rsidRPr="00E2486B">
        <w:rPr>
          <w:b/>
        </w:rPr>
        <w:t>e</w:t>
      </w:r>
      <w:r w:rsidRPr="00E2486B">
        <w:rPr>
          <w:b/>
        </w:rPr>
        <w:t xml:space="preserve">s, year 2009/10 </w:t>
      </w:r>
    </w:p>
    <w:p w14:paraId="700C5917" w14:textId="77777777" w:rsidR="00436537" w:rsidRPr="00616F4F" w:rsidRDefault="00436537" w:rsidP="00AE6CA1">
      <w:pPr>
        <w:rPr>
          <w:rFonts w:cs="Arial"/>
          <w:sz w:val="18"/>
          <w:szCs w:val="18"/>
        </w:rPr>
      </w:pPr>
    </w:p>
    <w:tbl>
      <w:tblPr>
        <w:tblStyle w:val="GridTable4-Accent12"/>
        <w:tblW w:w="13887" w:type="dxa"/>
        <w:tblLayout w:type="fixed"/>
        <w:tblLook w:val="04A0" w:firstRow="1" w:lastRow="0" w:firstColumn="1" w:lastColumn="0" w:noHBand="0" w:noVBand="1"/>
      </w:tblPr>
      <w:tblGrid>
        <w:gridCol w:w="4957"/>
        <w:gridCol w:w="1134"/>
        <w:gridCol w:w="1275"/>
        <w:gridCol w:w="1134"/>
        <w:gridCol w:w="1276"/>
        <w:gridCol w:w="851"/>
        <w:gridCol w:w="1134"/>
        <w:gridCol w:w="1275"/>
        <w:gridCol w:w="851"/>
      </w:tblGrid>
      <w:tr w:rsidR="00436537" w:rsidRPr="00616F4F" w14:paraId="5F60C0A9" w14:textId="77777777" w:rsidTr="008125C6">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right w:val="single" w:sz="4" w:space="0" w:color="auto"/>
            </w:tcBorders>
            <w:noWrap/>
            <w:hideMark/>
          </w:tcPr>
          <w:p w14:paraId="24C2B9B3" w14:textId="77777777" w:rsidR="00436537" w:rsidRPr="00616F4F" w:rsidRDefault="00436537" w:rsidP="00436537">
            <w:pPr>
              <w:spacing w:after="0" w:line="240" w:lineRule="auto"/>
              <w:rPr>
                <w:rFonts w:eastAsia="Times New Roman" w:cs="Arial"/>
                <w:sz w:val="18"/>
                <w:szCs w:val="18"/>
              </w:rPr>
            </w:pPr>
          </w:p>
        </w:tc>
        <w:tc>
          <w:tcPr>
            <w:tcW w:w="2409" w:type="dxa"/>
            <w:gridSpan w:val="2"/>
            <w:tcBorders>
              <w:top w:val="single" w:sz="4" w:space="0" w:color="auto"/>
              <w:left w:val="single" w:sz="4" w:space="0" w:color="auto"/>
              <w:right w:val="single" w:sz="4" w:space="0" w:color="auto"/>
            </w:tcBorders>
            <w:vAlign w:val="center"/>
            <w:hideMark/>
          </w:tcPr>
          <w:p w14:paraId="5D5AC2B2" w14:textId="77777777" w:rsidR="00436537" w:rsidRPr="00616F4F" w:rsidRDefault="00436537" w:rsidP="0043653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Patients with incidents (n=282)</w:t>
            </w:r>
          </w:p>
        </w:tc>
        <w:tc>
          <w:tcPr>
            <w:tcW w:w="3261" w:type="dxa"/>
            <w:gridSpan w:val="3"/>
            <w:tcBorders>
              <w:top w:val="single" w:sz="4" w:space="0" w:color="auto"/>
              <w:left w:val="single" w:sz="4" w:space="0" w:color="auto"/>
              <w:right w:val="single" w:sz="4" w:space="0" w:color="auto"/>
            </w:tcBorders>
            <w:vAlign w:val="center"/>
            <w:hideMark/>
          </w:tcPr>
          <w:p w14:paraId="7DEC091E" w14:textId="77777777" w:rsidR="00436537" w:rsidRPr="00616F4F" w:rsidRDefault="00436537" w:rsidP="0043653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Unmatched control patients (n=4,386,208)</w:t>
            </w:r>
          </w:p>
        </w:tc>
        <w:tc>
          <w:tcPr>
            <w:tcW w:w="3260" w:type="dxa"/>
            <w:gridSpan w:val="3"/>
            <w:tcBorders>
              <w:top w:val="single" w:sz="4" w:space="0" w:color="auto"/>
              <w:left w:val="single" w:sz="4" w:space="0" w:color="auto"/>
              <w:right w:val="single" w:sz="4" w:space="0" w:color="auto"/>
            </w:tcBorders>
            <w:vAlign w:val="center"/>
            <w:hideMark/>
          </w:tcPr>
          <w:p w14:paraId="6326B7A9" w14:textId="77777777" w:rsidR="00436537" w:rsidRPr="00616F4F" w:rsidRDefault="00436537" w:rsidP="00436537">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Matched control patients (n=292)</w:t>
            </w:r>
          </w:p>
        </w:tc>
      </w:tr>
      <w:tr w:rsidR="00436537" w:rsidRPr="00616F4F" w14:paraId="5F8F518A" w14:textId="77777777" w:rsidTr="008125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1DCBED50" w14:textId="77777777" w:rsidR="00436537" w:rsidRPr="00616F4F" w:rsidRDefault="00436537" w:rsidP="00436537">
            <w:pPr>
              <w:spacing w:after="0" w:line="240" w:lineRule="auto"/>
              <w:rPr>
                <w:rFonts w:eastAsia="Times New Roman" w:cs="Arial"/>
                <w:color w:val="000000"/>
                <w:sz w:val="18"/>
                <w:szCs w:val="18"/>
              </w:rPr>
            </w:pPr>
            <w:r w:rsidRPr="00616F4F">
              <w:rPr>
                <w:rFonts w:eastAsia="Times New Roman" w:cs="Arial"/>
                <w:color w:val="000000"/>
                <w:sz w:val="18"/>
                <w:szCs w:val="18"/>
              </w:rPr>
              <w:t>Outcomes</w:t>
            </w:r>
          </w:p>
        </w:tc>
        <w:tc>
          <w:tcPr>
            <w:tcW w:w="1134" w:type="dxa"/>
            <w:tcBorders>
              <w:left w:val="single" w:sz="4" w:space="0" w:color="auto"/>
            </w:tcBorders>
            <w:noWrap/>
            <w:hideMark/>
          </w:tcPr>
          <w:p w14:paraId="335BC857" w14:textId="77777777" w:rsidR="00436537" w:rsidRPr="00616F4F" w:rsidRDefault="00436537" w:rsidP="008125C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275" w:type="dxa"/>
            <w:tcBorders>
              <w:right w:val="single" w:sz="4" w:space="0" w:color="auto"/>
            </w:tcBorders>
            <w:noWrap/>
            <w:hideMark/>
          </w:tcPr>
          <w:p w14:paraId="632186DF" w14:textId="77777777" w:rsidR="00436537" w:rsidRPr="00616F4F" w:rsidRDefault="00436537" w:rsidP="008125C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1134" w:type="dxa"/>
            <w:tcBorders>
              <w:left w:val="single" w:sz="4" w:space="0" w:color="auto"/>
            </w:tcBorders>
            <w:noWrap/>
            <w:hideMark/>
          </w:tcPr>
          <w:p w14:paraId="18400DFA" w14:textId="77777777" w:rsidR="00436537" w:rsidRPr="00616F4F" w:rsidRDefault="00436537" w:rsidP="008125C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276" w:type="dxa"/>
            <w:noWrap/>
            <w:hideMark/>
          </w:tcPr>
          <w:p w14:paraId="6C64F80C" w14:textId="77777777" w:rsidR="00436537" w:rsidRPr="00616F4F" w:rsidRDefault="00436537" w:rsidP="008125C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851" w:type="dxa"/>
            <w:tcBorders>
              <w:right w:val="single" w:sz="4" w:space="0" w:color="auto"/>
            </w:tcBorders>
            <w:noWrap/>
            <w:hideMark/>
          </w:tcPr>
          <w:p w14:paraId="788CE874" w14:textId="77777777" w:rsidR="00436537" w:rsidRPr="00616F4F" w:rsidRDefault="00436537" w:rsidP="008125C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c>
          <w:tcPr>
            <w:tcW w:w="1134" w:type="dxa"/>
            <w:tcBorders>
              <w:left w:val="single" w:sz="4" w:space="0" w:color="auto"/>
            </w:tcBorders>
            <w:noWrap/>
            <w:hideMark/>
          </w:tcPr>
          <w:p w14:paraId="50BEB355" w14:textId="77777777" w:rsidR="00436537" w:rsidRPr="00616F4F" w:rsidRDefault="00436537" w:rsidP="008125C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275" w:type="dxa"/>
            <w:noWrap/>
            <w:hideMark/>
          </w:tcPr>
          <w:p w14:paraId="3EF2B432" w14:textId="77777777" w:rsidR="00436537" w:rsidRPr="00616F4F" w:rsidRDefault="00436537" w:rsidP="008125C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851" w:type="dxa"/>
            <w:tcBorders>
              <w:right w:val="single" w:sz="4" w:space="0" w:color="auto"/>
            </w:tcBorders>
            <w:noWrap/>
            <w:hideMark/>
          </w:tcPr>
          <w:p w14:paraId="7FF7C6B7" w14:textId="77777777" w:rsidR="00436537" w:rsidRPr="00616F4F" w:rsidRDefault="00436537" w:rsidP="008125C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r>
      <w:tr w:rsidR="008125C6" w:rsidRPr="00616F4F" w14:paraId="7DEFB2CB" w14:textId="77777777" w:rsidTr="008125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18380D1A"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Death, in-hospital</w:t>
            </w:r>
          </w:p>
        </w:tc>
        <w:tc>
          <w:tcPr>
            <w:tcW w:w="1134" w:type="dxa"/>
            <w:tcBorders>
              <w:left w:val="single" w:sz="4" w:space="0" w:color="auto"/>
            </w:tcBorders>
            <w:noWrap/>
            <w:hideMark/>
          </w:tcPr>
          <w:p w14:paraId="395B5C7D"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0.27</w:t>
            </w:r>
          </w:p>
        </w:tc>
        <w:tc>
          <w:tcPr>
            <w:tcW w:w="1275" w:type="dxa"/>
            <w:tcBorders>
              <w:right w:val="single" w:sz="4" w:space="0" w:color="auto"/>
            </w:tcBorders>
            <w:noWrap/>
            <w:hideMark/>
          </w:tcPr>
          <w:p w14:paraId="00F7EA2D"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0.44</w:t>
            </w:r>
          </w:p>
        </w:tc>
        <w:tc>
          <w:tcPr>
            <w:tcW w:w="1134" w:type="dxa"/>
            <w:tcBorders>
              <w:left w:val="single" w:sz="4" w:space="0" w:color="auto"/>
            </w:tcBorders>
            <w:noWrap/>
            <w:hideMark/>
          </w:tcPr>
          <w:p w14:paraId="41DF6DC1"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0.01</w:t>
            </w:r>
          </w:p>
        </w:tc>
        <w:tc>
          <w:tcPr>
            <w:tcW w:w="1276" w:type="dxa"/>
            <w:noWrap/>
            <w:hideMark/>
          </w:tcPr>
          <w:p w14:paraId="338261CD"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0.08</w:t>
            </w:r>
          </w:p>
        </w:tc>
        <w:tc>
          <w:tcPr>
            <w:tcW w:w="851" w:type="dxa"/>
            <w:tcBorders>
              <w:right w:val="single" w:sz="4" w:space="0" w:color="auto"/>
            </w:tcBorders>
            <w:noWrap/>
            <w:hideMark/>
          </w:tcPr>
          <w:p w14:paraId="2BEECEDD"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left w:val="single" w:sz="4" w:space="0" w:color="auto"/>
            </w:tcBorders>
            <w:noWrap/>
            <w:hideMark/>
          </w:tcPr>
          <w:p w14:paraId="0382C284"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0.08</w:t>
            </w:r>
          </w:p>
        </w:tc>
        <w:tc>
          <w:tcPr>
            <w:tcW w:w="1275" w:type="dxa"/>
            <w:noWrap/>
            <w:hideMark/>
          </w:tcPr>
          <w:p w14:paraId="4A6CE758"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0.26</w:t>
            </w:r>
          </w:p>
        </w:tc>
        <w:tc>
          <w:tcPr>
            <w:tcW w:w="851" w:type="dxa"/>
            <w:tcBorders>
              <w:right w:val="single" w:sz="4" w:space="0" w:color="auto"/>
            </w:tcBorders>
            <w:noWrap/>
            <w:hideMark/>
          </w:tcPr>
          <w:p w14:paraId="4EF3E6F2"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r>
      <w:tr w:rsidR="00436537" w:rsidRPr="00616F4F" w14:paraId="13C1B564" w14:textId="77777777" w:rsidTr="008125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right w:val="single" w:sz="4" w:space="0" w:color="auto"/>
            </w:tcBorders>
            <w:noWrap/>
            <w:hideMark/>
          </w:tcPr>
          <w:p w14:paraId="6FAB10A0"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Bed-days</w:t>
            </w:r>
          </w:p>
        </w:tc>
        <w:tc>
          <w:tcPr>
            <w:tcW w:w="1134" w:type="dxa"/>
            <w:tcBorders>
              <w:left w:val="single" w:sz="4" w:space="0" w:color="auto"/>
              <w:bottom w:val="single" w:sz="4" w:space="0" w:color="auto"/>
            </w:tcBorders>
            <w:noWrap/>
            <w:hideMark/>
          </w:tcPr>
          <w:p w14:paraId="10A9C622"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44.47</w:t>
            </w:r>
          </w:p>
        </w:tc>
        <w:tc>
          <w:tcPr>
            <w:tcW w:w="1275" w:type="dxa"/>
            <w:tcBorders>
              <w:bottom w:val="single" w:sz="4" w:space="0" w:color="auto"/>
              <w:right w:val="single" w:sz="4" w:space="0" w:color="auto"/>
            </w:tcBorders>
            <w:noWrap/>
            <w:hideMark/>
          </w:tcPr>
          <w:p w14:paraId="5C22D181"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44.25</w:t>
            </w:r>
          </w:p>
        </w:tc>
        <w:tc>
          <w:tcPr>
            <w:tcW w:w="1134" w:type="dxa"/>
            <w:tcBorders>
              <w:left w:val="single" w:sz="4" w:space="0" w:color="auto"/>
              <w:bottom w:val="single" w:sz="4" w:space="0" w:color="auto"/>
            </w:tcBorders>
            <w:noWrap/>
            <w:hideMark/>
          </w:tcPr>
          <w:p w14:paraId="3ECC22D2"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2.12</w:t>
            </w:r>
          </w:p>
        </w:tc>
        <w:tc>
          <w:tcPr>
            <w:tcW w:w="1276" w:type="dxa"/>
            <w:tcBorders>
              <w:bottom w:val="single" w:sz="4" w:space="0" w:color="auto"/>
            </w:tcBorders>
            <w:noWrap/>
            <w:hideMark/>
          </w:tcPr>
          <w:p w14:paraId="3860ADC7"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9.77</w:t>
            </w:r>
          </w:p>
        </w:tc>
        <w:tc>
          <w:tcPr>
            <w:tcW w:w="851" w:type="dxa"/>
            <w:tcBorders>
              <w:bottom w:val="single" w:sz="4" w:space="0" w:color="auto"/>
              <w:right w:val="single" w:sz="4" w:space="0" w:color="auto"/>
            </w:tcBorders>
            <w:noWrap/>
            <w:hideMark/>
          </w:tcPr>
          <w:p w14:paraId="6FF77CD0"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1134" w:type="dxa"/>
            <w:tcBorders>
              <w:left w:val="single" w:sz="4" w:space="0" w:color="auto"/>
              <w:bottom w:val="single" w:sz="4" w:space="0" w:color="auto"/>
            </w:tcBorders>
            <w:noWrap/>
            <w:hideMark/>
          </w:tcPr>
          <w:p w14:paraId="047C2962"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14.68</w:t>
            </w:r>
          </w:p>
        </w:tc>
        <w:tc>
          <w:tcPr>
            <w:tcW w:w="1275" w:type="dxa"/>
            <w:tcBorders>
              <w:bottom w:val="single" w:sz="4" w:space="0" w:color="auto"/>
            </w:tcBorders>
            <w:noWrap/>
            <w:hideMark/>
          </w:tcPr>
          <w:p w14:paraId="2A4C44C8"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27.58</w:t>
            </w:r>
          </w:p>
        </w:tc>
        <w:tc>
          <w:tcPr>
            <w:tcW w:w="851" w:type="dxa"/>
            <w:tcBorders>
              <w:bottom w:val="single" w:sz="4" w:space="0" w:color="auto"/>
              <w:right w:val="single" w:sz="4" w:space="0" w:color="auto"/>
            </w:tcBorders>
            <w:noWrap/>
            <w:hideMark/>
          </w:tcPr>
          <w:p w14:paraId="4AF77EA1"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r>
      <w:tr w:rsidR="00436537" w:rsidRPr="00616F4F" w14:paraId="37C654B8" w14:textId="77777777" w:rsidTr="008125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right w:val="single" w:sz="4" w:space="0" w:color="auto"/>
            </w:tcBorders>
            <w:noWrap/>
          </w:tcPr>
          <w:p w14:paraId="09587B13" w14:textId="77777777" w:rsidR="00436537" w:rsidRPr="00616F4F" w:rsidRDefault="00436537" w:rsidP="00436537">
            <w:pPr>
              <w:spacing w:after="0" w:line="240" w:lineRule="auto"/>
              <w:rPr>
                <w:rFonts w:eastAsia="Times New Roman" w:cs="Arial"/>
                <w:color w:val="000000"/>
                <w:sz w:val="18"/>
                <w:szCs w:val="18"/>
              </w:rPr>
            </w:pPr>
            <w:r w:rsidRPr="00616F4F">
              <w:rPr>
                <w:rFonts w:eastAsia="Times New Roman" w:cs="Arial"/>
                <w:color w:val="000000"/>
                <w:sz w:val="18"/>
                <w:szCs w:val="18"/>
              </w:rPr>
              <w:t>Covariates</w:t>
            </w:r>
          </w:p>
        </w:tc>
        <w:tc>
          <w:tcPr>
            <w:tcW w:w="1134" w:type="dxa"/>
            <w:tcBorders>
              <w:top w:val="single" w:sz="4" w:space="0" w:color="auto"/>
              <w:left w:val="single" w:sz="4" w:space="0" w:color="auto"/>
            </w:tcBorders>
            <w:noWrap/>
          </w:tcPr>
          <w:p w14:paraId="22762ECB"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top w:val="single" w:sz="4" w:space="0" w:color="auto"/>
              <w:right w:val="single" w:sz="4" w:space="0" w:color="auto"/>
            </w:tcBorders>
            <w:noWrap/>
          </w:tcPr>
          <w:p w14:paraId="2AEDDFA3"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top w:val="single" w:sz="4" w:space="0" w:color="auto"/>
              <w:left w:val="single" w:sz="4" w:space="0" w:color="auto"/>
            </w:tcBorders>
            <w:noWrap/>
          </w:tcPr>
          <w:p w14:paraId="02A94B68"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6" w:type="dxa"/>
            <w:tcBorders>
              <w:top w:val="single" w:sz="4" w:space="0" w:color="auto"/>
            </w:tcBorders>
            <w:noWrap/>
          </w:tcPr>
          <w:p w14:paraId="33BE8A6E"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851" w:type="dxa"/>
            <w:tcBorders>
              <w:top w:val="single" w:sz="4" w:space="0" w:color="auto"/>
              <w:right w:val="single" w:sz="4" w:space="0" w:color="auto"/>
            </w:tcBorders>
            <w:noWrap/>
          </w:tcPr>
          <w:p w14:paraId="2FD179E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top w:val="single" w:sz="4" w:space="0" w:color="auto"/>
              <w:left w:val="single" w:sz="4" w:space="0" w:color="auto"/>
            </w:tcBorders>
            <w:noWrap/>
          </w:tcPr>
          <w:p w14:paraId="123E5888"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top w:val="single" w:sz="4" w:space="0" w:color="auto"/>
            </w:tcBorders>
            <w:noWrap/>
          </w:tcPr>
          <w:p w14:paraId="7CD70310"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851" w:type="dxa"/>
            <w:tcBorders>
              <w:top w:val="single" w:sz="4" w:space="0" w:color="auto"/>
              <w:right w:val="single" w:sz="4" w:space="0" w:color="auto"/>
            </w:tcBorders>
            <w:noWrap/>
          </w:tcPr>
          <w:p w14:paraId="5F9D7CB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r>
      <w:tr w:rsidR="00436537" w:rsidRPr="00616F4F" w14:paraId="348D6F25" w14:textId="77777777" w:rsidTr="008125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4EACE152"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Age</w:t>
            </w:r>
          </w:p>
        </w:tc>
        <w:tc>
          <w:tcPr>
            <w:tcW w:w="1134" w:type="dxa"/>
            <w:tcBorders>
              <w:left w:val="single" w:sz="4" w:space="0" w:color="auto"/>
            </w:tcBorders>
            <w:noWrap/>
            <w:hideMark/>
          </w:tcPr>
          <w:p w14:paraId="594CF5C2"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77.03</w:t>
            </w:r>
          </w:p>
        </w:tc>
        <w:tc>
          <w:tcPr>
            <w:tcW w:w="1275" w:type="dxa"/>
            <w:tcBorders>
              <w:right w:val="single" w:sz="4" w:space="0" w:color="auto"/>
            </w:tcBorders>
            <w:noWrap/>
            <w:hideMark/>
          </w:tcPr>
          <w:p w14:paraId="787CEDB0"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12.67</w:t>
            </w:r>
          </w:p>
        </w:tc>
        <w:tc>
          <w:tcPr>
            <w:tcW w:w="1134" w:type="dxa"/>
            <w:tcBorders>
              <w:left w:val="single" w:sz="4" w:space="0" w:color="auto"/>
            </w:tcBorders>
            <w:noWrap/>
            <w:hideMark/>
          </w:tcPr>
          <w:p w14:paraId="6BB76D73"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58.81</w:t>
            </w:r>
          </w:p>
        </w:tc>
        <w:tc>
          <w:tcPr>
            <w:tcW w:w="1276" w:type="dxa"/>
            <w:noWrap/>
            <w:hideMark/>
          </w:tcPr>
          <w:p w14:paraId="76EEBFFF"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18.21</w:t>
            </w:r>
          </w:p>
        </w:tc>
        <w:tc>
          <w:tcPr>
            <w:tcW w:w="851" w:type="dxa"/>
            <w:tcBorders>
              <w:right w:val="single" w:sz="4" w:space="0" w:color="auto"/>
            </w:tcBorders>
            <w:noWrap/>
            <w:hideMark/>
          </w:tcPr>
          <w:p w14:paraId="40489724"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106.2</w:t>
            </w:r>
          </w:p>
        </w:tc>
        <w:tc>
          <w:tcPr>
            <w:tcW w:w="1134" w:type="dxa"/>
            <w:tcBorders>
              <w:left w:val="single" w:sz="4" w:space="0" w:color="auto"/>
            </w:tcBorders>
            <w:noWrap/>
            <w:hideMark/>
          </w:tcPr>
          <w:p w14:paraId="3BDB2382"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76.1</w:t>
            </w:r>
          </w:p>
        </w:tc>
        <w:tc>
          <w:tcPr>
            <w:tcW w:w="1275" w:type="dxa"/>
            <w:noWrap/>
            <w:hideMark/>
          </w:tcPr>
          <w:p w14:paraId="60EE0D7D"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10.59</w:t>
            </w:r>
          </w:p>
        </w:tc>
        <w:tc>
          <w:tcPr>
            <w:tcW w:w="851" w:type="dxa"/>
            <w:tcBorders>
              <w:right w:val="single" w:sz="4" w:space="0" w:color="auto"/>
            </w:tcBorders>
            <w:noWrap/>
            <w:hideMark/>
          </w:tcPr>
          <w:p w14:paraId="27885764"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r>
      <w:tr w:rsidR="00436537" w:rsidRPr="00616F4F" w14:paraId="6D2AD0A8" w14:textId="77777777" w:rsidTr="008125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30EDB3C9"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Sex of patient, 0: male 1: female</w:t>
            </w:r>
          </w:p>
        </w:tc>
        <w:tc>
          <w:tcPr>
            <w:tcW w:w="1134" w:type="dxa"/>
            <w:tcBorders>
              <w:left w:val="single" w:sz="4" w:space="0" w:color="auto"/>
            </w:tcBorders>
            <w:noWrap/>
            <w:hideMark/>
          </w:tcPr>
          <w:p w14:paraId="2A16FB9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0.62</w:t>
            </w:r>
          </w:p>
        </w:tc>
        <w:tc>
          <w:tcPr>
            <w:tcW w:w="1275" w:type="dxa"/>
            <w:tcBorders>
              <w:right w:val="single" w:sz="4" w:space="0" w:color="auto"/>
            </w:tcBorders>
            <w:noWrap/>
            <w:hideMark/>
          </w:tcPr>
          <w:p w14:paraId="4EBE93F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0.49</w:t>
            </w:r>
          </w:p>
        </w:tc>
        <w:tc>
          <w:tcPr>
            <w:tcW w:w="1134" w:type="dxa"/>
            <w:tcBorders>
              <w:left w:val="single" w:sz="4" w:space="0" w:color="auto"/>
            </w:tcBorders>
            <w:noWrap/>
            <w:hideMark/>
          </w:tcPr>
          <w:p w14:paraId="003F48D8"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0.51</w:t>
            </w:r>
          </w:p>
        </w:tc>
        <w:tc>
          <w:tcPr>
            <w:tcW w:w="1276" w:type="dxa"/>
            <w:noWrap/>
            <w:hideMark/>
          </w:tcPr>
          <w:p w14:paraId="16DA3F58"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right w:val="single" w:sz="4" w:space="0" w:color="auto"/>
            </w:tcBorders>
            <w:noWrap/>
            <w:hideMark/>
          </w:tcPr>
          <w:p w14:paraId="4DBCC146"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21.3</w:t>
            </w:r>
          </w:p>
        </w:tc>
        <w:tc>
          <w:tcPr>
            <w:tcW w:w="1134" w:type="dxa"/>
            <w:tcBorders>
              <w:left w:val="single" w:sz="4" w:space="0" w:color="auto"/>
            </w:tcBorders>
            <w:noWrap/>
            <w:hideMark/>
          </w:tcPr>
          <w:p w14:paraId="5D4F8C60"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0.63</w:t>
            </w:r>
          </w:p>
        </w:tc>
        <w:tc>
          <w:tcPr>
            <w:tcW w:w="1275" w:type="dxa"/>
            <w:noWrap/>
            <w:hideMark/>
          </w:tcPr>
          <w:p w14:paraId="4FC92B25"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0.48</w:t>
            </w:r>
          </w:p>
        </w:tc>
        <w:tc>
          <w:tcPr>
            <w:tcW w:w="851" w:type="dxa"/>
            <w:tcBorders>
              <w:right w:val="single" w:sz="4" w:space="0" w:color="auto"/>
            </w:tcBorders>
            <w:noWrap/>
            <w:hideMark/>
          </w:tcPr>
          <w:p w14:paraId="73891656"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0.7</w:t>
            </w:r>
          </w:p>
        </w:tc>
      </w:tr>
      <w:tr w:rsidR="00436537" w:rsidRPr="00616F4F" w14:paraId="2033C97E" w14:textId="77777777" w:rsidTr="008125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1E93C122"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 xml:space="preserve">Weighted </w:t>
            </w:r>
            <w:proofErr w:type="spellStart"/>
            <w:r w:rsidRPr="00616F4F">
              <w:rPr>
                <w:rFonts w:eastAsia="Times New Roman" w:cs="Arial"/>
                <w:b w:val="0"/>
                <w:color w:val="000000"/>
                <w:sz w:val="18"/>
                <w:szCs w:val="18"/>
              </w:rPr>
              <w:t>Charlson</w:t>
            </w:r>
            <w:proofErr w:type="spellEnd"/>
            <w:r w:rsidRPr="00616F4F">
              <w:rPr>
                <w:rFonts w:eastAsia="Times New Roman" w:cs="Arial"/>
                <w:b w:val="0"/>
                <w:color w:val="000000"/>
                <w:sz w:val="18"/>
                <w:szCs w:val="18"/>
              </w:rPr>
              <w:t xml:space="preserve"> Index</w:t>
            </w:r>
          </w:p>
        </w:tc>
        <w:tc>
          <w:tcPr>
            <w:tcW w:w="1134" w:type="dxa"/>
            <w:tcBorders>
              <w:left w:val="single" w:sz="4" w:space="0" w:color="auto"/>
            </w:tcBorders>
            <w:noWrap/>
            <w:hideMark/>
          </w:tcPr>
          <w:p w14:paraId="2564F1D2"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1.68</w:t>
            </w:r>
          </w:p>
        </w:tc>
        <w:tc>
          <w:tcPr>
            <w:tcW w:w="1275" w:type="dxa"/>
            <w:tcBorders>
              <w:right w:val="single" w:sz="4" w:space="0" w:color="auto"/>
            </w:tcBorders>
            <w:noWrap/>
            <w:hideMark/>
          </w:tcPr>
          <w:p w14:paraId="2C9DCF2B"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w:t>
            </w:r>
          </w:p>
        </w:tc>
        <w:tc>
          <w:tcPr>
            <w:tcW w:w="1134" w:type="dxa"/>
            <w:tcBorders>
              <w:left w:val="single" w:sz="4" w:space="0" w:color="auto"/>
            </w:tcBorders>
            <w:noWrap/>
            <w:hideMark/>
          </w:tcPr>
          <w:p w14:paraId="3D218235"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0.46</w:t>
            </w:r>
          </w:p>
        </w:tc>
        <w:tc>
          <w:tcPr>
            <w:tcW w:w="1276" w:type="dxa"/>
            <w:noWrap/>
            <w:hideMark/>
          </w:tcPr>
          <w:p w14:paraId="498D0013"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0.91</w:t>
            </w:r>
          </w:p>
        </w:tc>
        <w:tc>
          <w:tcPr>
            <w:tcW w:w="851" w:type="dxa"/>
            <w:tcBorders>
              <w:right w:val="single" w:sz="4" w:space="0" w:color="auto"/>
            </w:tcBorders>
            <w:noWrap/>
            <w:hideMark/>
          </w:tcPr>
          <w:p w14:paraId="4148A40E"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85.7</w:t>
            </w:r>
          </w:p>
        </w:tc>
        <w:tc>
          <w:tcPr>
            <w:tcW w:w="1134" w:type="dxa"/>
            <w:tcBorders>
              <w:left w:val="single" w:sz="4" w:space="0" w:color="auto"/>
            </w:tcBorders>
            <w:noWrap/>
            <w:hideMark/>
          </w:tcPr>
          <w:p w14:paraId="1ACA8E0C"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1.69</w:t>
            </w:r>
          </w:p>
        </w:tc>
        <w:tc>
          <w:tcPr>
            <w:tcW w:w="1275" w:type="dxa"/>
            <w:noWrap/>
            <w:hideMark/>
          </w:tcPr>
          <w:p w14:paraId="67B8177B"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1.67</w:t>
            </w:r>
          </w:p>
        </w:tc>
        <w:tc>
          <w:tcPr>
            <w:tcW w:w="851" w:type="dxa"/>
            <w:tcBorders>
              <w:right w:val="single" w:sz="4" w:space="0" w:color="auto"/>
            </w:tcBorders>
            <w:noWrap/>
            <w:hideMark/>
          </w:tcPr>
          <w:p w14:paraId="1C69C192"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-3.5</w:t>
            </w:r>
          </w:p>
        </w:tc>
      </w:tr>
      <w:tr w:rsidR="00436537" w:rsidRPr="00616F4F" w14:paraId="30F654DE" w14:textId="77777777" w:rsidTr="008125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7DC5BD3D"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Index of multiple deprivation</w:t>
            </w:r>
          </w:p>
        </w:tc>
        <w:tc>
          <w:tcPr>
            <w:tcW w:w="1134" w:type="dxa"/>
            <w:tcBorders>
              <w:left w:val="single" w:sz="4" w:space="0" w:color="auto"/>
            </w:tcBorders>
            <w:noWrap/>
            <w:hideMark/>
          </w:tcPr>
          <w:p w14:paraId="25F9BE8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22.86</w:t>
            </w:r>
          </w:p>
        </w:tc>
        <w:tc>
          <w:tcPr>
            <w:tcW w:w="1275" w:type="dxa"/>
            <w:tcBorders>
              <w:right w:val="single" w:sz="4" w:space="0" w:color="auto"/>
            </w:tcBorders>
            <w:noWrap/>
            <w:hideMark/>
          </w:tcPr>
          <w:p w14:paraId="790F1423"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16.26</w:t>
            </w:r>
          </w:p>
        </w:tc>
        <w:tc>
          <w:tcPr>
            <w:tcW w:w="1134" w:type="dxa"/>
            <w:tcBorders>
              <w:left w:val="single" w:sz="4" w:space="0" w:color="auto"/>
            </w:tcBorders>
            <w:noWrap/>
            <w:hideMark/>
          </w:tcPr>
          <w:p w14:paraId="52846D69"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21.73</w:t>
            </w:r>
          </w:p>
        </w:tc>
        <w:tc>
          <w:tcPr>
            <w:tcW w:w="1276" w:type="dxa"/>
            <w:noWrap/>
            <w:hideMark/>
          </w:tcPr>
          <w:p w14:paraId="3D664829"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15.57</w:t>
            </w:r>
          </w:p>
        </w:tc>
        <w:tc>
          <w:tcPr>
            <w:tcW w:w="851" w:type="dxa"/>
            <w:tcBorders>
              <w:right w:val="single" w:sz="4" w:space="0" w:color="auto"/>
            </w:tcBorders>
            <w:noWrap/>
            <w:hideMark/>
          </w:tcPr>
          <w:p w14:paraId="17EB1FC5"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7.3</w:t>
            </w:r>
          </w:p>
        </w:tc>
        <w:tc>
          <w:tcPr>
            <w:tcW w:w="1134" w:type="dxa"/>
            <w:tcBorders>
              <w:left w:val="single" w:sz="4" w:space="0" w:color="auto"/>
            </w:tcBorders>
            <w:noWrap/>
            <w:hideMark/>
          </w:tcPr>
          <w:p w14:paraId="322E77FF"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22.42</w:t>
            </w:r>
          </w:p>
        </w:tc>
        <w:tc>
          <w:tcPr>
            <w:tcW w:w="1275" w:type="dxa"/>
            <w:noWrap/>
            <w:hideMark/>
          </w:tcPr>
          <w:p w14:paraId="3BBE4AA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16.14</w:t>
            </w:r>
          </w:p>
        </w:tc>
        <w:tc>
          <w:tcPr>
            <w:tcW w:w="851" w:type="dxa"/>
            <w:tcBorders>
              <w:right w:val="single" w:sz="4" w:space="0" w:color="auto"/>
            </w:tcBorders>
            <w:noWrap/>
            <w:hideMark/>
          </w:tcPr>
          <w:p w14:paraId="0E42BA6B"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2.8</w:t>
            </w:r>
          </w:p>
        </w:tc>
      </w:tr>
      <w:tr w:rsidR="00436537" w:rsidRPr="00616F4F" w14:paraId="345327E0" w14:textId="77777777" w:rsidTr="008125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752292C0"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Number of diagnoses in patient record (excl. PSI codes)</w:t>
            </w:r>
          </w:p>
        </w:tc>
        <w:tc>
          <w:tcPr>
            <w:tcW w:w="1134" w:type="dxa"/>
            <w:tcBorders>
              <w:left w:val="single" w:sz="4" w:space="0" w:color="auto"/>
            </w:tcBorders>
            <w:noWrap/>
            <w:hideMark/>
          </w:tcPr>
          <w:p w14:paraId="4A64C23D"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7.88</w:t>
            </w:r>
          </w:p>
        </w:tc>
        <w:tc>
          <w:tcPr>
            <w:tcW w:w="1275" w:type="dxa"/>
            <w:tcBorders>
              <w:right w:val="single" w:sz="4" w:space="0" w:color="auto"/>
            </w:tcBorders>
            <w:noWrap/>
            <w:hideMark/>
          </w:tcPr>
          <w:p w14:paraId="167C8CFB"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w:t>
            </w:r>
          </w:p>
        </w:tc>
        <w:tc>
          <w:tcPr>
            <w:tcW w:w="1134" w:type="dxa"/>
            <w:tcBorders>
              <w:left w:val="single" w:sz="4" w:space="0" w:color="auto"/>
            </w:tcBorders>
            <w:noWrap/>
            <w:hideMark/>
          </w:tcPr>
          <w:p w14:paraId="43394576"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2.83</w:t>
            </w:r>
          </w:p>
        </w:tc>
        <w:tc>
          <w:tcPr>
            <w:tcW w:w="1276" w:type="dxa"/>
            <w:noWrap/>
            <w:hideMark/>
          </w:tcPr>
          <w:p w14:paraId="072A9643"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2.17</w:t>
            </w:r>
          </w:p>
        </w:tc>
        <w:tc>
          <w:tcPr>
            <w:tcW w:w="851" w:type="dxa"/>
            <w:tcBorders>
              <w:right w:val="single" w:sz="4" w:space="0" w:color="auto"/>
            </w:tcBorders>
            <w:noWrap/>
            <w:hideMark/>
          </w:tcPr>
          <w:p w14:paraId="07D34C61"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180.3</w:t>
            </w:r>
          </w:p>
        </w:tc>
        <w:tc>
          <w:tcPr>
            <w:tcW w:w="1134" w:type="dxa"/>
            <w:tcBorders>
              <w:left w:val="single" w:sz="4" w:space="0" w:color="auto"/>
            </w:tcBorders>
            <w:noWrap/>
            <w:hideMark/>
          </w:tcPr>
          <w:p w14:paraId="5025D604"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7.78</w:t>
            </w:r>
          </w:p>
        </w:tc>
        <w:tc>
          <w:tcPr>
            <w:tcW w:w="1275" w:type="dxa"/>
            <w:noWrap/>
            <w:hideMark/>
          </w:tcPr>
          <w:p w14:paraId="56903ACF"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3.65</w:t>
            </w:r>
          </w:p>
        </w:tc>
        <w:tc>
          <w:tcPr>
            <w:tcW w:w="851" w:type="dxa"/>
            <w:tcBorders>
              <w:right w:val="single" w:sz="4" w:space="0" w:color="auto"/>
            </w:tcBorders>
            <w:noWrap/>
            <w:hideMark/>
          </w:tcPr>
          <w:p w14:paraId="762CEB7E"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w:t>
            </w:r>
          </w:p>
        </w:tc>
      </w:tr>
      <w:tr w:rsidR="00436537" w:rsidRPr="00616F4F" w14:paraId="68E8E051" w14:textId="77777777" w:rsidTr="008125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752D93D0"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Medical and dental staff WTE</w:t>
            </w:r>
          </w:p>
        </w:tc>
        <w:tc>
          <w:tcPr>
            <w:tcW w:w="1134" w:type="dxa"/>
            <w:tcBorders>
              <w:left w:val="single" w:sz="4" w:space="0" w:color="auto"/>
            </w:tcBorders>
            <w:noWrap/>
            <w:hideMark/>
          </w:tcPr>
          <w:p w14:paraId="708C91CA"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615.44</w:t>
            </w:r>
          </w:p>
        </w:tc>
        <w:tc>
          <w:tcPr>
            <w:tcW w:w="1275" w:type="dxa"/>
            <w:tcBorders>
              <w:right w:val="single" w:sz="4" w:space="0" w:color="auto"/>
            </w:tcBorders>
            <w:noWrap/>
            <w:hideMark/>
          </w:tcPr>
          <w:p w14:paraId="5BC1DCB4"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352.46</w:t>
            </w:r>
          </w:p>
        </w:tc>
        <w:tc>
          <w:tcPr>
            <w:tcW w:w="1134" w:type="dxa"/>
            <w:tcBorders>
              <w:left w:val="single" w:sz="4" w:space="0" w:color="auto"/>
            </w:tcBorders>
            <w:noWrap/>
            <w:hideMark/>
          </w:tcPr>
          <w:p w14:paraId="373CDC01"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654.09</w:t>
            </w:r>
          </w:p>
        </w:tc>
        <w:tc>
          <w:tcPr>
            <w:tcW w:w="1276" w:type="dxa"/>
            <w:noWrap/>
            <w:hideMark/>
          </w:tcPr>
          <w:p w14:paraId="34D0DA72"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372.26</w:t>
            </w:r>
          </w:p>
        </w:tc>
        <w:tc>
          <w:tcPr>
            <w:tcW w:w="851" w:type="dxa"/>
            <w:tcBorders>
              <w:right w:val="single" w:sz="4" w:space="0" w:color="auto"/>
            </w:tcBorders>
            <w:noWrap/>
            <w:hideMark/>
          </w:tcPr>
          <w:p w14:paraId="4B591736"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-12.3</w:t>
            </w:r>
          </w:p>
        </w:tc>
        <w:tc>
          <w:tcPr>
            <w:tcW w:w="1134" w:type="dxa"/>
            <w:tcBorders>
              <w:left w:val="single" w:sz="4" w:space="0" w:color="auto"/>
            </w:tcBorders>
            <w:noWrap/>
            <w:hideMark/>
          </w:tcPr>
          <w:p w14:paraId="33DC5D9E"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599.65</w:t>
            </w:r>
          </w:p>
        </w:tc>
        <w:tc>
          <w:tcPr>
            <w:tcW w:w="1275" w:type="dxa"/>
            <w:noWrap/>
            <w:hideMark/>
          </w:tcPr>
          <w:p w14:paraId="28003890"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338.57</w:t>
            </w:r>
          </w:p>
        </w:tc>
        <w:tc>
          <w:tcPr>
            <w:tcW w:w="851" w:type="dxa"/>
            <w:tcBorders>
              <w:right w:val="single" w:sz="4" w:space="0" w:color="auto"/>
            </w:tcBorders>
            <w:noWrap/>
            <w:hideMark/>
          </w:tcPr>
          <w:p w14:paraId="2B86AEB3"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2.8</w:t>
            </w:r>
          </w:p>
        </w:tc>
      </w:tr>
      <w:tr w:rsidR="00436537" w:rsidRPr="00616F4F" w14:paraId="27CB8FF6" w14:textId="77777777" w:rsidTr="008125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48F274B8"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Nursing, midwifery and health visiting staff WTE</w:t>
            </w:r>
          </w:p>
        </w:tc>
        <w:tc>
          <w:tcPr>
            <w:tcW w:w="1134" w:type="dxa"/>
            <w:tcBorders>
              <w:left w:val="single" w:sz="4" w:space="0" w:color="auto"/>
            </w:tcBorders>
            <w:noWrap/>
            <w:hideMark/>
          </w:tcPr>
          <w:p w14:paraId="187482E6"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1529.7</w:t>
            </w:r>
          </w:p>
        </w:tc>
        <w:tc>
          <w:tcPr>
            <w:tcW w:w="1275" w:type="dxa"/>
            <w:tcBorders>
              <w:right w:val="single" w:sz="4" w:space="0" w:color="auto"/>
            </w:tcBorders>
            <w:noWrap/>
            <w:hideMark/>
          </w:tcPr>
          <w:p w14:paraId="48CE730B"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770</w:t>
            </w:r>
          </w:p>
        </w:tc>
        <w:tc>
          <w:tcPr>
            <w:tcW w:w="1134" w:type="dxa"/>
            <w:tcBorders>
              <w:left w:val="single" w:sz="4" w:space="0" w:color="auto"/>
            </w:tcBorders>
            <w:noWrap/>
            <w:hideMark/>
          </w:tcPr>
          <w:p w14:paraId="33203D65"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1622.06</w:t>
            </w:r>
          </w:p>
        </w:tc>
        <w:tc>
          <w:tcPr>
            <w:tcW w:w="1276" w:type="dxa"/>
            <w:noWrap/>
            <w:hideMark/>
          </w:tcPr>
          <w:p w14:paraId="76E021B5"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813.41</w:t>
            </w:r>
          </w:p>
        </w:tc>
        <w:tc>
          <w:tcPr>
            <w:tcW w:w="851" w:type="dxa"/>
            <w:tcBorders>
              <w:right w:val="single" w:sz="4" w:space="0" w:color="auto"/>
            </w:tcBorders>
            <w:noWrap/>
            <w:hideMark/>
          </w:tcPr>
          <w:p w14:paraId="0F7A0AAD"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-11.6</w:t>
            </w:r>
          </w:p>
        </w:tc>
        <w:tc>
          <w:tcPr>
            <w:tcW w:w="1134" w:type="dxa"/>
            <w:tcBorders>
              <w:left w:val="single" w:sz="4" w:space="0" w:color="auto"/>
            </w:tcBorders>
            <w:noWrap/>
            <w:hideMark/>
          </w:tcPr>
          <w:p w14:paraId="57F8544E"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1500.81</w:t>
            </w:r>
          </w:p>
        </w:tc>
        <w:tc>
          <w:tcPr>
            <w:tcW w:w="1275" w:type="dxa"/>
            <w:noWrap/>
            <w:hideMark/>
          </w:tcPr>
          <w:p w14:paraId="6CC71CC9"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756.96</w:t>
            </w:r>
          </w:p>
        </w:tc>
        <w:tc>
          <w:tcPr>
            <w:tcW w:w="851" w:type="dxa"/>
            <w:tcBorders>
              <w:right w:val="single" w:sz="4" w:space="0" w:color="auto"/>
            </w:tcBorders>
            <w:noWrap/>
            <w:hideMark/>
          </w:tcPr>
          <w:p w14:paraId="2DA82CCD"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4.9</w:t>
            </w:r>
          </w:p>
        </w:tc>
      </w:tr>
      <w:tr w:rsidR="00436537" w:rsidRPr="00616F4F" w14:paraId="3D8682C4" w14:textId="77777777" w:rsidTr="008125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475EA1E4"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Average number of available beds</w:t>
            </w:r>
          </w:p>
        </w:tc>
        <w:tc>
          <w:tcPr>
            <w:tcW w:w="1134" w:type="dxa"/>
            <w:tcBorders>
              <w:left w:val="single" w:sz="4" w:space="0" w:color="auto"/>
            </w:tcBorders>
            <w:noWrap/>
            <w:hideMark/>
          </w:tcPr>
          <w:p w14:paraId="14757349"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813.02</w:t>
            </w:r>
          </w:p>
        </w:tc>
        <w:tc>
          <w:tcPr>
            <w:tcW w:w="1275" w:type="dxa"/>
            <w:tcBorders>
              <w:right w:val="single" w:sz="4" w:space="0" w:color="auto"/>
            </w:tcBorders>
            <w:noWrap/>
            <w:hideMark/>
          </w:tcPr>
          <w:p w14:paraId="78D4679F"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376.42</w:t>
            </w:r>
          </w:p>
        </w:tc>
        <w:tc>
          <w:tcPr>
            <w:tcW w:w="1134" w:type="dxa"/>
            <w:tcBorders>
              <w:left w:val="single" w:sz="4" w:space="0" w:color="auto"/>
            </w:tcBorders>
            <w:noWrap/>
            <w:hideMark/>
          </w:tcPr>
          <w:p w14:paraId="07983022"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862.98</w:t>
            </w:r>
          </w:p>
        </w:tc>
        <w:tc>
          <w:tcPr>
            <w:tcW w:w="1276" w:type="dxa"/>
            <w:noWrap/>
            <w:hideMark/>
          </w:tcPr>
          <w:p w14:paraId="747B3515"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404.55</w:t>
            </w:r>
          </w:p>
        </w:tc>
        <w:tc>
          <w:tcPr>
            <w:tcW w:w="851" w:type="dxa"/>
            <w:tcBorders>
              <w:right w:val="single" w:sz="4" w:space="0" w:color="auto"/>
            </w:tcBorders>
            <w:noWrap/>
            <w:hideMark/>
          </w:tcPr>
          <w:p w14:paraId="35B05154"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-8.5</w:t>
            </w:r>
          </w:p>
        </w:tc>
        <w:tc>
          <w:tcPr>
            <w:tcW w:w="1134" w:type="dxa"/>
            <w:tcBorders>
              <w:left w:val="single" w:sz="4" w:space="0" w:color="auto"/>
            </w:tcBorders>
            <w:noWrap/>
            <w:hideMark/>
          </w:tcPr>
          <w:p w14:paraId="482CD02B"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808.4</w:t>
            </w:r>
          </w:p>
        </w:tc>
        <w:tc>
          <w:tcPr>
            <w:tcW w:w="1275" w:type="dxa"/>
            <w:noWrap/>
            <w:hideMark/>
          </w:tcPr>
          <w:p w14:paraId="7A3AD47D"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368.71</w:t>
            </w:r>
          </w:p>
        </w:tc>
        <w:tc>
          <w:tcPr>
            <w:tcW w:w="851" w:type="dxa"/>
            <w:tcBorders>
              <w:right w:val="single" w:sz="4" w:space="0" w:color="auto"/>
            </w:tcBorders>
            <w:noWrap/>
            <w:hideMark/>
          </w:tcPr>
          <w:p w14:paraId="3DF6BB91"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w:t>
            </w:r>
          </w:p>
        </w:tc>
      </w:tr>
      <w:tr w:rsidR="00436537" w:rsidRPr="00616F4F" w14:paraId="7D13BAD6" w14:textId="77777777" w:rsidTr="008125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hideMark/>
          </w:tcPr>
          <w:p w14:paraId="6C5371EA" w14:textId="77777777" w:rsidR="00436537" w:rsidRPr="00616F4F" w:rsidRDefault="00436537" w:rsidP="00436537">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Average bed occupancy rate</w:t>
            </w:r>
          </w:p>
        </w:tc>
        <w:tc>
          <w:tcPr>
            <w:tcW w:w="1134" w:type="dxa"/>
            <w:tcBorders>
              <w:left w:val="single" w:sz="4" w:space="0" w:color="auto"/>
            </w:tcBorders>
            <w:noWrap/>
            <w:hideMark/>
          </w:tcPr>
          <w:p w14:paraId="5846209B"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86.91</w:t>
            </w:r>
          </w:p>
        </w:tc>
        <w:tc>
          <w:tcPr>
            <w:tcW w:w="1275" w:type="dxa"/>
            <w:tcBorders>
              <w:right w:val="single" w:sz="4" w:space="0" w:color="auto"/>
            </w:tcBorders>
            <w:noWrap/>
            <w:hideMark/>
          </w:tcPr>
          <w:p w14:paraId="155DCB3A"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5.43</w:t>
            </w:r>
          </w:p>
        </w:tc>
        <w:tc>
          <w:tcPr>
            <w:tcW w:w="1134" w:type="dxa"/>
            <w:tcBorders>
              <w:left w:val="single" w:sz="4" w:space="0" w:color="auto"/>
            </w:tcBorders>
            <w:noWrap/>
            <w:hideMark/>
          </w:tcPr>
          <w:p w14:paraId="4A4A3FA5"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86.54</w:t>
            </w:r>
          </w:p>
        </w:tc>
        <w:tc>
          <w:tcPr>
            <w:tcW w:w="1276" w:type="dxa"/>
            <w:noWrap/>
            <w:hideMark/>
          </w:tcPr>
          <w:p w14:paraId="1D787309"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6.77</w:t>
            </w:r>
          </w:p>
        </w:tc>
        <w:tc>
          <w:tcPr>
            <w:tcW w:w="851" w:type="dxa"/>
            <w:tcBorders>
              <w:right w:val="single" w:sz="4" w:space="0" w:color="auto"/>
            </w:tcBorders>
            <w:noWrap/>
            <w:hideMark/>
          </w:tcPr>
          <w:p w14:paraId="30E1EECC"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6.4</w:t>
            </w:r>
          </w:p>
        </w:tc>
        <w:tc>
          <w:tcPr>
            <w:tcW w:w="1134" w:type="dxa"/>
            <w:tcBorders>
              <w:left w:val="single" w:sz="4" w:space="0" w:color="auto"/>
            </w:tcBorders>
            <w:noWrap/>
            <w:hideMark/>
          </w:tcPr>
          <w:p w14:paraId="6692C95F"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86.19</w:t>
            </w:r>
          </w:p>
        </w:tc>
        <w:tc>
          <w:tcPr>
            <w:tcW w:w="1275" w:type="dxa"/>
            <w:noWrap/>
            <w:hideMark/>
          </w:tcPr>
          <w:p w14:paraId="2844235F"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7.11</w:t>
            </w:r>
          </w:p>
        </w:tc>
        <w:tc>
          <w:tcPr>
            <w:tcW w:w="851" w:type="dxa"/>
            <w:tcBorders>
              <w:right w:val="single" w:sz="4" w:space="0" w:color="auto"/>
            </w:tcBorders>
            <w:noWrap/>
            <w:hideMark/>
          </w:tcPr>
          <w:p w14:paraId="590DAF87" w14:textId="77777777" w:rsidR="00436537" w:rsidRPr="00616F4F" w:rsidRDefault="00436537" w:rsidP="004365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9.4</w:t>
            </w:r>
          </w:p>
        </w:tc>
      </w:tr>
      <w:tr w:rsidR="00436537" w:rsidRPr="00616F4F" w14:paraId="2F6A35CF" w14:textId="77777777" w:rsidTr="008125C6">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right w:val="single" w:sz="4" w:space="0" w:color="auto"/>
            </w:tcBorders>
            <w:noWrap/>
            <w:hideMark/>
          </w:tcPr>
          <w:p w14:paraId="78F39A0D" w14:textId="77777777" w:rsidR="00436537" w:rsidRPr="00616F4F" w:rsidRDefault="00436537" w:rsidP="008125C6">
            <w:pPr>
              <w:spacing w:after="0" w:line="240" w:lineRule="auto"/>
              <w:rPr>
                <w:rFonts w:eastAsia="Times New Roman" w:cs="Arial"/>
                <w:b w:val="0"/>
                <w:color w:val="000000"/>
                <w:sz w:val="18"/>
                <w:szCs w:val="18"/>
              </w:rPr>
            </w:pPr>
            <w:r w:rsidRPr="00616F4F">
              <w:rPr>
                <w:rFonts w:eastAsia="Times New Roman" w:cs="Arial"/>
                <w:b w:val="0"/>
                <w:color w:val="000000"/>
                <w:sz w:val="18"/>
                <w:szCs w:val="18"/>
              </w:rPr>
              <w:t>Teaching status, 0: non-teaching, 1: teaching</w:t>
            </w:r>
          </w:p>
        </w:tc>
        <w:tc>
          <w:tcPr>
            <w:tcW w:w="1134" w:type="dxa"/>
            <w:tcBorders>
              <w:left w:val="single" w:sz="4" w:space="0" w:color="auto"/>
              <w:bottom w:val="single" w:sz="4" w:space="0" w:color="auto"/>
            </w:tcBorders>
            <w:noWrap/>
            <w:hideMark/>
          </w:tcPr>
          <w:p w14:paraId="3469DDBC"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0.42</w:t>
            </w:r>
          </w:p>
        </w:tc>
        <w:tc>
          <w:tcPr>
            <w:tcW w:w="1275" w:type="dxa"/>
            <w:tcBorders>
              <w:bottom w:val="single" w:sz="4" w:space="0" w:color="auto"/>
              <w:right w:val="single" w:sz="4" w:space="0" w:color="auto"/>
            </w:tcBorders>
            <w:noWrap/>
            <w:hideMark/>
          </w:tcPr>
          <w:p w14:paraId="5C6C3642"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0.49</w:t>
            </w:r>
          </w:p>
        </w:tc>
        <w:tc>
          <w:tcPr>
            <w:tcW w:w="1134" w:type="dxa"/>
            <w:tcBorders>
              <w:left w:val="single" w:sz="4" w:space="0" w:color="auto"/>
              <w:bottom w:val="single" w:sz="4" w:space="0" w:color="auto"/>
            </w:tcBorders>
            <w:noWrap/>
            <w:hideMark/>
          </w:tcPr>
          <w:p w14:paraId="3E6A6E53"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0.44</w:t>
            </w:r>
          </w:p>
        </w:tc>
        <w:tc>
          <w:tcPr>
            <w:tcW w:w="1276" w:type="dxa"/>
            <w:tcBorders>
              <w:bottom w:val="single" w:sz="4" w:space="0" w:color="auto"/>
            </w:tcBorders>
            <w:noWrap/>
            <w:hideMark/>
          </w:tcPr>
          <w:p w14:paraId="141732A8"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bottom w:val="single" w:sz="4" w:space="0" w:color="auto"/>
              <w:right w:val="single" w:sz="4" w:space="0" w:color="auto"/>
            </w:tcBorders>
            <w:noWrap/>
            <w:hideMark/>
          </w:tcPr>
          <w:p w14:paraId="58FF1BF7"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-4.8</w:t>
            </w:r>
          </w:p>
        </w:tc>
        <w:tc>
          <w:tcPr>
            <w:tcW w:w="1134" w:type="dxa"/>
            <w:tcBorders>
              <w:left w:val="single" w:sz="4" w:space="0" w:color="auto"/>
              <w:bottom w:val="single" w:sz="4" w:space="0" w:color="auto"/>
            </w:tcBorders>
            <w:noWrap/>
            <w:hideMark/>
          </w:tcPr>
          <w:p w14:paraId="4DE0B0C4"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0.43</w:t>
            </w:r>
          </w:p>
        </w:tc>
        <w:tc>
          <w:tcPr>
            <w:tcW w:w="1275" w:type="dxa"/>
            <w:tcBorders>
              <w:bottom w:val="single" w:sz="4" w:space="0" w:color="auto"/>
            </w:tcBorders>
            <w:noWrap/>
            <w:hideMark/>
          </w:tcPr>
          <w:p w14:paraId="3FEA2778"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bottom w:val="single" w:sz="4" w:space="0" w:color="auto"/>
              <w:right w:val="single" w:sz="4" w:space="0" w:color="auto"/>
            </w:tcBorders>
            <w:noWrap/>
            <w:hideMark/>
          </w:tcPr>
          <w:p w14:paraId="14F8FF63" w14:textId="77777777" w:rsidR="00436537" w:rsidRPr="00616F4F" w:rsidRDefault="00436537" w:rsidP="0043653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w:t>
            </w:r>
          </w:p>
        </w:tc>
      </w:tr>
    </w:tbl>
    <w:p w14:paraId="189F0C8F" w14:textId="77777777" w:rsidR="008125C6" w:rsidRPr="00616F4F" w:rsidRDefault="008125C6" w:rsidP="00AE6CA1">
      <w:pPr>
        <w:rPr>
          <w:rFonts w:cs="Arial"/>
          <w:sz w:val="18"/>
          <w:szCs w:val="18"/>
        </w:rPr>
      </w:pPr>
    </w:p>
    <w:p w14:paraId="28B192EE" w14:textId="77777777" w:rsidR="008125C6" w:rsidRPr="00616F4F" w:rsidRDefault="008125C6">
      <w:pPr>
        <w:spacing w:after="160" w:line="259" w:lineRule="auto"/>
        <w:rPr>
          <w:rFonts w:cs="Arial"/>
          <w:sz w:val="18"/>
          <w:szCs w:val="18"/>
        </w:rPr>
      </w:pPr>
      <w:r w:rsidRPr="00616F4F">
        <w:rPr>
          <w:rFonts w:cs="Arial"/>
          <w:sz w:val="18"/>
          <w:szCs w:val="18"/>
        </w:rPr>
        <w:br w:type="page"/>
      </w:r>
    </w:p>
    <w:p w14:paraId="3F5E8B27" w14:textId="49EFA751" w:rsidR="008125C6" w:rsidRPr="00E2486B" w:rsidRDefault="008125C6" w:rsidP="00E2486B">
      <w:pPr>
        <w:rPr>
          <w:b/>
        </w:rPr>
      </w:pPr>
      <w:r w:rsidRPr="00E2486B">
        <w:rPr>
          <w:b/>
        </w:rPr>
        <w:lastRenderedPageBreak/>
        <w:t xml:space="preserve">Table </w:t>
      </w:r>
      <w:r w:rsidR="00635E43" w:rsidRPr="00E2486B">
        <w:rPr>
          <w:b/>
        </w:rPr>
        <w:t>SDC</w:t>
      </w:r>
      <w:r w:rsidR="0041235B" w:rsidRPr="00E2486B">
        <w:rPr>
          <w:b/>
        </w:rPr>
        <w:t>3</w:t>
      </w:r>
      <w:r w:rsidR="00904FCA" w:rsidRPr="00E2486B">
        <w:rPr>
          <w:b/>
        </w:rPr>
        <w:t>e</w:t>
      </w:r>
      <w:r w:rsidRPr="00E2486B">
        <w:rPr>
          <w:b/>
        </w:rPr>
        <w:t xml:space="preserve">: Deep-vein Thrombosis/Pulmonary Embolism, year 2009/10 </w:t>
      </w:r>
    </w:p>
    <w:p w14:paraId="290D3714" w14:textId="77777777" w:rsidR="00ED1D57" w:rsidRPr="00616F4F" w:rsidRDefault="00ED1D57">
      <w:pPr>
        <w:spacing w:after="160" w:line="259" w:lineRule="auto"/>
        <w:rPr>
          <w:rFonts w:cs="Arial"/>
          <w:sz w:val="18"/>
          <w:szCs w:val="18"/>
        </w:rPr>
      </w:pPr>
    </w:p>
    <w:tbl>
      <w:tblPr>
        <w:tblStyle w:val="GridTable4-Accent12"/>
        <w:tblW w:w="13887" w:type="dxa"/>
        <w:tblLayout w:type="fixed"/>
        <w:tblLook w:val="04A0" w:firstRow="1" w:lastRow="0" w:firstColumn="1" w:lastColumn="0" w:noHBand="0" w:noVBand="1"/>
      </w:tblPr>
      <w:tblGrid>
        <w:gridCol w:w="4957"/>
        <w:gridCol w:w="1134"/>
        <w:gridCol w:w="1275"/>
        <w:gridCol w:w="1276"/>
        <w:gridCol w:w="1134"/>
        <w:gridCol w:w="851"/>
        <w:gridCol w:w="1275"/>
        <w:gridCol w:w="1134"/>
        <w:gridCol w:w="851"/>
      </w:tblGrid>
      <w:tr w:rsidR="009B0BEA" w:rsidRPr="00616F4F" w14:paraId="24D3CB36" w14:textId="77777777" w:rsidTr="00B47219">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right w:val="single" w:sz="4" w:space="0" w:color="auto"/>
            </w:tcBorders>
            <w:noWrap/>
            <w:hideMark/>
          </w:tcPr>
          <w:p w14:paraId="7B06C0EB" w14:textId="77777777" w:rsidR="009B0BEA" w:rsidRPr="00616F4F" w:rsidRDefault="009B0BEA" w:rsidP="009B0BEA">
            <w:pPr>
              <w:spacing w:after="0" w:line="240" w:lineRule="auto"/>
              <w:rPr>
                <w:rFonts w:eastAsia="Times New Roman" w:cs="Arial"/>
                <w:sz w:val="18"/>
                <w:szCs w:val="18"/>
              </w:rPr>
            </w:pPr>
          </w:p>
        </w:tc>
        <w:tc>
          <w:tcPr>
            <w:tcW w:w="2409" w:type="dxa"/>
            <w:gridSpan w:val="2"/>
            <w:tcBorders>
              <w:top w:val="single" w:sz="4" w:space="0" w:color="auto"/>
              <w:left w:val="single" w:sz="4" w:space="0" w:color="auto"/>
              <w:right w:val="single" w:sz="4" w:space="0" w:color="auto"/>
            </w:tcBorders>
            <w:vAlign w:val="center"/>
            <w:hideMark/>
          </w:tcPr>
          <w:p w14:paraId="4D240296" w14:textId="77777777" w:rsidR="009B0BEA" w:rsidRPr="00616F4F" w:rsidRDefault="009B0BEA" w:rsidP="009B0B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Patients with incidents (n=8,407)</w:t>
            </w:r>
          </w:p>
        </w:tc>
        <w:tc>
          <w:tcPr>
            <w:tcW w:w="3261" w:type="dxa"/>
            <w:gridSpan w:val="3"/>
            <w:tcBorders>
              <w:top w:val="single" w:sz="4" w:space="0" w:color="auto"/>
              <w:left w:val="single" w:sz="4" w:space="0" w:color="auto"/>
              <w:right w:val="single" w:sz="4" w:space="0" w:color="auto"/>
            </w:tcBorders>
            <w:vAlign w:val="center"/>
            <w:hideMark/>
          </w:tcPr>
          <w:p w14:paraId="79842136" w14:textId="77777777" w:rsidR="009B0BEA" w:rsidRPr="00616F4F" w:rsidRDefault="009B0BEA" w:rsidP="009B0B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Unmatched control patients (n=5,233,912)</w:t>
            </w:r>
          </w:p>
        </w:tc>
        <w:tc>
          <w:tcPr>
            <w:tcW w:w="3260" w:type="dxa"/>
            <w:gridSpan w:val="3"/>
            <w:tcBorders>
              <w:top w:val="single" w:sz="4" w:space="0" w:color="auto"/>
              <w:left w:val="single" w:sz="4" w:space="0" w:color="auto"/>
              <w:right w:val="single" w:sz="4" w:space="0" w:color="auto"/>
            </w:tcBorders>
            <w:vAlign w:val="center"/>
            <w:hideMark/>
          </w:tcPr>
          <w:p w14:paraId="5CFB03F6" w14:textId="77777777" w:rsidR="009B0BEA" w:rsidRPr="00616F4F" w:rsidRDefault="009B0BEA" w:rsidP="009B0B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Matched control patients (n=9,040)</w:t>
            </w:r>
          </w:p>
        </w:tc>
      </w:tr>
      <w:tr w:rsidR="009B0BEA" w:rsidRPr="00616F4F" w14:paraId="037A2E71" w14:textId="77777777" w:rsidTr="00B47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6C279E19" w14:textId="77777777" w:rsidR="009B0BEA" w:rsidRPr="00616F4F" w:rsidRDefault="00B47219" w:rsidP="009B0BEA">
            <w:pPr>
              <w:spacing w:after="0" w:line="240" w:lineRule="auto"/>
              <w:rPr>
                <w:rFonts w:eastAsia="Times New Roman" w:cs="Arial"/>
                <w:color w:val="000000"/>
                <w:sz w:val="18"/>
                <w:szCs w:val="18"/>
              </w:rPr>
            </w:pPr>
            <w:r w:rsidRPr="00616F4F">
              <w:rPr>
                <w:rFonts w:eastAsia="Times New Roman" w:cs="Arial"/>
                <w:color w:val="000000"/>
                <w:sz w:val="18"/>
                <w:szCs w:val="18"/>
              </w:rPr>
              <w:t>Outcomes</w:t>
            </w:r>
          </w:p>
        </w:tc>
        <w:tc>
          <w:tcPr>
            <w:tcW w:w="1134" w:type="dxa"/>
            <w:tcBorders>
              <w:left w:val="single" w:sz="4" w:space="0" w:color="auto"/>
            </w:tcBorders>
            <w:noWrap/>
            <w:vAlign w:val="center"/>
            <w:hideMark/>
          </w:tcPr>
          <w:p w14:paraId="46E909DC"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275" w:type="dxa"/>
            <w:tcBorders>
              <w:right w:val="single" w:sz="4" w:space="0" w:color="auto"/>
            </w:tcBorders>
            <w:noWrap/>
            <w:vAlign w:val="center"/>
            <w:hideMark/>
          </w:tcPr>
          <w:p w14:paraId="752C2299"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1276" w:type="dxa"/>
            <w:tcBorders>
              <w:left w:val="single" w:sz="4" w:space="0" w:color="auto"/>
            </w:tcBorders>
            <w:noWrap/>
            <w:vAlign w:val="center"/>
            <w:hideMark/>
          </w:tcPr>
          <w:p w14:paraId="39383414"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134" w:type="dxa"/>
            <w:noWrap/>
            <w:vAlign w:val="center"/>
            <w:hideMark/>
          </w:tcPr>
          <w:p w14:paraId="3C32BDB4"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851" w:type="dxa"/>
            <w:tcBorders>
              <w:right w:val="single" w:sz="4" w:space="0" w:color="auto"/>
            </w:tcBorders>
            <w:noWrap/>
            <w:vAlign w:val="center"/>
            <w:hideMark/>
          </w:tcPr>
          <w:p w14:paraId="01A48573"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c>
          <w:tcPr>
            <w:tcW w:w="1275" w:type="dxa"/>
            <w:tcBorders>
              <w:left w:val="single" w:sz="4" w:space="0" w:color="auto"/>
            </w:tcBorders>
            <w:noWrap/>
            <w:vAlign w:val="center"/>
            <w:hideMark/>
          </w:tcPr>
          <w:p w14:paraId="1FA04533"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134" w:type="dxa"/>
            <w:noWrap/>
            <w:vAlign w:val="center"/>
            <w:hideMark/>
          </w:tcPr>
          <w:p w14:paraId="628B86C0"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851" w:type="dxa"/>
            <w:tcBorders>
              <w:right w:val="single" w:sz="4" w:space="0" w:color="auto"/>
            </w:tcBorders>
            <w:noWrap/>
            <w:vAlign w:val="center"/>
            <w:hideMark/>
          </w:tcPr>
          <w:p w14:paraId="1DBD5532"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r>
      <w:tr w:rsidR="00B47219" w:rsidRPr="00616F4F" w14:paraId="1D0ADD42" w14:textId="77777777" w:rsidTr="00B47219">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01545F46" w14:textId="77777777" w:rsidR="009B0BEA" w:rsidRPr="00616F4F" w:rsidRDefault="009B0BEA" w:rsidP="009B0BEA">
            <w:pPr>
              <w:spacing w:after="0" w:line="240" w:lineRule="auto"/>
              <w:rPr>
                <w:rFonts w:eastAsia="Times New Roman" w:cs="Arial"/>
                <w:b w:val="0"/>
                <w:color w:val="000000"/>
                <w:sz w:val="18"/>
                <w:szCs w:val="18"/>
              </w:rPr>
            </w:pPr>
            <w:r w:rsidRPr="00616F4F">
              <w:rPr>
                <w:rFonts w:eastAsia="Times New Roman" w:cs="Arial"/>
                <w:b w:val="0"/>
                <w:color w:val="000000"/>
                <w:sz w:val="18"/>
                <w:szCs w:val="18"/>
              </w:rPr>
              <w:t>Death, in-hospital</w:t>
            </w:r>
          </w:p>
        </w:tc>
        <w:tc>
          <w:tcPr>
            <w:tcW w:w="1134" w:type="dxa"/>
            <w:tcBorders>
              <w:left w:val="single" w:sz="4" w:space="0" w:color="auto"/>
            </w:tcBorders>
            <w:noWrap/>
            <w:vAlign w:val="center"/>
            <w:hideMark/>
          </w:tcPr>
          <w:p w14:paraId="1CD7B914"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0.12</w:t>
            </w:r>
          </w:p>
        </w:tc>
        <w:tc>
          <w:tcPr>
            <w:tcW w:w="1275" w:type="dxa"/>
            <w:tcBorders>
              <w:right w:val="single" w:sz="4" w:space="0" w:color="auto"/>
            </w:tcBorders>
            <w:noWrap/>
            <w:vAlign w:val="center"/>
            <w:hideMark/>
          </w:tcPr>
          <w:p w14:paraId="1AE3F409"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0.33</w:t>
            </w:r>
          </w:p>
        </w:tc>
        <w:tc>
          <w:tcPr>
            <w:tcW w:w="1276" w:type="dxa"/>
            <w:tcBorders>
              <w:left w:val="single" w:sz="4" w:space="0" w:color="auto"/>
            </w:tcBorders>
            <w:noWrap/>
            <w:vAlign w:val="center"/>
            <w:hideMark/>
          </w:tcPr>
          <w:p w14:paraId="3615ABFD"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0.01</w:t>
            </w:r>
          </w:p>
        </w:tc>
        <w:tc>
          <w:tcPr>
            <w:tcW w:w="1134" w:type="dxa"/>
            <w:noWrap/>
            <w:vAlign w:val="center"/>
            <w:hideMark/>
          </w:tcPr>
          <w:p w14:paraId="7873D945"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0.08</w:t>
            </w:r>
          </w:p>
        </w:tc>
        <w:tc>
          <w:tcPr>
            <w:tcW w:w="851" w:type="dxa"/>
            <w:tcBorders>
              <w:right w:val="single" w:sz="4" w:space="0" w:color="auto"/>
            </w:tcBorders>
            <w:noWrap/>
            <w:vAlign w:val="center"/>
            <w:hideMark/>
          </w:tcPr>
          <w:p w14:paraId="0F6311D3"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left w:val="single" w:sz="4" w:space="0" w:color="auto"/>
            </w:tcBorders>
            <w:noWrap/>
            <w:vAlign w:val="center"/>
            <w:hideMark/>
          </w:tcPr>
          <w:p w14:paraId="66AF728A"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0.05</w:t>
            </w:r>
          </w:p>
        </w:tc>
        <w:tc>
          <w:tcPr>
            <w:tcW w:w="1134" w:type="dxa"/>
            <w:noWrap/>
            <w:vAlign w:val="center"/>
            <w:hideMark/>
          </w:tcPr>
          <w:p w14:paraId="73C9FC62"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0.22</w:t>
            </w:r>
          </w:p>
        </w:tc>
        <w:tc>
          <w:tcPr>
            <w:tcW w:w="851" w:type="dxa"/>
            <w:tcBorders>
              <w:right w:val="single" w:sz="4" w:space="0" w:color="auto"/>
            </w:tcBorders>
            <w:noWrap/>
            <w:vAlign w:val="center"/>
            <w:hideMark/>
          </w:tcPr>
          <w:p w14:paraId="26E43D28"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r>
      <w:tr w:rsidR="00B47219" w:rsidRPr="00616F4F" w14:paraId="232E72D8" w14:textId="77777777" w:rsidTr="00B47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right w:val="single" w:sz="4" w:space="0" w:color="auto"/>
            </w:tcBorders>
            <w:noWrap/>
            <w:vAlign w:val="center"/>
            <w:hideMark/>
          </w:tcPr>
          <w:p w14:paraId="44D6E985" w14:textId="77777777" w:rsidR="009B0BEA" w:rsidRPr="00616F4F" w:rsidRDefault="009B0BEA" w:rsidP="009B0BEA">
            <w:pPr>
              <w:spacing w:after="0" w:line="240" w:lineRule="auto"/>
              <w:rPr>
                <w:rFonts w:eastAsia="Times New Roman" w:cs="Arial"/>
                <w:b w:val="0"/>
                <w:color w:val="000000"/>
                <w:sz w:val="18"/>
                <w:szCs w:val="18"/>
              </w:rPr>
            </w:pPr>
            <w:r w:rsidRPr="00616F4F">
              <w:rPr>
                <w:rFonts w:eastAsia="Times New Roman" w:cs="Arial"/>
                <w:b w:val="0"/>
                <w:color w:val="000000"/>
                <w:sz w:val="18"/>
                <w:szCs w:val="18"/>
              </w:rPr>
              <w:t>Bed-days</w:t>
            </w:r>
          </w:p>
        </w:tc>
        <w:tc>
          <w:tcPr>
            <w:tcW w:w="1134" w:type="dxa"/>
            <w:tcBorders>
              <w:left w:val="single" w:sz="4" w:space="0" w:color="auto"/>
              <w:bottom w:val="single" w:sz="4" w:space="0" w:color="auto"/>
            </w:tcBorders>
            <w:noWrap/>
            <w:vAlign w:val="center"/>
            <w:hideMark/>
          </w:tcPr>
          <w:p w14:paraId="03C9642B"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27.9</w:t>
            </w:r>
          </w:p>
        </w:tc>
        <w:tc>
          <w:tcPr>
            <w:tcW w:w="1275" w:type="dxa"/>
            <w:tcBorders>
              <w:bottom w:val="single" w:sz="4" w:space="0" w:color="auto"/>
              <w:right w:val="single" w:sz="4" w:space="0" w:color="auto"/>
            </w:tcBorders>
            <w:noWrap/>
            <w:vAlign w:val="center"/>
            <w:hideMark/>
          </w:tcPr>
          <w:p w14:paraId="601478B8"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41.29</w:t>
            </w:r>
          </w:p>
        </w:tc>
        <w:tc>
          <w:tcPr>
            <w:tcW w:w="1276" w:type="dxa"/>
            <w:tcBorders>
              <w:left w:val="single" w:sz="4" w:space="0" w:color="auto"/>
              <w:bottom w:val="single" w:sz="4" w:space="0" w:color="auto"/>
            </w:tcBorders>
            <w:noWrap/>
            <w:vAlign w:val="center"/>
            <w:hideMark/>
          </w:tcPr>
          <w:p w14:paraId="0C682667"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2.46</w:t>
            </w:r>
          </w:p>
        </w:tc>
        <w:tc>
          <w:tcPr>
            <w:tcW w:w="1134" w:type="dxa"/>
            <w:tcBorders>
              <w:bottom w:val="single" w:sz="4" w:space="0" w:color="auto"/>
            </w:tcBorders>
            <w:noWrap/>
            <w:vAlign w:val="center"/>
            <w:hideMark/>
          </w:tcPr>
          <w:p w14:paraId="1296050D"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10.6</w:t>
            </w:r>
          </w:p>
        </w:tc>
        <w:tc>
          <w:tcPr>
            <w:tcW w:w="851" w:type="dxa"/>
            <w:tcBorders>
              <w:bottom w:val="single" w:sz="4" w:space="0" w:color="auto"/>
              <w:right w:val="single" w:sz="4" w:space="0" w:color="auto"/>
            </w:tcBorders>
            <w:noWrap/>
            <w:vAlign w:val="center"/>
            <w:hideMark/>
          </w:tcPr>
          <w:p w14:paraId="204C9014"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1275" w:type="dxa"/>
            <w:tcBorders>
              <w:left w:val="single" w:sz="4" w:space="0" w:color="auto"/>
              <w:bottom w:val="single" w:sz="4" w:space="0" w:color="auto"/>
            </w:tcBorders>
            <w:noWrap/>
            <w:vAlign w:val="center"/>
            <w:hideMark/>
          </w:tcPr>
          <w:p w14:paraId="34400644"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9.64</w:t>
            </w:r>
          </w:p>
        </w:tc>
        <w:tc>
          <w:tcPr>
            <w:tcW w:w="1134" w:type="dxa"/>
            <w:tcBorders>
              <w:bottom w:val="single" w:sz="4" w:space="0" w:color="auto"/>
            </w:tcBorders>
            <w:noWrap/>
            <w:vAlign w:val="center"/>
            <w:hideMark/>
          </w:tcPr>
          <w:p w14:paraId="173D1E9F"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23.43</w:t>
            </w:r>
          </w:p>
        </w:tc>
        <w:tc>
          <w:tcPr>
            <w:tcW w:w="851" w:type="dxa"/>
            <w:tcBorders>
              <w:bottom w:val="single" w:sz="4" w:space="0" w:color="auto"/>
              <w:right w:val="single" w:sz="4" w:space="0" w:color="auto"/>
            </w:tcBorders>
            <w:noWrap/>
            <w:vAlign w:val="center"/>
            <w:hideMark/>
          </w:tcPr>
          <w:p w14:paraId="1ECC6AEB"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r>
      <w:tr w:rsidR="00B47219" w:rsidRPr="00616F4F" w14:paraId="69256A11" w14:textId="77777777" w:rsidTr="00B47219">
        <w:trPr>
          <w:trHeight w:val="3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right w:val="single" w:sz="4" w:space="0" w:color="auto"/>
            </w:tcBorders>
            <w:noWrap/>
            <w:vAlign w:val="center"/>
          </w:tcPr>
          <w:p w14:paraId="47F88828" w14:textId="77777777" w:rsidR="00B47219" w:rsidRPr="00616F4F" w:rsidRDefault="00B47219" w:rsidP="009B0BEA">
            <w:pPr>
              <w:spacing w:after="0" w:line="240" w:lineRule="auto"/>
              <w:rPr>
                <w:rFonts w:eastAsia="Times New Roman" w:cs="Arial"/>
                <w:color w:val="000000"/>
                <w:sz w:val="18"/>
                <w:szCs w:val="18"/>
              </w:rPr>
            </w:pPr>
            <w:r w:rsidRPr="00616F4F">
              <w:rPr>
                <w:rFonts w:eastAsia="Times New Roman" w:cs="Arial"/>
                <w:color w:val="000000"/>
                <w:sz w:val="18"/>
                <w:szCs w:val="18"/>
              </w:rPr>
              <w:t>Covariates</w:t>
            </w:r>
          </w:p>
        </w:tc>
        <w:tc>
          <w:tcPr>
            <w:tcW w:w="1134" w:type="dxa"/>
            <w:tcBorders>
              <w:top w:val="single" w:sz="4" w:space="0" w:color="auto"/>
              <w:left w:val="single" w:sz="4" w:space="0" w:color="auto"/>
            </w:tcBorders>
            <w:noWrap/>
            <w:vAlign w:val="center"/>
          </w:tcPr>
          <w:p w14:paraId="248C4F82" w14:textId="77777777" w:rsidR="00B47219" w:rsidRPr="00616F4F" w:rsidRDefault="00B47219"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top w:val="single" w:sz="4" w:space="0" w:color="auto"/>
              <w:right w:val="single" w:sz="4" w:space="0" w:color="auto"/>
            </w:tcBorders>
            <w:noWrap/>
            <w:vAlign w:val="center"/>
          </w:tcPr>
          <w:p w14:paraId="35D2F410" w14:textId="77777777" w:rsidR="00B47219" w:rsidRPr="00616F4F" w:rsidRDefault="00B47219"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6" w:type="dxa"/>
            <w:tcBorders>
              <w:top w:val="single" w:sz="4" w:space="0" w:color="auto"/>
              <w:left w:val="single" w:sz="4" w:space="0" w:color="auto"/>
            </w:tcBorders>
            <w:noWrap/>
            <w:vAlign w:val="center"/>
          </w:tcPr>
          <w:p w14:paraId="78E9C860" w14:textId="77777777" w:rsidR="00B47219" w:rsidRPr="00616F4F" w:rsidRDefault="00B47219"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top w:val="single" w:sz="4" w:space="0" w:color="auto"/>
            </w:tcBorders>
            <w:noWrap/>
            <w:vAlign w:val="center"/>
          </w:tcPr>
          <w:p w14:paraId="3BB8FE6A" w14:textId="77777777" w:rsidR="00B47219" w:rsidRPr="00616F4F" w:rsidRDefault="00B47219"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851" w:type="dxa"/>
            <w:tcBorders>
              <w:top w:val="single" w:sz="4" w:space="0" w:color="auto"/>
              <w:right w:val="single" w:sz="4" w:space="0" w:color="auto"/>
            </w:tcBorders>
            <w:noWrap/>
            <w:vAlign w:val="center"/>
          </w:tcPr>
          <w:p w14:paraId="430505F2" w14:textId="77777777" w:rsidR="00B47219" w:rsidRPr="00616F4F" w:rsidRDefault="00B47219"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top w:val="single" w:sz="4" w:space="0" w:color="auto"/>
              <w:left w:val="single" w:sz="4" w:space="0" w:color="auto"/>
            </w:tcBorders>
            <w:noWrap/>
            <w:vAlign w:val="center"/>
          </w:tcPr>
          <w:p w14:paraId="32C1DBCC" w14:textId="77777777" w:rsidR="00B47219" w:rsidRPr="00616F4F" w:rsidRDefault="00B47219"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top w:val="single" w:sz="4" w:space="0" w:color="auto"/>
            </w:tcBorders>
            <w:noWrap/>
            <w:vAlign w:val="center"/>
          </w:tcPr>
          <w:p w14:paraId="5219F481" w14:textId="77777777" w:rsidR="00B47219" w:rsidRPr="00616F4F" w:rsidRDefault="00B47219"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851" w:type="dxa"/>
            <w:tcBorders>
              <w:top w:val="single" w:sz="4" w:space="0" w:color="auto"/>
              <w:right w:val="single" w:sz="4" w:space="0" w:color="auto"/>
            </w:tcBorders>
            <w:noWrap/>
            <w:vAlign w:val="center"/>
          </w:tcPr>
          <w:p w14:paraId="48C5D912" w14:textId="77777777" w:rsidR="00B47219" w:rsidRPr="00616F4F" w:rsidRDefault="00B47219"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r>
      <w:tr w:rsidR="00B47219" w:rsidRPr="00616F4F" w14:paraId="0C8F4B2C" w14:textId="77777777" w:rsidTr="00B47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5B6308E8" w14:textId="77777777" w:rsidR="009B0BEA" w:rsidRPr="00616F4F" w:rsidRDefault="009B0BEA" w:rsidP="009B0BEA">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Age</w:t>
            </w:r>
          </w:p>
        </w:tc>
        <w:tc>
          <w:tcPr>
            <w:tcW w:w="1134" w:type="dxa"/>
            <w:tcBorders>
              <w:left w:val="single" w:sz="4" w:space="0" w:color="auto"/>
            </w:tcBorders>
            <w:noWrap/>
            <w:vAlign w:val="center"/>
            <w:hideMark/>
          </w:tcPr>
          <w:p w14:paraId="01599A5B"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65.93</w:t>
            </w:r>
          </w:p>
        </w:tc>
        <w:tc>
          <w:tcPr>
            <w:tcW w:w="1275" w:type="dxa"/>
            <w:tcBorders>
              <w:right w:val="single" w:sz="4" w:space="0" w:color="auto"/>
            </w:tcBorders>
            <w:noWrap/>
            <w:vAlign w:val="center"/>
            <w:hideMark/>
          </w:tcPr>
          <w:p w14:paraId="65834203"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15.84</w:t>
            </w:r>
          </w:p>
        </w:tc>
        <w:tc>
          <w:tcPr>
            <w:tcW w:w="1276" w:type="dxa"/>
            <w:tcBorders>
              <w:left w:val="single" w:sz="4" w:space="0" w:color="auto"/>
            </w:tcBorders>
            <w:noWrap/>
            <w:vAlign w:val="center"/>
            <w:hideMark/>
          </w:tcPr>
          <w:p w14:paraId="77886CB1"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58.49</w:t>
            </w:r>
          </w:p>
        </w:tc>
        <w:tc>
          <w:tcPr>
            <w:tcW w:w="1134" w:type="dxa"/>
            <w:noWrap/>
            <w:vAlign w:val="center"/>
            <w:hideMark/>
          </w:tcPr>
          <w:p w14:paraId="47BEB46B"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18.16</w:t>
            </w:r>
          </w:p>
        </w:tc>
        <w:tc>
          <w:tcPr>
            <w:tcW w:w="851" w:type="dxa"/>
            <w:tcBorders>
              <w:right w:val="single" w:sz="4" w:space="0" w:color="auto"/>
            </w:tcBorders>
            <w:noWrap/>
            <w:vAlign w:val="center"/>
            <w:hideMark/>
          </w:tcPr>
          <w:p w14:paraId="7A1C38EC"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43.5</w:t>
            </w:r>
          </w:p>
        </w:tc>
        <w:tc>
          <w:tcPr>
            <w:tcW w:w="1275" w:type="dxa"/>
            <w:tcBorders>
              <w:left w:val="single" w:sz="4" w:space="0" w:color="auto"/>
            </w:tcBorders>
            <w:noWrap/>
            <w:vAlign w:val="center"/>
            <w:hideMark/>
          </w:tcPr>
          <w:p w14:paraId="27C09D96"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67.17</w:t>
            </w:r>
          </w:p>
        </w:tc>
        <w:tc>
          <w:tcPr>
            <w:tcW w:w="1134" w:type="dxa"/>
            <w:noWrap/>
            <w:vAlign w:val="center"/>
            <w:hideMark/>
          </w:tcPr>
          <w:p w14:paraId="236A540B"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14.97</w:t>
            </w:r>
          </w:p>
        </w:tc>
        <w:tc>
          <w:tcPr>
            <w:tcW w:w="851" w:type="dxa"/>
            <w:tcBorders>
              <w:right w:val="single" w:sz="4" w:space="0" w:color="auto"/>
            </w:tcBorders>
            <w:noWrap/>
            <w:vAlign w:val="center"/>
            <w:hideMark/>
          </w:tcPr>
          <w:p w14:paraId="4126E796"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-8.2</w:t>
            </w:r>
          </w:p>
        </w:tc>
      </w:tr>
      <w:tr w:rsidR="00B47219" w:rsidRPr="00616F4F" w14:paraId="551B9FF3" w14:textId="77777777" w:rsidTr="00B47219">
        <w:trPr>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70439D1D" w14:textId="77777777" w:rsidR="009B0BEA" w:rsidRPr="00616F4F" w:rsidRDefault="009B0BEA" w:rsidP="009B0BEA">
            <w:pPr>
              <w:spacing w:after="0" w:line="240" w:lineRule="auto"/>
              <w:rPr>
                <w:rFonts w:eastAsia="Times New Roman" w:cs="Arial"/>
                <w:b w:val="0"/>
                <w:color w:val="000000"/>
                <w:sz w:val="18"/>
                <w:szCs w:val="18"/>
              </w:rPr>
            </w:pPr>
            <w:r w:rsidRPr="00616F4F">
              <w:rPr>
                <w:rFonts w:eastAsia="Times New Roman" w:cs="Arial"/>
                <w:b w:val="0"/>
                <w:color w:val="000000"/>
                <w:sz w:val="18"/>
                <w:szCs w:val="18"/>
              </w:rPr>
              <w:t>Sex of patient, 0: male 1: female</w:t>
            </w:r>
          </w:p>
        </w:tc>
        <w:tc>
          <w:tcPr>
            <w:tcW w:w="1134" w:type="dxa"/>
            <w:tcBorders>
              <w:left w:val="single" w:sz="4" w:space="0" w:color="auto"/>
            </w:tcBorders>
            <w:noWrap/>
            <w:vAlign w:val="center"/>
            <w:hideMark/>
          </w:tcPr>
          <w:p w14:paraId="6CEF6256"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1275" w:type="dxa"/>
            <w:tcBorders>
              <w:right w:val="single" w:sz="4" w:space="0" w:color="auto"/>
            </w:tcBorders>
            <w:noWrap/>
            <w:vAlign w:val="center"/>
            <w:hideMark/>
          </w:tcPr>
          <w:p w14:paraId="369C6060"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1276" w:type="dxa"/>
            <w:tcBorders>
              <w:left w:val="single" w:sz="4" w:space="0" w:color="auto"/>
            </w:tcBorders>
            <w:noWrap/>
            <w:vAlign w:val="center"/>
            <w:hideMark/>
          </w:tcPr>
          <w:p w14:paraId="282A0257"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0.52</w:t>
            </w:r>
          </w:p>
        </w:tc>
        <w:tc>
          <w:tcPr>
            <w:tcW w:w="1134" w:type="dxa"/>
            <w:noWrap/>
            <w:vAlign w:val="center"/>
            <w:hideMark/>
          </w:tcPr>
          <w:p w14:paraId="6EA897AC"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right w:val="single" w:sz="4" w:space="0" w:color="auto"/>
            </w:tcBorders>
            <w:noWrap/>
            <w:vAlign w:val="center"/>
            <w:hideMark/>
          </w:tcPr>
          <w:p w14:paraId="54CF9A0B"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-4.1</w:t>
            </w:r>
          </w:p>
        </w:tc>
        <w:tc>
          <w:tcPr>
            <w:tcW w:w="1275" w:type="dxa"/>
            <w:tcBorders>
              <w:left w:val="single" w:sz="4" w:space="0" w:color="auto"/>
            </w:tcBorders>
            <w:noWrap/>
            <w:vAlign w:val="center"/>
            <w:hideMark/>
          </w:tcPr>
          <w:p w14:paraId="3B557BE0"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1134" w:type="dxa"/>
            <w:noWrap/>
            <w:vAlign w:val="center"/>
            <w:hideMark/>
          </w:tcPr>
          <w:p w14:paraId="597E1F15"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right w:val="single" w:sz="4" w:space="0" w:color="auto"/>
            </w:tcBorders>
            <w:noWrap/>
            <w:vAlign w:val="center"/>
            <w:hideMark/>
          </w:tcPr>
          <w:p w14:paraId="567B593F"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w:t>
            </w:r>
          </w:p>
        </w:tc>
      </w:tr>
      <w:tr w:rsidR="00B47219" w:rsidRPr="00616F4F" w14:paraId="506BECF5" w14:textId="77777777" w:rsidTr="00B47219">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1FD413DB" w14:textId="77777777" w:rsidR="009B0BEA" w:rsidRPr="00616F4F" w:rsidRDefault="009B0BEA" w:rsidP="009B0BEA">
            <w:pPr>
              <w:spacing w:after="0" w:line="240" w:lineRule="auto"/>
              <w:rPr>
                <w:rFonts w:eastAsia="Times New Roman" w:cs="Arial"/>
                <w:b w:val="0"/>
                <w:color w:val="000000"/>
                <w:sz w:val="18"/>
                <w:szCs w:val="18"/>
              </w:rPr>
            </w:pPr>
            <w:r w:rsidRPr="00616F4F">
              <w:rPr>
                <w:rFonts w:eastAsia="Times New Roman" w:cs="Arial"/>
                <w:b w:val="0"/>
                <w:color w:val="000000"/>
                <w:sz w:val="18"/>
                <w:szCs w:val="18"/>
              </w:rPr>
              <w:t xml:space="preserve">Weighted </w:t>
            </w:r>
            <w:proofErr w:type="spellStart"/>
            <w:r w:rsidRPr="00616F4F">
              <w:rPr>
                <w:rFonts w:eastAsia="Times New Roman" w:cs="Arial"/>
                <w:b w:val="0"/>
                <w:color w:val="000000"/>
                <w:sz w:val="18"/>
                <w:szCs w:val="18"/>
              </w:rPr>
              <w:t>Charlson</w:t>
            </w:r>
            <w:proofErr w:type="spellEnd"/>
            <w:r w:rsidRPr="00616F4F">
              <w:rPr>
                <w:rFonts w:eastAsia="Times New Roman" w:cs="Arial"/>
                <w:b w:val="0"/>
                <w:color w:val="000000"/>
                <w:sz w:val="18"/>
                <w:szCs w:val="18"/>
              </w:rPr>
              <w:t xml:space="preserve"> Index</w:t>
            </w:r>
          </w:p>
        </w:tc>
        <w:tc>
          <w:tcPr>
            <w:tcW w:w="1134" w:type="dxa"/>
            <w:tcBorders>
              <w:left w:val="single" w:sz="4" w:space="0" w:color="auto"/>
            </w:tcBorders>
            <w:noWrap/>
            <w:vAlign w:val="center"/>
            <w:hideMark/>
          </w:tcPr>
          <w:p w14:paraId="260A8596"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2.05</w:t>
            </w:r>
          </w:p>
        </w:tc>
        <w:tc>
          <w:tcPr>
            <w:tcW w:w="1275" w:type="dxa"/>
            <w:tcBorders>
              <w:right w:val="single" w:sz="4" w:space="0" w:color="auto"/>
            </w:tcBorders>
            <w:noWrap/>
            <w:vAlign w:val="center"/>
            <w:hideMark/>
          </w:tcPr>
          <w:p w14:paraId="7CB39AD6"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2.31</w:t>
            </w:r>
          </w:p>
        </w:tc>
        <w:tc>
          <w:tcPr>
            <w:tcW w:w="1276" w:type="dxa"/>
            <w:tcBorders>
              <w:left w:val="single" w:sz="4" w:space="0" w:color="auto"/>
            </w:tcBorders>
            <w:noWrap/>
            <w:vAlign w:val="center"/>
            <w:hideMark/>
          </w:tcPr>
          <w:p w14:paraId="114811A9"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0.52</w:t>
            </w:r>
          </w:p>
        </w:tc>
        <w:tc>
          <w:tcPr>
            <w:tcW w:w="1134" w:type="dxa"/>
            <w:noWrap/>
            <w:vAlign w:val="center"/>
            <w:hideMark/>
          </w:tcPr>
          <w:p w14:paraId="14DA3512"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1.11</w:t>
            </w:r>
          </w:p>
        </w:tc>
        <w:tc>
          <w:tcPr>
            <w:tcW w:w="851" w:type="dxa"/>
            <w:tcBorders>
              <w:right w:val="single" w:sz="4" w:space="0" w:color="auto"/>
            </w:tcBorders>
            <w:noWrap/>
            <w:vAlign w:val="center"/>
            <w:hideMark/>
          </w:tcPr>
          <w:p w14:paraId="1232C19E"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85</w:t>
            </w:r>
          </w:p>
        </w:tc>
        <w:tc>
          <w:tcPr>
            <w:tcW w:w="1275" w:type="dxa"/>
            <w:tcBorders>
              <w:left w:val="single" w:sz="4" w:space="0" w:color="auto"/>
            </w:tcBorders>
            <w:noWrap/>
            <w:vAlign w:val="center"/>
            <w:hideMark/>
          </w:tcPr>
          <w:p w14:paraId="403A8837"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1.92</w:t>
            </w:r>
          </w:p>
        </w:tc>
        <w:tc>
          <w:tcPr>
            <w:tcW w:w="1134" w:type="dxa"/>
            <w:noWrap/>
            <w:vAlign w:val="center"/>
            <w:hideMark/>
          </w:tcPr>
          <w:p w14:paraId="20887A34"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2.13</w:t>
            </w:r>
          </w:p>
        </w:tc>
        <w:tc>
          <w:tcPr>
            <w:tcW w:w="851" w:type="dxa"/>
            <w:tcBorders>
              <w:right w:val="single" w:sz="4" w:space="0" w:color="auto"/>
            </w:tcBorders>
            <w:noWrap/>
            <w:vAlign w:val="center"/>
            <w:hideMark/>
          </w:tcPr>
          <w:p w14:paraId="2EC4D6A9"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w:t>
            </w:r>
          </w:p>
        </w:tc>
      </w:tr>
      <w:tr w:rsidR="00B47219" w:rsidRPr="00616F4F" w14:paraId="650E90F4" w14:textId="77777777" w:rsidTr="00B47219">
        <w:trPr>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576E4B7E" w14:textId="77777777" w:rsidR="009B0BEA" w:rsidRPr="00616F4F" w:rsidRDefault="009B0BEA" w:rsidP="009B0BEA">
            <w:pPr>
              <w:spacing w:after="0" w:line="240" w:lineRule="auto"/>
              <w:rPr>
                <w:rFonts w:eastAsia="Times New Roman" w:cs="Arial"/>
                <w:b w:val="0"/>
                <w:color w:val="000000"/>
                <w:sz w:val="18"/>
                <w:szCs w:val="18"/>
              </w:rPr>
            </w:pPr>
            <w:r w:rsidRPr="00616F4F">
              <w:rPr>
                <w:rFonts w:eastAsia="Times New Roman" w:cs="Arial"/>
                <w:b w:val="0"/>
                <w:color w:val="000000"/>
                <w:sz w:val="18"/>
                <w:szCs w:val="18"/>
              </w:rPr>
              <w:t>Index of multiple deprivation</w:t>
            </w:r>
          </w:p>
        </w:tc>
        <w:tc>
          <w:tcPr>
            <w:tcW w:w="1134" w:type="dxa"/>
            <w:tcBorders>
              <w:left w:val="single" w:sz="4" w:space="0" w:color="auto"/>
            </w:tcBorders>
            <w:noWrap/>
            <w:vAlign w:val="center"/>
            <w:hideMark/>
          </w:tcPr>
          <w:p w14:paraId="3D530E78"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22.18</w:t>
            </w:r>
          </w:p>
        </w:tc>
        <w:tc>
          <w:tcPr>
            <w:tcW w:w="1275" w:type="dxa"/>
            <w:tcBorders>
              <w:right w:val="single" w:sz="4" w:space="0" w:color="auto"/>
            </w:tcBorders>
            <w:noWrap/>
            <w:vAlign w:val="center"/>
            <w:hideMark/>
          </w:tcPr>
          <w:p w14:paraId="365EE870"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15.57</w:t>
            </w:r>
          </w:p>
        </w:tc>
        <w:tc>
          <w:tcPr>
            <w:tcW w:w="1276" w:type="dxa"/>
            <w:tcBorders>
              <w:left w:val="single" w:sz="4" w:space="0" w:color="auto"/>
            </w:tcBorders>
            <w:noWrap/>
            <w:vAlign w:val="center"/>
            <w:hideMark/>
          </w:tcPr>
          <w:p w14:paraId="7207D82B"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21.67</w:t>
            </w:r>
          </w:p>
        </w:tc>
        <w:tc>
          <w:tcPr>
            <w:tcW w:w="1134" w:type="dxa"/>
            <w:noWrap/>
            <w:vAlign w:val="center"/>
            <w:hideMark/>
          </w:tcPr>
          <w:p w14:paraId="31FCCE67"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15.52</w:t>
            </w:r>
          </w:p>
        </w:tc>
        <w:tc>
          <w:tcPr>
            <w:tcW w:w="851" w:type="dxa"/>
            <w:tcBorders>
              <w:right w:val="single" w:sz="4" w:space="0" w:color="auto"/>
            </w:tcBorders>
            <w:noWrap/>
            <w:vAlign w:val="center"/>
            <w:hideMark/>
          </w:tcPr>
          <w:p w14:paraId="4A8704BB"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w:t>
            </w:r>
          </w:p>
        </w:tc>
        <w:tc>
          <w:tcPr>
            <w:tcW w:w="1275" w:type="dxa"/>
            <w:tcBorders>
              <w:left w:val="single" w:sz="4" w:space="0" w:color="auto"/>
            </w:tcBorders>
            <w:noWrap/>
            <w:vAlign w:val="center"/>
            <w:hideMark/>
          </w:tcPr>
          <w:p w14:paraId="38CD666E"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22.17</w:t>
            </w:r>
          </w:p>
        </w:tc>
        <w:tc>
          <w:tcPr>
            <w:tcW w:w="1134" w:type="dxa"/>
            <w:noWrap/>
            <w:vAlign w:val="center"/>
            <w:hideMark/>
          </w:tcPr>
          <w:p w14:paraId="3ADF6466"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15.73</w:t>
            </w:r>
          </w:p>
        </w:tc>
        <w:tc>
          <w:tcPr>
            <w:tcW w:w="851" w:type="dxa"/>
            <w:tcBorders>
              <w:right w:val="single" w:sz="4" w:space="0" w:color="auto"/>
            </w:tcBorders>
            <w:noWrap/>
            <w:vAlign w:val="center"/>
            <w:hideMark/>
          </w:tcPr>
          <w:p w14:paraId="271B801D"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w:t>
            </w:r>
          </w:p>
        </w:tc>
      </w:tr>
      <w:tr w:rsidR="00B47219" w:rsidRPr="00616F4F" w14:paraId="5239E7A2" w14:textId="77777777" w:rsidTr="00B47219">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7ADBD839" w14:textId="77777777" w:rsidR="009B0BEA" w:rsidRPr="00616F4F" w:rsidRDefault="009B0BEA" w:rsidP="009B0BEA">
            <w:pPr>
              <w:spacing w:after="0" w:line="240" w:lineRule="auto"/>
              <w:rPr>
                <w:rFonts w:eastAsia="Times New Roman" w:cs="Arial"/>
                <w:b w:val="0"/>
                <w:color w:val="000000"/>
                <w:sz w:val="18"/>
                <w:szCs w:val="18"/>
              </w:rPr>
            </w:pPr>
            <w:r w:rsidRPr="00616F4F">
              <w:rPr>
                <w:rFonts w:eastAsia="Times New Roman" w:cs="Arial"/>
                <w:b w:val="0"/>
                <w:color w:val="000000"/>
                <w:sz w:val="18"/>
                <w:szCs w:val="18"/>
              </w:rPr>
              <w:t>Number of diagnoses in patient record (excl. PSI codes)</w:t>
            </w:r>
          </w:p>
        </w:tc>
        <w:tc>
          <w:tcPr>
            <w:tcW w:w="1134" w:type="dxa"/>
            <w:tcBorders>
              <w:left w:val="single" w:sz="4" w:space="0" w:color="auto"/>
            </w:tcBorders>
            <w:noWrap/>
            <w:vAlign w:val="center"/>
            <w:hideMark/>
          </w:tcPr>
          <w:p w14:paraId="5F02FF03"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6.37</w:t>
            </w:r>
          </w:p>
        </w:tc>
        <w:tc>
          <w:tcPr>
            <w:tcW w:w="1275" w:type="dxa"/>
            <w:tcBorders>
              <w:right w:val="single" w:sz="4" w:space="0" w:color="auto"/>
            </w:tcBorders>
            <w:noWrap/>
            <w:vAlign w:val="center"/>
            <w:hideMark/>
          </w:tcPr>
          <w:p w14:paraId="10FDFD1F"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3.37</w:t>
            </w:r>
          </w:p>
        </w:tc>
        <w:tc>
          <w:tcPr>
            <w:tcW w:w="1276" w:type="dxa"/>
            <w:tcBorders>
              <w:left w:val="single" w:sz="4" w:space="0" w:color="auto"/>
            </w:tcBorders>
            <w:noWrap/>
            <w:vAlign w:val="center"/>
            <w:hideMark/>
          </w:tcPr>
          <w:p w14:paraId="7AE4385E"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2.85</w:t>
            </w:r>
          </w:p>
        </w:tc>
        <w:tc>
          <w:tcPr>
            <w:tcW w:w="1134" w:type="dxa"/>
            <w:noWrap/>
            <w:vAlign w:val="center"/>
            <w:hideMark/>
          </w:tcPr>
          <w:p w14:paraId="20537180"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2.18</w:t>
            </w:r>
          </w:p>
        </w:tc>
        <w:tc>
          <w:tcPr>
            <w:tcW w:w="851" w:type="dxa"/>
            <w:tcBorders>
              <w:right w:val="single" w:sz="4" w:space="0" w:color="auto"/>
            </w:tcBorders>
            <w:noWrap/>
            <w:vAlign w:val="center"/>
            <w:hideMark/>
          </w:tcPr>
          <w:p w14:paraId="3C35FF03"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123.7</w:t>
            </w:r>
          </w:p>
        </w:tc>
        <w:tc>
          <w:tcPr>
            <w:tcW w:w="1275" w:type="dxa"/>
            <w:tcBorders>
              <w:left w:val="single" w:sz="4" w:space="0" w:color="auto"/>
            </w:tcBorders>
            <w:noWrap/>
            <w:vAlign w:val="center"/>
            <w:hideMark/>
          </w:tcPr>
          <w:p w14:paraId="7E84E2D0"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6.2</w:t>
            </w:r>
          </w:p>
        </w:tc>
        <w:tc>
          <w:tcPr>
            <w:tcW w:w="1134" w:type="dxa"/>
            <w:noWrap/>
            <w:vAlign w:val="center"/>
            <w:hideMark/>
          </w:tcPr>
          <w:p w14:paraId="4AFE45C4"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3.42</w:t>
            </w:r>
          </w:p>
        </w:tc>
        <w:tc>
          <w:tcPr>
            <w:tcW w:w="851" w:type="dxa"/>
            <w:tcBorders>
              <w:right w:val="single" w:sz="4" w:space="0" w:color="auto"/>
            </w:tcBorders>
            <w:noWrap/>
            <w:vAlign w:val="center"/>
            <w:hideMark/>
          </w:tcPr>
          <w:p w14:paraId="17C741F4"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-0.6</w:t>
            </w:r>
          </w:p>
        </w:tc>
      </w:tr>
      <w:tr w:rsidR="00B47219" w:rsidRPr="00616F4F" w14:paraId="6399C390" w14:textId="77777777" w:rsidTr="00B47219">
        <w:trPr>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12782252" w14:textId="77777777" w:rsidR="009B0BEA" w:rsidRPr="00616F4F" w:rsidRDefault="009B0BEA" w:rsidP="009B0BEA">
            <w:pPr>
              <w:spacing w:after="0" w:line="240" w:lineRule="auto"/>
              <w:rPr>
                <w:rFonts w:eastAsia="Times New Roman" w:cs="Arial"/>
                <w:b w:val="0"/>
                <w:color w:val="000000"/>
                <w:sz w:val="18"/>
                <w:szCs w:val="18"/>
              </w:rPr>
            </w:pPr>
            <w:r w:rsidRPr="00616F4F">
              <w:rPr>
                <w:rFonts w:eastAsia="Times New Roman" w:cs="Arial"/>
                <w:b w:val="0"/>
                <w:color w:val="000000"/>
                <w:sz w:val="18"/>
                <w:szCs w:val="18"/>
              </w:rPr>
              <w:t>Medical and dental staff WTE</w:t>
            </w:r>
          </w:p>
        </w:tc>
        <w:tc>
          <w:tcPr>
            <w:tcW w:w="1134" w:type="dxa"/>
            <w:tcBorders>
              <w:left w:val="single" w:sz="4" w:space="0" w:color="auto"/>
            </w:tcBorders>
            <w:noWrap/>
            <w:vAlign w:val="center"/>
            <w:hideMark/>
          </w:tcPr>
          <w:p w14:paraId="25C96FEB"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702.74</w:t>
            </w:r>
          </w:p>
        </w:tc>
        <w:tc>
          <w:tcPr>
            <w:tcW w:w="1275" w:type="dxa"/>
            <w:tcBorders>
              <w:right w:val="single" w:sz="4" w:space="0" w:color="auto"/>
            </w:tcBorders>
            <w:noWrap/>
            <w:vAlign w:val="center"/>
            <w:hideMark/>
          </w:tcPr>
          <w:p w14:paraId="3BD752D4"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394.65</w:t>
            </w:r>
          </w:p>
        </w:tc>
        <w:tc>
          <w:tcPr>
            <w:tcW w:w="1276" w:type="dxa"/>
            <w:tcBorders>
              <w:left w:val="single" w:sz="4" w:space="0" w:color="auto"/>
            </w:tcBorders>
            <w:noWrap/>
            <w:vAlign w:val="center"/>
            <w:hideMark/>
          </w:tcPr>
          <w:p w14:paraId="4E915B4B"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647.96</w:t>
            </w:r>
          </w:p>
        </w:tc>
        <w:tc>
          <w:tcPr>
            <w:tcW w:w="1134" w:type="dxa"/>
            <w:noWrap/>
            <w:vAlign w:val="center"/>
            <w:hideMark/>
          </w:tcPr>
          <w:p w14:paraId="396822A4"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371.2</w:t>
            </w:r>
          </w:p>
        </w:tc>
        <w:tc>
          <w:tcPr>
            <w:tcW w:w="851" w:type="dxa"/>
            <w:tcBorders>
              <w:right w:val="single" w:sz="4" w:space="0" w:color="auto"/>
            </w:tcBorders>
            <w:noWrap/>
            <w:vAlign w:val="center"/>
            <w:hideMark/>
          </w:tcPr>
          <w:p w14:paraId="6B05B19C"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13.1</w:t>
            </w:r>
          </w:p>
        </w:tc>
        <w:tc>
          <w:tcPr>
            <w:tcW w:w="1275" w:type="dxa"/>
            <w:tcBorders>
              <w:left w:val="single" w:sz="4" w:space="0" w:color="auto"/>
            </w:tcBorders>
            <w:noWrap/>
            <w:vAlign w:val="center"/>
            <w:hideMark/>
          </w:tcPr>
          <w:p w14:paraId="547BAB2D"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696.64</w:t>
            </w:r>
          </w:p>
        </w:tc>
        <w:tc>
          <w:tcPr>
            <w:tcW w:w="1134" w:type="dxa"/>
            <w:noWrap/>
            <w:vAlign w:val="center"/>
            <w:hideMark/>
          </w:tcPr>
          <w:p w14:paraId="2762C0C8"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394.68</w:t>
            </w:r>
          </w:p>
        </w:tc>
        <w:tc>
          <w:tcPr>
            <w:tcW w:w="851" w:type="dxa"/>
            <w:tcBorders>
              <w:right w:val="single" w:sz="4" w:space="0" w:color="auto"/>
            </w:tcBorders>
            <w:noWrap/>
            <w:vAlign w:val="center"/>
            <w:hideMark/>
          </w:tcPr>
          <w:p w14:paraId="128A6D8F"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0.2</w:t>
            </w:r>
          </w:p>
        </w:tc>
      </w:tr>
      <w:tr w:rsidR="00B47219" w:rsidRPr="00616F4F" w14:paraId="6CD6A34A" w14:textId="77777777" w:rsidTr="00B47219">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1CF0697F" w14:textId="77777777" w:rsidR="009B0BEA" w:rsidRPr="00616F4F" w:rsidRDefault="009B0BEA" w:rsidP="009B0BEA">
            <w:pPr>
              <w:spacing w:after="0" w:line="240" w:lineRule="auto"/>
              <w:rPr>
                <w:rFonts w:eastAsia="Times New Roman" w:cs="Arial"/>
                <w:b w:val="0"/>
                <w:color w:val="000000"/>
                <w:sz w:val="18"/>
                <w:szCs w:val="18"/>
              </w:rPr>
            </w:pPr>
            <w:r w:rsidRPr="00616F4F">
              <w:rPr>
                <w:rFonts w:eastAsia="Times New Roman" w:cs="Arial"/>
                <w:b w:val="0"/>
                <w:color w:val="000000"/>
                <w:sz w:val="18"/>
                <w:szCs w:val="18"/>
              </w:rPr>
              <w:t>Nursing, midwifery and health visiting staff WTE</w:t>
            </w:r>
          </w:p>
        </w:tc>
        <w:tc>
          <w:tcPr>
            <w:tcW w:w="1134" w:type="dxa"/>
            <w:tcBorders>
              <w:left w:val="single" w:sz="4" w:space="0" w:color="auto"/>
            </w:tcBorders>
            <w:noWrap/>
            <w:vAlign w:val="center"/>
            <w:hideMark/>
          </w:tcPr>
          <w:p w14:paraId="4E0BDC1E"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1705.78</w:t>
            </w:r>
          </w:p>
        </w:tc>
        <w:tc>
          <w:tcPr>
            <w:tcW w:w="1275" w:type="dxa"/>
            <w:tcBorders>
              <w:right w:val="single" w:sz="4" w:space="0" w:color="auto"/>
            </w:tcBorders>
            <w:noWrap/>
            <w:vAlign w:val="center"/>
            <w:hideMark/>
          </w:tcPr>
          <w:p w14:paraId="38084078"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849.33</w:t>
            </w:r>
          </w:p>
        </w:tc>
        <w:tc>
          <w:tcPr>
            <w:tcW w:w="1276" w:type="dxa"/>
            <w:tcBorders>
              <w:left w:val="single" w:sz="4" w:space="0" w:color="auto"/>
            </w:tcBorders>
            <w:noWrap/>
            <w:vAlign w:val="center"/>
            <w:hideMark/>
          </w:tcPr>
          <w:p w14:paraId="2F9DFFB4"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1609.19</w:t>
            </w:r>
          </w:p>
        </w:tc>
        <w:tc>
          <w:tcPr>
            <w:tcW w:w="1134" w:type="dxa"/>
            <w:noWrap/>
            <w:vAlign w:val="center"/>
            <w:hideMark/>
          </w:tcPr>
          <w:p w14:paraId="5B677A80"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813.41</w:t>
            </w:r>
          </w:p>
        </w:tc>
        <w:tc>
          <w:tcPr>
            <w:tcW w:w="851" w:type="dxa"/>
            <w:tcBorders>
              <w:right w:val="single" w:sz="4" w:space="0" w:color="auto"/>
            </w:tcBorders>
            <w:noWrap/>
            <w:vAlign w:val="center"/>
            <w:hideMark/>
          </w:tcPr>
          <w:p w14:paraId="2BD35FBC"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9.9</w:t>
            </w:r>
          </w:p>
        </w:tc>
        <w:tc>
          <w:tcPr>
            <w:tcW w:w="1275" w:type="dxa"/>
            <w:tcBorders>
              <w:left w:val="single" w:sz="4" w:space="0" w:color="auto"/>
            </w:tcBorders>
            <w:noWrap/>
            <w:vAlign w:val="center"/>
            <w:hideMark/>
          </w:tcPr>
          <w:p w14:paraId="670C83F7"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1704.84</w:t>
            </w:r>
          </w:p>
        </w:tc>
        <w:tc>
          <w:tcPr>
            <w:tcW w:w="1134" w:type="dxa"/>
            <w:noWrap/>
            <w:vAlign w:val="center"/>
            <w:hideMark/>
          </w:tcPr>
          <w:p w14:paraId="662F7E4F"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861.45</w:t>
            </w:r>
          </w:p>
        </w:tc>
        <w:tc>
          <w:tcPr>
            <w:tcW w:w="851" w:type="dxa"/>
            <w:tcBorders>
              <w:right w:val="single" w:sz="4" w:space="0" w:color="auto"/>
            </w:tcBorders>
            <w:noWrap/>
            <w:vAlign w:val="center"/>
            <w:hideMark/>
          </w:tcPr>
          <w:p w14:paraId="470D85E6"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w:t>
            </w:r>
          </w:p>
        </w:tc>
      </w:tr>
      <w:tr w:rsidR="00B47219" w:rsidRPr="00616F4F" w14:paraId="309CEA07" w14:textId="77777777" w:rsidTr="00B47219">
        <w:trPr>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01434CD1" w14:textId="77777777" w:rsidR="009B0BEA" w:rsidRPr="00616F4F" w:rsidRDefault="009B0BEA" w:rsidP="009B0BEA">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Average number of available beds</w:t>
            </w:r>
          </w:p>
        </w:tc>
        <w:tc>
          <w:tcPr>
            <w:tcW w:w="1134" w:type="dxa"/>
            <w:tcBorders>
              <w:left w:val="single" w:sz="4" w:space="0" w:color="auto"/>
            </w:tcBorders>
            <w:noWrap/>
            <w:vAlign w:val="center"/>
            <w:hideMark/>
          </w:tcPr>
          <w:p w14:paraId="0DE69604"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871.71</w:t>
            </w:r>
          </w:p>
        </w:tc>
        <w:tc>
          <w:tcPr>
            <w:tcW w:w="1275" w:type="dxa"/>
            <w:tcBorders>
              <w:right w:val="single" w:sz="4" w:space="0" w:color="auto"/>
            </w:tcBorders>
            <w:noWrap/>
            <w:vAlign w:val="center"/>
            <w:hideMark/>
          </w:tcPr>
          <w:p w14:paraId="6215D1BF"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408.68</w:t>
            </w:r>
          </w:p>
        </w:tc>
        <w:tc>
          <w:tcPr>
            <w:tcW w:w="1276" w:type="dxa"/>
            <w:tcBorders>
              <w:left w:val="single" w:sz="4" w:space="0" w:color="auto"/>
            </w:tcBorders>
            <w:noWrap/>
            <w:vAlign w:val="center"/>
            <w:hideMark/>
          </w:tcPr>
          <w:p w14:paraId="7A1C7DDD"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858.02</w:t>
            </w:r>
          </w:p>
        </w:tc>
        <w:tc>
          <w:tcPr>
            <w:tcW w:w="1134" w:type="dxa"/>
            <w:noWrap/>
            <w:vAlign w:val="center"/>
            <w:hideMark/>
          </w:tcPr>
          <w:p w14:paraId="321577FA"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405.38</w:t>
            </w:r>
          </w:p>
        </w:tc>
        <w:tc>
          <w:tcPr>
            <w:tcW w:w="851" w:type="dxa"/>
            <w:tcBorders>
              <w:right w:val="single" w:sz="4" w:space="0" w:color="auto"/>
            </w:tcBorders>
            <w:noWrap/>
            <w:vAlign w:val="center"/>
            <w:hideMark/>
          </w:tcPr>
          <w:p w14:paraId="7CA892D9"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4.8</w:t>
            </w:r>
          </w:p>
        </w:tc>
        <w:tc>
          <w:tcPr>
            <w:tcW w:w="1275" w:type="dxa"/>
            <w:tcBorders>
              <w:left w:val="single" w:sz="4" w:space="0" w:color="auto"/>
            </w:tcBorders>
            <w:noWrap/>
            <w:vAlign w:val="center"/>
            <w:hideMark/>
          </w:tcPr>
          <w:p w14:paraId="6A1697A6"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889.6</w:t>
            </w:r>
          </w:p>
        </w:tc>
        <w:tc>
          <w:tcPr>
            <w:tcW w:w="1134" w:type="dxa"/>
            <w:noWrap/>
            <w:vAlign w:val="center"/>
            <w:hideMark/>
          </w:tcPr>
          <w:p w14:paraId="7FC4AF37"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431.47</w:t>
            </w:r>
          </w:p>
        </w:tc>
        <w:tc>
          <w:tcPr>
            <w:tcW w:w="851" w:type="dxa"/>
            <w:tcBorders>
              <w:right w:val="single" w:sz="4" w:space="0" w:color="auto"/>
            </w:tcBorders>
            <w:noWrap/>
            <w:vAlign w:val="center"/>
            <w:hideMark/>
          </w:tcPr>
          <w:p w14:paraId="3782D11C"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2.4</w:t>
            </w:r>
          </w:p>
        </w:tc>
      </w:tr>
      <w:tr w:rsidR="00B47219" w:rsidRPr="00616F4F" w14:paraId="2C0DBCD7" w14:textId="77777777" w:rsidTr="00B47219">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0ECAD3A1" w14:textId="77777777" w:rsidR="009B0BEA" w:rsidRPr="00616F4F" w:rsidRDefault="009B0BEA" w:rsidP="009B0BEA">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Average bed occupancy rate</w:t>
            </w:r>
          </w:p>
        </w:tc>
        <w:tc>
          <w:tcPr>
            <w:tcW w:w="1134" w:type="dxa"/>
            <w:tcBorders>
              <w:left w:val="single" w:sz="4" w:space="0" w:color="auto"/>
            </w:tcBorders>
            <w:noWrap/>
            <w:vAlign w:val="center"/>
            <w:hideMark/>
          </w:tcPr>
          <w:p w14:paraId="16258D19"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86.41</w:t>
            </w:r>
          </w:p>
        </w:tc>
        <w:tc>
          <w:tcPr>
            <w:tcW w:w="1275" w:type="dxa"/>
            <w:tcBorders>
              <w:right w:val="single" w:sz="4" w:space="0" w:color="auto"/>
            </w:tcBorders>
            <w:noWrap/>
            <w:vAlign w:val="center"/>
            <w:hideMark/>
          </w:tcPr>
          <w:p w14:paraId="39A2C81B"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6.77</w:t>
            </w:r>
          </w:p>
        </w:tc>
        <w:tc>
          <w:tcPr>
            <w:tcW w:w="1276" w:type="dxa"/>
            <w:tcBorders>
              <w:left w:val="single" w:sz="4" w:space="0" w:color="auto"/>
            </w:tcBorders>
            <w:noWrap/>
            <w:vAlign w:val="center"/>
            <w:hideMark/>
          </w:tcPr>
          <w:p w14:paraId="34E38D59"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86.5</w:t>
            </w:r>
          </w:p>
        </w:tc>
        <w:tc>
          <w:tcPr>
            <w:tcW w:w="1134" w:type="dxa"/>
            <w:noWrap/>
            <w:vAlign w:val="center"/>
            <w:hideMark/>
          </w:tcPr>
          <w:p w14:paraId="18B26B7F"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6.69</w:t>
            </w:r>
          </w:p>
        </w:tc>
        <w:tc>
          <w:tcPr>
            <w:tcW w:w="851" w:type="dxa"/>
            <w:tcBorders>
              <w:right w:val="single" w:sz="4" w:space="0" w:color="auto"/>
            </w:tcBorders>
            <w:noWrap/>
            <w:vAlign w:val="center"/>
            <w:hideMark/>
          </w:tcPr>
          <w:p w14:paraId="0FD2AAA6"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-1.1</w:t>
            </w:r>
          </w:p>
        </w:tc>
        <w:tc>
          <w:tcPr>
            <w:tcW w:w="1275" w:type="dxa"/>
            <w:tcBorders>
              <w:left w:val="single" w:sz="4" w:space="0" w:color="auto"/>
            </w:tcBorders>
            <w:noWrap/>
            <w:vAlign w:val="center"/>
            <w:hideMark/>
          </w:tcPr>
          <w:p w14:paraId="1FE96F09"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86.25</w:t>
            </w:r>
          </w:p>
        </w:tc>
        <w:tc>
          <w:tcPr>
            <w:tcW w:w="1134" w:type="dxa"/>
            <w:noWrap/>
            <w:vAlign w:val="center"/>
            <w:hideMark/>
          </w:tcPr>
          <w:p w14:paraId="59555FBE"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6.94</w:t>
            </w:r>
          </w:p>
        </w:tc>
        <w:tc>
          <w:tcPr>
            <w:tcW w:w="851" w:type="dxa"/>
            <w:tcBorders>
              <w:right w:val="single" w:sz="4" w:space="0" w:color="auto"/>
            </w:tcBorders>
            <w:noWrap/>
            <w:vAlign w:val="center"/>
            <w:hideMark/>
          </w:tcPr>
          <w:p w14:paraId="3B46F40F" w14:textId="77777777" w:rsidR="009B0BEA" w:rsidRPr="00616F4F" w:rsidRDefault="009B0BEA" w:rsidP="009B0B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0.1</w:t>
            </w:r>
          </w:p>
        </w:tc>
      </w:tr>
      <w:tr w:rsidR="00B47219" w:rsidRPr="00616F4F" w14:paraId="5B01262B" w14:textId="77777777" w:rsidTr="00B47219">
        <w:trPr>
          <w:trHeight w:hRule="exac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right w:val="single" w:sz="4" w:space="0" w:color="auto"/>
            </w:tcBorders>
            <w:noWrap/>
            <w:vAlign w:val="center"/>
            <w:hideMark/>
          </w:tcPr>
          <w:p w14:paraId="26125255" w14:textId="77777777" w:rsidR="009B0BEA" w:rsidRPr="00616F4F" w:rsidRDefault="009B0BEA"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Teaching stat</w:t>
            </w:r>
            <w:r w:rsidR="00B47219" w:rsidRPr="00616F4F">
              <w:rPr>
                <w:rFonts w:eastAsia="Times New Roman" w:cs="Arial"/>
                <w:b w:val="0"/>
                <w:color w:val="000000"/>
                <w:sz w:val="18"/>
                <w:szCs w:val="18"/>
              </w:rPr>
              <w:t>us, 0: non-teaching, 1: teaching</w:t>
            </w:r>
          </w:p>
        </w:tc>
        <w:tc>
          <w:tcPr>
            <w:tcW w:w="1134" w:type="dxa"/>
            <w:tcBorders>
              <w:left w:val="single" w:sz="4" w:space="0" w:color="auto"/>
              <w:bottom w:val="single" w:sz="4" w:space="0" w:color="auto"/>
            </w:tcBorders>
            <w:noWrap/>
            <w:vAlign w:val="center"/>
            <w:hideMark/>
          </w:tcPr>
          <w:p w14:paraId="27ED52A2"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0.49</w:t>
            </w:r>
          </w:p>
        </w:tc>
        <w:tc>
          <w:tcPr>
            <w:tcW w:w="1275" w:type="dxa"/>
            <w:tcBorders>
              <w:bottom w:val="single" w:sz="4" w:space="0" w:color="auto"/>
              <w:right w:val="single" w:sz="4" w:space="0" w:color="auto"/>
            </w:tcBorders>
            <w:noWrap/>
            <w:vAlign w:val="center"/>
            <w:hideMark/>
          </w:tcPr>
          <w:p w14:paraId="5687DCD4"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1276" w:type="dxa"/>
            <w:tcBorders>
              <w:left w:val="single" w:sz="4" w:space="0" w:color="auto"/>
              <w:bottom w:val="single" w:sz="4" w:space="0" w:color="auto"/>
            </w:tcBorders>
            <w:noWrap/>
            <w:vAlign w:val="center"/>
            <w:hideMark/>
          </w:tcPr>
          <w:p w14:paraId="352F91E6"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0.44</w:t>
            </w:r>
          </w:p>
        </w:tc>
        <w:tc>
          <w:tcPr>
            <w:tcW w:w="1134" w:type="dxa"/>
            <w:tcBorders>
              <w:bottom w:val="single" w:sz="4" w:space="0" w:color="auto"/>
            </w:tcBorders>
            <w:noWrap/>
            <w:vAlign w:val="center"/>
            <w:hideMark/>
          </w:tcPr>
          <w:p w14:paraId="7CFCF912"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bottom w:val="single" w:sz="4" w:space="0" w:color="auto"/>
              <w:right w:val="single" w:sz="4" w:space="0" w:color="auto"/>
            </w:tcBorders>
            <w:noWrap/>
            <w:vAlign w:val="center"/>
            <w:hideMark/>
          </w:tcPr>
          <w:p w14:paraId="0FEC238C"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10.2</w:t>
            </w:r>
          </w:p>
        </w:tc>
        <w:tc>
          <w:tcPr>
            <w:tcW w:w="1275" w:type="dxa"/>
            <w:tcBorders>
              <w:left w:val="single" w:sz="4" w:space="0" w:color="auto"/>
              <w:bottom w:val="single" w:sz="4" w:space="0" w:color="auto"/>
            </w:tcBorders>
            <w:noWrap/>
            <w:vAlign w:val="center"/>
            <w:hideMark/>
          </w:tcPr>
          <w:p w14:paraId="711C7D03"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0.49</w:t>
            </w:r>
          </w:p>
        </w:tc>
        <w:tc>
          <w:tcPr>
            <w:tcW w:w="1134" w:type="dxa"/>
            <w:tcBorders>
              <w:bottom w:val="single" w:sz="4" w:space="0" w:color="auto"/>
            </w:tcBorders>
            <w:noWrap/>
            <w:vAlign w:val="center"/>
            <w:hideMark/>
          </w:tcPr>
          <w:p w14:paraId="6CF4BD0B"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bottom w:val="single" w:sz="4" w:space="0" w:color="auto"/>
              <w:right w:val="single" w:sz="4" w:space="0" w:color="auto"/>
            </w:tcBorders>
            <w:noWrap/>
            <w:vAlign w:val="center"/>
            <w:hideMark/>
          </w:tcPr>
          <w:p w14:paraId="04055100" w14:textId="77777777" w:rsidR="009B0BEA" w:rsidRPr="00616F4F" w:rsidRDefault="009B0BEA" w:rsidP="009B0B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w:t>
            </w:r>
          </w:p>
        </w:tc>
      </w:tr>
    </w:tbl>
    <w:p w14:paraId="5622302A" w14:textId="77777777" w:rsidR="009B0BEA" w:rsidRPr="00616F4F" w:rsidRDefault="009B0BEA">
      <w:pPr>
        <w:spacing w:after="160" w:line="259" w:lineRule="auto"/>
        <w:rPr>
          <w:rFonts w:cs="Arial"/>
          <w:sz w:val="18"/>
          <w:szCs w:val="18"/>
        </w:rPr>
      </w:pPr>
    </w:p>
    <w:p w14:paraId="789E8E5A" w14:textId="77777777" w:rsidR="00ED1D57" w:rsidRPr="00616F4F" w:rsidRDefault="00ED1D57">
      <w:pPr>
        <w:spacing w:after="160" w:line="259" w:lineRule="auto"/>
        <w:rPr>
          <w:rFonts w:cs="Arial"/>
          <w:sz w:val="18"/>
          <w:szCs w:val="18"/>
        </w:rPr>
      </w:pPr>
      <w:r w:rsidRPr="00616F4F">
        <w:rPr>
          <w:rFonts w:cs="Arial"/>
          <w:sz w:val="18"/>
          <w:szCs w:val="18"/>
        </w:rPr>
        <w:br w:type="page"/>
      </w:r>
    </w:p>
    <w:p w14:paraId="75C7FD64" w14:textId="78EAC54B" w:rsidR="00ED1D57" w:rsidRPr="00E2486B" w:rsidRDefault="00ED1D57" w:rsidP="00E2486B">
      <w:pPr>
        <w:rPr>
          <w:b/>
        </w:rPr>
      </w:pPr>
      <w:r w:rsidRPr="00E2486B">
        <w:rPr>
          <w:b/>
        </w:rPr>
        <w:lastRenderedPageBreak/>
        <w:t xml:space="preserve">Table </w:t>
      </w:r>
      <w:r w:rsidR="00635E43" w:rsidRPr="00E2486B">
        <w:rPr>
          <w:b/>
        </w:rPr>
        <w:t>SDC</w:t>
      </w:r>
      <w:r w:rsidR="0041235B" w:rsidRPr="00E2486B">
        <w:rPr>
          <w:b/>
        </w:rPr>
        <w:t>3</w:t>
      </w:r>
      <w:r w:rsidR="00904FCA" w:rsidRPr="00E2486B">
        <w:rPr>
          <w:b/>
        </w:rPr>
        <w:t>f</w:t>
      </w:r>
      <w:r w:rsidRPr="00E2486B">
        <w:rPr>
          <w:b/>
        </w:rPr>
        <w:t xml:space="preserve">: Post-operative Sepsis, year 2009/10 </w:t>
      </w:r>
    </w:p>
    <w:p w14:paraId="1450D859" w14:textId="77777777" w:rsidR="00436537" w:rsidRPr="00616F4F" w:rsidRDefault="00436537" w:rsidP="00AE6CA1">
      <w:pPr>
        <w:rPr>
          <w:rFonts w:cs="Arial"/>
          <w:sz w:val="18"/>
          <w:szCs w:val="18"/>
        </w:rPr>
      </w:pPr>
    </w:p>
    <w:tbl>
      <w:tblPr>
        <w:tblStyle w:val="GridTable4-Accent12"/>
        <w:tblW w:w="13887" w:type="dxa"/>
        <w:tblLayout w:type="fixed"/>
        <w:tblLook w:val="04A0" w:firstRow="1" w:lastRow="0" w:firstColumn="1" w:lastColumn="0" w:noHBand="0" w:noVBand="1"/>
      </w:tblPr>
      <w:tblGrid>
        <w:gridCol w:w="4957"/>
        <w:gridCol w:w="1134"/>
        <w:gridCol w:w="1275"/>
        <w:gridCol w:w="1276"/>
        <w:gridCol w:w="1134"/>
        <w:gridCol w:w="851"/>
        <w:gridCol w:w="1275"/>
        <w:gridCol w:w="1134"/>
        <w:gridCol w:w="851"/>
      </w:tblGrid>
      <w:tr w:rsidR="00B47219" w:rsidRPr="00616F4F" w14:paraId="3C1FFF87" w14:textId="77777777" w:rsidTr="00B47219">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right w:val="single" w:sz="4" w:space="0" w:color="auto"/>
            </w:tcBorders>
            <w:noWrap/>
            <w:vAlign w:val="center"/>
            <w:hideMark/>
          </w:tcPr>
          <w:p w14:paraId="7C887AE9" w14:textId="77777777" w:rsidR="00B47219" w:rsidRPr="00616F4F" w:rsidRDefault="00B47219" w:rsidP="00B47219">
            <w:pPr>
              <w:spacing w:after="0" w:line="240" w:lineRule="auto"/>
              <w:rPr>
                <w:rFonts w:eastAsia="Times New Roman" w:cs="Arial"/>
                <w:sz w:val="18"/>
                <w:szCs w:val="18"/>
              </w:rPr>
            </w:pPr>
          </w:p>
        </w:tc>
        <w:tc>
          <w:tcPr>
            <w:tcW w:w="2409" w:type="dxa"/>
            <w:gridSpan w:val="2"/>
            <w:tcBorders>
              <w:top w:val="single" w:sz="4" w:space="0" w:color="auto"/>
              <w:left w:val="single" w:sz="4" w:space="0" w:color="auto"/>
              <w:right w:val="single" w:sz="4" w:space="0" w:color="auto"/>
            </w:tcBorders>
            <w:vAlign w:val="center"/>
            <w:hideMark/>
          </w:tcPr>
          <w:p w14:paraId="1AE03FC6" w14:textId="77777777" w:rsidR="00B47219" w:rsidRPr="00616F4F" w:rsidRDefault="00B47219" w:rsidP="00B4721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Patients with incidents (n=2,086)</w:t>
            </w:r>
          </w:p>
        </w:tc>
        <w:tc>
          <w:tcPr>
            <w:tcW w:w="3261" w:type="dxa"/>
            <w:gridSpan w:val="3"/>
            <w:tcBorders>
              <w:top w:val="single" w:sz="4" w:space="0" w:color="auto"/>
              <w:left w:val="single" w:sz="4" w:space="0" w:color="auto"/>
              <w:right w:val="single" w:sz="4" w:space="0" w:color="auto"/>
            </w:tcBorders>
            <w:vAlign w:val="center"/>
            <w:hideMark/>
          </w:tcPr>
          <w:p w14:paraId="27FB3D9D" w14:textId="77777777" w:rsidR="00B47219" w:rsidRPr="00616F4F" w:rsidRDefault="00B47219" w:rsidP="00B4721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Unmatched control patients (n=297,198)</w:t>
            </w:r>
          </w:p>
        </w:tc>
        <w:tc>
          <w:tcPr>
            <w:tcW w:w="3260" w:type="dxa"/>
            <w:gridSpan w:val="3"/>
            <w:tcBorders>
              <w:top w:val="single" w:sz="4" w:space="0" w:color="auto"/>
              <w:left w:val="single" w:sz="4" w:space="0" w:color="auto"/>
              <w:right w:val="single" w:sz="4" w:space="0" w:color="auto"/>
            </w:tcBorders>
            <w:vAlign w:val="center"/>
            <w:hideMark/>
          </w:tcPr>
          <w:p w14:paraId="6C7769BA" w14:textId="77777777" w:rsidR="00B47219" w:rsidRPr="00616F4F" w:rsidRDefault="00B47219" w:rsidP="00B4721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Matched control patients (n=2,092)</w:t>
            </w:r>
          </w:p>
        </w:tc>
      </w:tr>
      <w:tr w:rsidR="00B47219" w:rsidRPr="00616F4F" w14:paraId="30C36840" w14:textId="77777777" w:rsidTr="00B47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329ABABB" w14:textId="77777777" w:rsidR="00B47219" w:rsidRPr="00616F4F" w:rsidRDefault="00B47219" w:rsidP="00B47219">
            <w:pPr>
              <w:spacing w:after="0" w:line="240" w:lineRule="auto"/>
              <w:rPr>
                <w:rFonts w:eastAsia="Times New Roman" w:cs="Arial"/>
                <w:color w:val="000000"/>
                <w:sz w:val="18"/>
                <w:szCs w:val="18"/>
              </w:rPr>
            </w:pPr>
            <w:r w:rsidRPr="00616F4F">
              <w:rPr>
                <w:rFonts w:eastAsia="Times New Roman" w:cs="Arial"/>
                <w:color w:val="000000"/>
                <w:sz w:val="18"/>
                <w:szCs w:val="18"/>
              </w:rPr>
              <w:t>Outcomes</w:t>
            </w:r>
          </w:p>
        </w:tc>
        <w:tc>
          <w:tcPr>
            <w:tcW w:w="1134" w:type="dxa"/>
            <w:tcBorders>
              <w:left w:val="single" w:sz="4" w:space="0" w:color="auto"/>
            </w:tcBorders>
            <w:noWrap/>
            <w:vAlign w:val="center"/>
            <w:hideMark/>
          </w:tcPr>
          <w:p w14:paraId="74FA65DB" w14:textId="77777777" w:rsidR="00B47219" w:rsidRPr="00616F4F" w:rsidRDefault="00B47219" w:rsidP="00B4721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275" w:type="dxa"/>
            <w:tcBorders>
              <w:right w:val="single" w:sz="4" w:space="0" w:color="auto"/>
            </w:tcBorders>
            <w:noWrap/>
            <w:vAlign w:val="center"/>
            <w:hideMark/>
          </w:tcPr>
          <w:p w14:paraId="45227F2A" w14:textId="77777777" w:rsidR="00B47219" w:rsidRPr="00616F4F" w:rsidRDefault="00B47219" w:rsidP="00B4721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1276" w:type="dxa"/>
            <w:tcBorders>
              <w:left w:val="single" w:sz="4" w:space="0" w:color="auto"/>
            </w:tcBorders>
            <w:noWrap/>
            <w:vAlign w:val="center"/>
            <w:hideMark/>
          </w:tcPr>
          <w:p w14:paraId="57754ACB" w14:textId="77777777" w:rsidR="00B47219" w:rsidRPr="00616F4F" w:rsidRDefault="00B47219" w:rsidP="00B4721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134" w:type="dxa"/>
            <w:noWrap/>
            <w:vAlign w:val="center"/>
            <w:hideMark/>
          </w:tcPr>
          <w:p w14:paraId="49C33419" w14:textId="77777777" w:rsidR="00B47219" w:rsidRPr="00616F4F" w:rsidRDefault="00B47219" w:rsidP="00B4721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851" w:type="dxa"/>
            <w:tcBorders>
              <w:right w:val="single" w:sz="4" w:space="0" w:color="auto"/>
            </w:tcBorders>
            <w:noWrap/>
            <w:vAlign w:val="center"/>
            <w:hideMark/>
          </w:tcPr>
          <w:p w14:paraId="60B28191" w14:textId="77777777" w:rsidR="00B47219" w:rsidRPr="00616F4F" w:rsidRDefault="00B47219" w:rsidP="00B4721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c>
          <w:tcPr>
            <w:tcW w:w="1275" w:type="dxa"/>
            <w:tcBorders>
              <w:left w:val="single" w:sz="4" w:space="0" w:color="auto"/>
            </w:tcBorders>
            <w:noWrap/>
            <w:vAlign w:val="center"/>
            <w:hideMark/>
          </w:tcPr>
          <w:p w14:paraId="3B217363" w14:textId="77777777" w:rsidR="00B47219" w:rsidRPr="00616F4F" w:rsidRDefault="00B47219" w:rsidP="00B4721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134" w:type="dxa"/>
            <w:noWrap/>
            <w:vAlign w:val="center"/>
            <w:hideMark/>
          </w:tcPr>
          <w:p w14:paraId="0D548365" w14:textId="77777777" w:rsidR="00B47219" w:rsidRPr="00616F4F" w:rsidRDefault="00B47219" w:rsidP="00B4721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851" w:type="dxa"/>
            <w:tcBorders>
              <w:right w:val="single" w:sz="4" w:space="0" w:color="auto"/>
            </w:tcBorders>
            <w:noWrap/>
            <w:vAlign w:val="center"/>
            <w:hideMark/>
          </w:tcPr>
          <w:p w14:paraId="7E4178C7" w14:textId="77777777" w:rsidR="00B47219" w:rsidRPr="00616F4F" w:rsidRDefault="00B47219" w:rsidP="00B4721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%bias</w:t>
            </w:r>
          </w:p>
        </w:tc>
      </w:tr>
      <w:tr w:rsidR="00B47219" w:rsidRPr="00616F4F" w14:paraId="6B25A3F5" w14:textId="77777777" w:rsidTr="00B47219">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53831FC3"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Death, in-hospital</w:t>
            </w:r>
          </w:p>
        </w:tc>
        <w:tc>
          <w:tcPr>
            <w:tcW w:w="1134" w:type="dxa"/>
            <w:tcBorders>
              <w:left w:val="single" w:sz="4" w:space="0" w:color="auto"/>
            </w:tcBorders>
            <w:noWrap/>
            <w:vAlign w:val="center"/>
            <w:hideMark/>
          </w:tcPr>
          <w:p w14:paraId="686664BD"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0.17</w:t>
            </w:r>
          </w:p>
        </w:tc>
        <w:tc>
          <w:tcPr>
            <w:tcW w:w="1275" w:type="dxa"/>
            <w:tcBorders>
              <w:right w:val="single" w:sz="4" w:space="0" w:color="auto"/>
            </w:tcBorders>
            <w:noWrap/>
            <w:vAlign w:val="center"/>
            <w:hideMark/>
          </w:tcPr>
          <w:p w14:paraId="3B338BE4"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0.38</w:t>
            </w:r>
          </w:p>
        </w:tc>
        <w:tc>
          <w:tcPr>
            <w:tcW w:w="1276" w:type="dxa"/>
            <w:tcBorders>
              <w:left w:val="single" w:sz="4" w:space="0" w:color="auto"/>
            </w:tcBorders>
            <w:noWrap/>
            <w:vAlign w:val="center"/>
            <w:hideMark/>
          </w:tcPr>
          <w:p w14:paraId="438A6C84"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0.01</w:t>
            </w:r>
          </w:p>
        </w:tc>
        <w:tc>
          <w:tcPr>
            <w:tcW w:w="1134" w:type="dxa"/>
            <w:noWrap/>
            <w:vAlign w:val="center"/>
            <w:hideMark/>
          </w:tcPr>
          <w:p w14:paraId="3071D0C2"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0.09</w:t>
            </w:r>
          </w:p>
        </w:tc>
        <w:tc>
          <w:tcPr>
            <w:tcW w:w="851" w:type="dxa"/>
            <w:tcBorders>
              <w:right w:val="single" w:sz="4" w:space="0" w:color="auto"/>
            </w:tcBorders>
            <w:noWrap/>
            <w:vAlign w:val="center"/>
            <w:hideMark/>
          </w:tcPr>
          <w:p w14:paraId="19625CEC"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left w:val="single" w:sz="4" w:space="0" w:color="auto"/>
            </w:tcBorders>
            <w:noWrap/>
            <w:vAlign w:val="center"/>
            <w:hideMark/>
          </w:tcPr>
          <w:p w14:paraId="6D939748"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0.03</w:t>
            </w:r>
          </w:p>
        </w:tc>
        <w:tc>
          <w:tcPr>
            <w:tcW w:w="1134" w:type="dxa"/>
            <w:noWrap/>
            <w:vAlign w:val="center"/>
            <w:hideMark/>
          </w:tcPr>
          <w:p w14:paraId="521FA548"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0.17</w:t>
            </w:r>
          </w:p>
        </w:tc>
        <w:tc>
          <w:tcPr>
            <w:tcW w:w="851" w:type="dxa"/>
            <w:tcBorders>
              <w:right w:val="single" w:sz="4" w:space="0" w:color="auto"/>
            </w:tcBorders>
            <w:noWrap/>
            <w:vAlign w:val="center"/>
            <w:hideMark/>
          </w:tcPr>
          <w:p w14:paraId="2314AC60"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r>
      <w:tr w:rsidR="00B47219" w:rsidRPr="00616F4F" w14:paraId="3A7A2B17" w14:textId="77777777" w:rsidTr="00B47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right w:val="single" w:sz="4" w:space="0" w:color="auto"/>
            </w:tcBorders>
            <w:noWrap/>
            <w:vAlign w:val="center"/>
            <w:hideMark/>
          </w:tcPr>
          <w:p w14:paraId="1E0FD9FA"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Bed-days</w:t>
            </w:r>
          </w:p>
        </w:tc>
        <w:tc>
          <w:tcPr>
            <w:tcW w:w="1134" w:type="dxa"/>
            <w:tcBorders>
              <w:left w:val="single" w:sz="4" w:space="0" w:color="auto"/>
              <w:bottom w:val="single" w:sz="4" w:space="0" w:color="auto"/>
            </w:tcBorders>
            <w:noWrap/>
            <w:vAlign w:val="center"/>
            <w:hideMark/>
          </w:tcPr>
          <w:p w14:paraId="612A1BEB"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33.46</w:t>
            </w:r>
          </w:p>
        </w:tc>
        <w:tc>
          <w:tcPr>
            <w:tcW w:w="1275" w:type="dxa"/>
            <w:tcBorders>
              <w:bottom w:val="single" w:sz="4" w:space="0" w:color="auto"/>
              <w:right w:val="single" w:sz="4" w:space="0" w:color="auto"/>
            </w:tcBorders>
            <w:noWrap/>
            <w:vAlign w:val="center"/>
            <w:hideMark/>
          </w:tcPr>
          <w:p w14:paraId="277DE6E1"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39.02</w:t>
            </w:r>
          </w:p>
        </w:tc>
        <w:tc>
          <w:tcPr>
            <w:tcW w:w="1276" w:type="dxa"/>
            <w:tcBorders>
              <w:left w:val="single" w:sz="4" w:space="0" w:color="auto"/>
              <w:bottom w:val="single" w:sz="4" w:space="0" w:color="auto"/>
            </w:tcBorders>
            <w:noWrap/>
            <w:vAlign w:val="center"/>
            <w:hideMark/>
          </w:tcPr>
          <w:p w14:paraId="240F1DC8"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9.06</w:t>
            </w:r>
          </w:p>
        </w:tc>
        <w:tc>
          <w:tcPr>
            <w:tcW w:w="1134" w:type="dxa"/>
            <w:tcBorders>
              <w:bottom w:val="single" w:sz="4" w:space="0" w:color="auto"/>
            </w:tcBorders>
            <w:noWrap/>
            <w:vAlign w:val="center"/>
            <w:hideMark/>
          </w:tcPr>
          <w:p w14:paraId="72F6458A"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12.6</w:t>
            </w:r>
          </w:p>
        </w:tc>
        <w:tc>
          <w:tcPr>
            <w:tcW w:w="851" w:type="dxa"/>
            <w:tcBorders>
              <w:bottom w:val="single" w:sz="4" w:space="0" w:color="auto"/>
              <w:right w:val="single" w:sz="4" w:space="0" w:color="auto"/>
            </w:tcBorders>
            <w:noWrap/>
            <w:vAlign w:val="center"/>
            <w:hideMark/>
          </w:tcPr>
          <w:p w14:paraId="6CD6AEB3"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1275" w:type="dxa"/>
            <w:tcBorders>
              <w:left w:val="single" w:sz="4" w:space="0" w:color="auto"/>
              <w:bottom w:val="single" w:sz="4" w:space="0" w:color="auto"/>
            </w:tcBorders>
            <w:noWrap/>
            <w:vAlign w:val="center"/>
            <w:hideMark/>
          </w:tcPr>
          <w:p w14:paraId="02F8F4B4"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14.12</w:t>
            </w:r>
          </w:p>
        </w:tc>
        <w:tc>
          <w:tcPr>
            <w:tcW w:w="1134" w:type="dxa"/>
            <w:tcBorders>
              <w:bottom w:val="single" w:sz="4" w:space="0" w:color="auto"/>
            </w:tcBorders>
            <w:noWrap/>
            <w:vAlign w:val="center"/>
            <w:hideMark/>
          </w:tcPr>
          <w:p w14:paraId="23D0519E"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19.28</w:t>
            </w:r>
          </w:p>
        </w:tc>
        <w:tc>
          <w:tcPr>
            <w:tcW w:w="851" w:type="dxa"/>
            <w:tcBorders>
              <w:bottom w:val="single" w:sz="4" w:space="0" w:color="auto"/>
              <w:right w:val="single" w:sz="4" w:space="0" w:color="auto"/>
            </w:tcBorders>
            <w:noWrap/>
            <w:vAlign w:val="center"/>
            <w:hideMark/>
          </w:tcPr>
          <w:p w14:paraId="09D7E508"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r>
      <w:tr w:rsidR="00B47219" w:rsidRPr="00616F4F" w14:paraId="72D958A5" w14:textId="77777777" w:rsidTr="00B47219">
        <w:trPr>
          <w:trHeight w:val="3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right w:val="single" w:sz="4" w:space="0" w:color="auto"/>
            </w:tcBorders>
            <w:noWrap/>
            <w:vAlign w:val="center"/>
          </w:tcPr>
          <w:p w14:paraId="7BD3DA42" w14:textId="77777777" w:rsidR="00B47219" w:rsidRPr="00616F4F" w:rsidRDefault="00B47219" w:rsidP="00B47219">
            <w:pPr>
              <w:spacing w:after="0" w:line="240" w:lineRule="auto"/>
              <w:rPr>
                <w:rFonts w:eastAsia="Times New Roman" w:cs="Arial"/>
                <w:color w:val="000000"/>
                <w:sz w:val="18"/>
                <w:szCs w:val="18"/>
              </w:rPr>
            </w:pPr>
            <w:r w:rsidRPr="00616F4F">
              <w:rPr>
                <w:rFonts w:eastAsia="Times New Roman" w:cs="Arial"/>
                <w:color w:val="000000"/>
                <w:sz w:val="18"/>
                <w:szCs w:val="18"/>
              </w:rPr>
              <w:t>Covariates</w:t>
            </w:r>
          </w:p>
        </w:tc>
        <w:tc>
          <w:tcPr>
            <w:tcW w:w="1134" w:type="dxa"/>
            <w:tcBorders>
              <w:top w:val="single" w:sz="4" w:space="0" w:color="auto"/>
              <w:left w:val="single" w:sz="4" w:space="0" w:color="auto"/>
            </w:tcBorders>
            <w:noWrap/>
            <w:vAlign w:val="center"/>
          </w:tcPr>
          <w:p w14:paraId="09690C11"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top w:val="single" w:sz="4" w:space="0" w:color="auto"/>
              <w:right w:val="single" w:sz="4" w:space="0" w:color="auto"/>
            </w:tcBorders>
            <w:noWrap/>
            <w:vAlign w:val="center"/>
          </w:tcPr>
          <w:p w14:paraId="1E00A5D8"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6" w:type="dxa"/>
            <w:tcBorders>
              <w:top w:val="single" w:sz="4" w:space="0" w:color="auto"/>
              <w:left w:val="single" w:sz="4" w:space="0" w:color="auto"/>
            </w:tcBorders>
            <w:noWrap/>
            <w:vAlign w:val="center"/>
          </w:tcPr>
          <w:p w14:paraId="19E715C1"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top w:val="single" w:sz="4" w:space="0" w:color="auto"/>
            </w:tcBorders>
            <w:noWrap/>
            <w:vAlign w:val="center"/>
          </w:tcPr>
          <w:p w14:paraId="513A4F20"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851" w:type="dxa"/>
            <w:tcBorders>
              <w:top w:val="single" w:sz="4" w:space="0" w:color="auto"/>
              <w:right w:val="single" w:sz="4" w:space="0" w:color="auto"/>
            </w:tcBorders>
            <w:noWrap/>
            <w:vAlign w:val="center"/>
          </w:tcPr>
          <w:p w14:paraId="44FA5970"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275" w:type="dxa"/>
            <w:tcBorders>
              <w:top w:val="single" w:sz="4" w:space="0" w:color="auto"/>
              <w:left w:val="single" w:sz="4" w:space="0" w:color="auto"/>
            </w:tcBorders>
            <w:noWrap/>
            <w:vAlign w:val="center"/>
          </w:tcPr>
          <w:p w14:paraId="5345FD38"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1134" w:type="dxa"/>
            <w:tcBorders>
              <w:top w:val="single" w:sz="4" w:space="0" w:color="auto"/>
            </w:tcBorders>
            <w:noWrap/>
            <w:vAlign w:val="center"/>
          </w:tcPr>
          <w:p w14:paraId="3F103DE3"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c>
          <w:tcPr>
            <w:tcW w:w="851" w:type="dxa"/>
            <w:tcBorders>
              <w:top w:val="single" w:sz="4" w:space="0" w:color="auto"/>
              <w:right w:val="single" w:sz="4" w:space="0" w:color="auto"/>
            </w:tcBorders>
            <w:noWrap/>
            <w:vAlign w:val="center"/>
          </w:tcPr>
          <w:p w14:paraId="6D23008F"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p>
        </w:tc>
      </w:tr>
      <w:tr w:rsidR="00B47219" w:rsidRPr="00616F4F" w14:paraId="4CA0EB12" w14:textId="77777777" w:rsidTr="00B47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172AA4F6"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Age</w:t>
            </w:r>
          </w:p>
        </w:tc>
        <w:tc>
          <w:tcPr>
            <w:tcW w:w="1134" w:type="dxa"/>
            <w:tcBorders>
              <w:left w:val="single" w:sz="4" w:space="0" w:color="auto"/>
            </w:tcBorders>
            <w:noWrap/>
            <w:vAlign w:val="center"/>
            <w:hideMark/>
          </w:tcPr>
          <w:p w14:paraId="5A071DF3"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65.68</w:t>
            </w:r>
          </w:p>
        </w:tc>
        <w:tc>
          <w:tcPr>
            <w:tcW w:w="1275" w:type="dxa"/>
            <w:tcBorders>
              <w:right w:val="single" w:sz="4" w:space="0" w:color="auto"/>
            </w:tcBorders>
            <w:noWrap/>
            <w:vAlign w:val="center"/>
            <w:hideMark/>
          </w:tcPr>
          <w:p w14:paraId="5E14D009"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14.4</w:t>
            </w:r>
          </w:p>
        </w:tc>
        <w:tc>
          <w:tcPr>
            <w:tcW w:w="1276" w:type="dxa"/>
            <w:tcBorders>
              <w:left w:val="single" w:sz="4" w:space="0" w:color="auto"/>
            </w:tcBorders>
            <w:noWrap/>
            <w:vAlign w:val="center"/>
            <w:hideMark/>
          </w:tcPr>
          <w:p w14:paraId="5F7DE486"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64.03</w:t>
            </w:r>
          </w:p>
        </w:tc>
        <w:tc>
          <w:tcPr>
            <w:tcW w:w="1134" w:type="dxa"/>
            <w:noWrap/>
            <w:vAlign w:val="center"/>
            <w:hideMark/>
          </w:tcPr>
          <w:p w14:paraId="7BB4E129"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14.89</w:t>
            </w:r>
          </w:p>
        </w:tc>
        <w:tc>
          <w:tcPr>
            <w:tcW w:w="851" w:type="dxa"/>
            <w:tcBorders>
              <w:right w:val="single" w:sz="4" w:space="0" w:color="auto"/>
            </w:tcBorders>
            <w:noWrap/>
            <w:vAlign w:val="center"/>
            <w:hideMark/>
          </w:tcPr>
          <w:p w14:paraId="652EE518"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10.3</w:t>
            </w:r>
          </w:p>
        </w:tc>
        <w:tc>
          <w:tcPr>
            <w:tcW w:w="1275" w:type="dxa"/>
            <w:tcBorders>
              <w:left w:val="single" w:sz="4" w:space="0" w:color="auto"/>
            </w:tcBorders>
            <w:noWrap/>
            <w:vAlign w:val="center"/>
            <w:hideMark/>
          </w:tcPr>
          <w:p w14:paraId="5317A5A8"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65.08</w:t>
            </w:r>
          </w:p>
        </w:tc>
        <w:tc>
          <w:tcPr>
            <w:tcW w:w="1134" w:type="dxa"/>
            <w:noWrap/>
            <w:vAlign w:val="center"/>
            <w:hideMark/>
          </w:tcPr>
          <w:p w14:paraId="4D3AF300"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14.21</w:t>
            </w:r>
          </w:p>
        </w:tc>
        <w:tc>
          <w:tcPr>
            <w:tcW w:w="851" w:type="dxa"/>
            <w:tcBorders>
              <w:right w:val="single" w:sz="4" w:space="0" w:color="auto"/>
            </w:tcBorders>
            <w:noWrap/>
            <w:vAlign w:val="center"/>
            <w:hideMark/>
          </w:tcPr>
          <w:p w14:paraId="69892016"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3.5</w:t>
            </w:r>
          </w:p>
        </w:tc>
      </w:tr>
      <w:tr w:rsidR="00B47219" w:rsidRPr="00616F4F" w14:paraId="411E1629" w14:textId="77777777" w:rsidTr="00B47219">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5466EDC6"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Sex of patient, 0: male 1: female</w:t>
            </w:r>
          </w:p>
        </w:tc>
        <w:tc>
          <w:tcPr>
            <w:tcW w:w="1134" w:type="dxa"/>
            <w:tcBorders>
              <w:left w:val="single" w:sz="4" w:space="0" w:color="auto"/>
            </w:tcBorders>
            <w:noWrap/>
            <w:vAlign w:val="center"/>
            <w:hideMark/>
          </w:tcPr>
          <w:p w14:paraId="0BBCB5C6"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0.42</w:t>
            </w:r>
          </w:p>
        </w:tc>
        <w:tc>
          <w:tcPr>
            <w:tcW w:w="1275" w:type="dxa"/>
            <w:tcBorders>
              <w:right w:val="single" w:sz="4" w:space="0" w:color="auto"/>
            </w:tcBorders>
            <w:noWrap/>
            <w:vAlign w:val="center"/>
            <w:hideMark/>
          </w:tcPr>
          <w:p w14:paraId="61963589"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0.49</w:t>
            </w:r>
          </w:p>
        </w:tc>
        <w:tc>
          <w:tcPr>
            <w:tcW w:w="1276" w:type="dxa"/>
            <w:tcBorders>
              <w:left w:val="single" w:sz="4" w:space="0" w:color="auto"/>
            </w:tcBorders>
            <w:noWrap/>
            <w:vAlign w:val="center"/>
            <w:hideMark/>
          </w:tcPr>
          <w:p w14:paraId="5A90A2FB"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0.56</w:t>
            </w:r>
          </w:p>
        </w:tc>
        <w:tc>
          <w:tcPr>
            <w:tcW w:w="1134" w:type="dxa"/>
            <w:noWrap/>
            <w:vAlign w:val="center"/>
            <w:hideMark/>
          </w:tcPr>
          <w:p w14:paraId="79C96BB2"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right w:val="single" w:sz="4" w:space="0" w:color="auto"/>
            </w:tcBorders>
            <w:noWrap/>
            <w:vAlign w:val="center"/>
            <w:hideMark/>
          </w:tcPr>
          <w:p w14:paraId="3F3576D0"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-30.4</w:t>
            </w:r>
          </w:p>
        </w:tc>
        <w:tc>
          <w:tcPr>
            <w:tcW w:w="1275" w:type="dxa"/>
            <w:tcBorders>
              <w:left w:val="single" w:sz="4" w:space="0" w:color="auto"/>
            </w:tcBorders>
            <w:noWrap/>
            <w:vAlign w:val="center"/>
            <w:hideMark/>
          </w:tcPr>
          <w:p w14:paraId="011BD9D1"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0.41</w:t>
            </w:r>
          </w:p>
        </w:tc>
        <w:tc>
          <w:tcPr>
            <w:tcW w:w="1134" w:type="dxa"/>
            <w:noWrap/>
            <w:vAlign w:val="center"/>
            <w:hideMark/>
          </w:tcPr>
          <w:p w14:paraId="247FC8A5"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0.49</w:t>
            </w:r>
          </w:p>
        </w:tc>
        <w:tc>
          <w:tcPr>
            <w:tcW w:w="851" w:type="dxa"/>
            <w:tcBorders>
              <w:right w:val="single" w:sz="4" w:space="0" w:color="auto"/>
            </w:tcBorders>
            <w:noWrap/>
            <w:vAlign w:val="center"/>
            <w:hideMark/>
          </w:tcPr>
          <w:p w14:paraId="554131BE"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r>
      <w:tr w:rsidR="00B47219" w:rsidRPr="00616F4F" w14:paraId="4350CA98" w14:textId="77777777" w:rsidTr="00B47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3A44F3AB"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 xml:space="preserve">Weighted </w:t>
            </w:r>
            <w:proofErr w:type="spellStart"/>
            <w:r w:rsidRPr="00616F4F">
              <w:rPr>
                <w:rFonts w:eastAsia="Times New Roman" w:cs="Arial"/>
                <w:b w:val="0"/>
                <w:color w:val="000000"/>
                <w:sz w:val="18"/>
                <w:szCs w:val="18"/>
              </w:rPr>
              <w:t>Charlson</w:t>
            </w:r>
            <w:proofErr w:type="spellEnd"/>
            <w:r w:rsidRPr="00616F4F">
              <w:rPr>
                <w:rFonts w:eastAsia="Times New Roman" w:cs="Arial"/>
                <w:b w:val="0"/>
                <w:color w:val="000000"/>
                <w:sz w:val="18"/>
                <w:szCs w:val="18"/>
              </w:rPr>
              <w:t xml:space="preserve"> Index</w:t>
            </w:r>
          </w:p>
        </w:tc>
        <w:tc>
          <w:tcPr>
            <w:tcW w:w="1134" w:type="dxa"/>
            <w:tcBorders>
              <w:left w:val="single" w:sz="4" w:space="0" w:color="auto"/>
            </w:tcBorders>
            <w:noWrap/>
            <w:vAlign w:val="center"/>
            <w:hideMark/>
          </w:tcPr>
          <w:p w14:paraId="0244B99F"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1.83</w:t>
            </w:r>
          </w:p>
        </w:tc>
        <w:tc>
          <w:tcPr>
            <w:tcW w:w="1275" w:type="dxa"/>
            <w:tcBorders>
              <w:right w:val="single" w:sz="4" w:space="0" w:color="auto"/>
            </w:tcBorders>
            <w:noWrap/>
            <w:vAlign w:val="center"/>
            <w:hideMark/>
          </w:tcPr>
          <w:p w14:paraId="2191BBB7"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w:t>
            </w:r>
          </w:p>
        </w:tc>
        <w:tc>
          <w:tcPr>
            <w:tcW w:w="1276" w:type="dxa"/>
            <w:tcBorders>
              <w:left w:val="single" w:sz="4" w:space="0" w:color="auto"/>
            </w:tcBorders>
            <w:noWrap/>
            <w:vAlign w:val="center"/>
            <w:hideMark/>
          </w:tcPr>
          <w:p w14:paraId="6EDB22BD"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1.02</w:t>
            </w:r>
          </w:p>
        </w:tc>
        <w:tc>
          <w:tcPr>
            <w:tcW w:w="1134" w:type="dxa"/>
            <w:noWrap/>
            <w:vAlign w:val="center"/>
            <w:hideMark/>
          </w:tcPr>
          <w:p w14:paraId="67D09389"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1.54</w:t>
            </w:r>
          </w:p>
        </w:tc>
        <w:tc>
          <w:tcPr>
            <w:tcW w:w="851" w:type="dxa"/>
            <w:tcBorders>
              <w:right w:val="single" w:sz="4" w:space="0" w:color="auto"/>
            </w:tcBorders>
            <w:noWrap/>
            <w:vAlign w:val="center"/>
            <w:hideMark/>
          </w:tcPr>
          <w:p w14:paraId="47B8D7BE"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48.3</w:t>
            </w:r>
          </w:p>
        </w:tc>
        <w:tc>
          <w:tcPr>
            <w:tcW w:w="1275" w:type="dxa"/>
            <w:tcBorders>
              <w:left w:val="single" w:sz="4" w:space="0" w:color="auto"/>
            </w:tcBorders>
            <w:noWrap/>
            <w:vAlign w:val="center"/>
            <w:hideMark/>
          </w:tcPr>
          <w:p w14:paraId="19398039"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1.88</w:t>
            </w:r>
          </w:p>
        </w:tc>
        <w:tc>
          <w:tcPr>
            <w:tcW w:w="1134" w:type="dxa"/>
            <w:noWrap/>
            <w:vAlign w:val="center"/>
            <w:hideMark/>
          </w:tcPr>
          <w:p w14:paraId="4DF8C946"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2.04</w:t>
            </w:r>
          </w:p>
        </w:tc>
        <w:tc>
          <w:tcPr>
            <w:tcW w:w="851" w:type="dxa"/>
            <w:tcBorders>
              <w:right w:val="single" w:sz="4" w:space="0" w:color="auto"/>
            </w:tcBorders>
            <w:noWrap/>
            <w:vAlign w:val="center"/>
            <w:hideMark/>
          </w:tcPr>
          <w:p w14:paraId="5C4E4F9B"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-2.6</w:t>
            </w:r>
          </w:p>
        </w:tc>
      </w:tr>
      <w:tr w:rsidR="00B47219" w:rsidRPr="00616F4F" w14:paraId="0FC469E3" w14:textId="77777777" w:rsidTr="00B47219">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0D790888"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Index of multiple deprivation</w:t>
            </w:r>
          </w:p>
        </w:tc>
        <w:tc>
          <w:tcPr>
            <w:tcW w:w="1134" w:type="dxa"/>
            <w:tcBorders>
              <w:left w:val="single" w:sz="4" w:space="0" w:color="auto"/>
            </w:tcBorders>
            <w:noWrap/>
            <w:vAlign w:val="center"/>
            <w:hideMark/>
          </w:tcPr>
          <w:p w14:paraId="7748FEAD"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22.56</w:t>
            </w:r>
          </w:p>
        </w:tc>
        <w:tc>
          <w:tcPr>
            <w:tcW w:w="1275" w:type="dxa"/>
            <w:tcBorders>
              <w:right w:val="single" w:sz="4" w:space="0" w:color="auto"/>
            </w:tcBorders>
            <w:noWrap/>
            <w:vAlign w:val="center"/>
            <w:hideMark/>
          </w:tcPr>
          <w:p w14:paraId="465F38AB"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15.92</w:t>
            </w:r>
          </w:p>
        </w:tc>
        <w:tc>
          <w:tcPr>
            <w:tcW w:w="1276" w:type="dxa"/>
            <w:tcBorders>
              <w:left w:val="single" w:sz="4" w:space="0" w:color="auto"/>
            </w:tcBorders>
            <w:noWrap/>
            <w:vAlign w:val="center"/>
            <w:hideMark/>
          </w:tcPr>
          <w:p w14:paraId="4E0DE1D8"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20.94</w:t>
            </w:r>
          </w:p>
        </w:tc>
        <w:tc>
          <w:tcPr>
            <w:tcW w:w="1134" w:type="dxa"/>
            <w:noWrap/>
            <w:vAlign w:val="center"/>
            <w:hideMark/>
          </w:tcPr>
          <w:p w14:paraId="059E00A0"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15.02</w:t>
            </w:r>
          </w:p>
        </w:tc>
        <w:tc>
          <w:tcPr>
            <w:tcW w:w="851" w:type="dxa"/>
            <w:tcBorders>
              <w:right w:val="single" w:sz="4" w:space="0" w:color="auto"/>
            </w:tcBorders>
            <w:noWrap/>
            <w:vAlign w:val="center"/>
            <w:hideMark/>
          </w:tcPr>
          <w:p w14:paraId="198AB5D8"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10.2</w:t>
            </w:r>
          </w:p>
        </w:tc>
        <w:tc>
          <w:tcPr>
            <w:tcW w:w="1275" w:type="dxa"/>
            <w:tcBorders>
              <w:left w:val="single" w:sz="4" w:space="0" w:color="auto"/>
            </w:tcBorders>
            <w:noWrap/>
            <w:vAlign w:val="center"/>
            <w:hideMark/>
          </w:tcPr>
          <w:p w14:paraId="796EF063"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22.53</w:t>
            </w:r>
          </w:p>
        </w:tc>
        <w:tc>
          <w:tcPr>
            <w:tcW w:w="1134" w:type="dxa"/>
            <w:noWrap/>
            <w:vAlign w:val="center"/>
            <w:hideMark/>
          </w:tcPr>
          <w:p w14:paraId="30090CC3"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15.95</w:t>
            </w:r>
          </w:p>
        </w:tc>
        <w:tc>
          <w:tcPr>
            <w:tcW w:w="851" w:type="dxa"/>
            <w:tcBorders>
              <w:right w:val="single" w:sz="4" w:space="0" w:color="auto"/>
            </w:tcBorders>
            <w:noWrap/>
            <w:vAlign w:val="center"/>
            <w:hideMark/>
          </w:tcPr>
          <w:p w14:paraId="663B65FC"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w:t>
            </w:r>
          </w:p>
        </w:tc>
      </w:tr>
      <w:tr w:rsidR="00B47219" w:rsidRPr="00616F4F" w14:paraId="3DC08982" w14:textId="77777777" w:rsidTr="00B47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7D1EEE2C"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Number of diagnoses in patient record (excl. PSI codes)</w:t>
            </w:r>
          </w:p>
        </w:tc>
        <w:tc>
          <w:tcPr>
            <w:tcW w:w="1134" w:type="dxa"/>
            <w:tcBorders>
              <w:left w:val="single" w:sz="4" w:space="0" w:color="auto"/>
            </w:tcBorders>
            <w:noWrap/>
            <w:vAlign w:val="center"/>
            <w:hideMark/>
          </w:tcPr>
          <w:p w14:paraId="26A3FD7B"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7.31</w:t>
            </w:r>
          </w:p>
        </w:tc>
        <w:tc>
          <w:tcPr>
            <w:tcW w:w="1275" w:type="dxa"/>
            <w:tcBorders>
              <w:right w:val="single" w:sz="4" w:space="0" w:color="auto"/>
            </w:tcBorders>
            <w:noWrap/>
            <w:vAlign w:val="center"/>
            <w:hideMark/>
          </w:tcPr>
          <w:p w14:paraId="7C4015F2"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3.37</w:t>
            </w:r>
          </w:p>
        </w:tc>
        <w:tc>
          <w:tcPr>
            <w:tcW w:w="1276" w:type="dxa"/>
            <w:tcBorders>
              <w:left w:val="single" w:sz="4" w:space="0" w:color="auto"/>
            </w:tcBorders>
            <w:noWrap/>
            <w:vAlign w:val="center"/>
            <w:hideMark/>
          </w:tcPr>
          <w:p w14:paraId="4196E2F2"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3.96</w:t>
            </w:r>
          </w:p>
        </w:tc>
        <w:tc>
          <w:tcPr>
            <w:tcW w:w="1134" w:type="dxa"/>
            <w:noWrap/>
            <w:vAlign w:val="center"/>
            <w:hideMark/>
          </w:tcPr>
          <w:p w14:paraId="548D2578"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2.6</w:t>
            </w:r>
          </w:p>
        </w:tc>
        <w:tc>
          <w:tcPr>
            <w:tcW w:w="851" w:type="dxa"/>
            <w:tcBorders>
              <w:right w:val="single" w:sz="4" w:space="0" w:color="auto"/>
            </w:tcBorders>
            <w:noWrap/>
            <w:vAlign w:val="center"/>
            <w:hideMark/>
          </w:tcPr>
          <w:p w14:paraId="45E35857"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114.4</w:t>
            </w:r>
          </w:p>
        </w:tc>
        <w:tc>
          <w:tcPr>
            <w:tcW w:w="1275" w:type="dxa"/>
            <w:tcBorders>
              <w:left w:val="single" w:sz="4" w:space="0" w:color="auto"/>
            </w:tcBorders>
            <w:noWrap/>
            <w:vAlign w:val="center"/>
            <w:hideMark/>
          </w:tcPr>
          <w:p w14:paraId="3DC0E316"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7.27</w:t>
            </w:r>
          </w:p>
        </w:tc>
        <w:tc>
          <w:tcPr>
            <w:tcW w:w="1134" w:type="dxa"/>
            <w:noWrap/>
            <w:vAlign w:val="center"/>
            <w:hideMark/>
          </w:tcPr>
          <w:p w14:paraId="2BD4A8E5"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3.45</w:t>
            </w:r>
          </w:p>
        </w:tc>
        <w:tc>
          <w:tcPr>
            <w:tcW w:w="851" w:type="dxa"/>
            <w:tcBorders>
              <w:right w:val="single" w:sz="4" w:space="0" w:color="auto"/>
            </w:tcBorders>
            <w:noWrap/>
            <w:vAlign w:val="center"/>
            <w:hideMark/>
          </w:tcPr>
          <w:p w14:paraId="1860343B"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w:t>
            </w:r>
          </w:p>
        </w:tc>
      </w:tr>
      <w:tr w:rsidR="00B47219" w:rsidRPr="00616F4F" w14:paraId="1F646096" w14:textId="77777777" w:rsidTr="00B47219">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1E682468"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Medical and dental staff WTE</w:t>
            </w:r>
          </w:p>
        </w:tc>
        <w:tc>
          <w:tcPr>
            <w:tcW w:w="1134" w:type="dxa"/>
            <w:tcBorders>
              <w:left w:val="single" w:sz="4" w:space="0" w:color="auto"/>
            </w:tcBorders>
            <w:noWrap/>
            <w:vAlign w:val="center"/>
            <w:hideMark/>
          </w:tcPr>
          <w:p w14:paraId="1C497E01"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751.8</w:t>
            </w:r>
          </w:p>
        </w:tc>
        <w:tc>
          <w:tcPr>
            <w:tcW w:w="1275" w:type="dxa"/>
            <w:tcBorders>
              <w:right w:val="single" w:sz="4" w:space="0" w:color="auto"/>
            </w:tcBorders>
            <w:noWrap/>
            <w:vAlign w:val="center"/>
            <w:hideMark/>
          </w:tcPr>
          <w:p w14:paraId="4A73A622"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416.75</w:t>
            </w:r>
          </w:p>
        </w:tc>
        <w:tc>
          <w:tcPr>
            <w:tcW w:w="1276" w:type="dxa"/>
            <w:tcBorders>
              <w:left w:val="single" w:sz="4" w:space="0" w:color="auto"/>
            </w:tcBorders>
            <w:noWrap/>
            <w:vAlign w:val="center"/>
            <w:hideMark/>
          </w:tcPr>
          <w:p w14:paraId="51B941EA"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678.46</w:t>
            </w:r>
          </w:p>
        </w:tc>
        <w:tc>
          <w:tcPr>
            <w:tcW w:w="1134" w:type="dxa"/>
            <w:noWrap/>
            <w:vAlign w:val="center"/>
            <w:hideMark/>
          </w:tcPr>
          <w:p w14:paraId="4B22867F"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399.49</w:t>
            </w:r>
          </w:p>
        </w:tc>
        <w:tc>
          <w:tcPr>
            <w:tcW w:w="851" w:type="dxa"/>
            <w:tcBorders>
              <w:right w:val="single" w:sz="4" w:space="0" w:color="auto"/>
            </w:tcBorders>
            <w:noWrap/>
            <w:vAlign w:val="center"/>
            <w:hideMark/>
          </w:tcPr>
          <w:p w14:paraId="068EA3D6"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w:t>
            </w:r>
          </w:p>
        </w:tc>
        <w:tc>
          <w:tcPr>
            <w:tcW w:w="1275" w:type="dxa"/>
            <w:tcBorders>
              <w:left w:val="single" w:sz="4" w:space="0" w:color="auto"/>
            </w:tcBorders>
            <w:noWrap/>
            <w:vAlign w:val="center"/>
            <w:hideMark/>
          </w:tcPr>
          <w:p w14:paraId="292FF939"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755.89</w:t>
            </w:r>
          </w:p>
        </w:tc>
        <w:tc>
          <w:tcPr>
            <w:tcW w:w="1134" w:type="dxa"/>
            <w:noWrap/>
            <w:vAlign w:val="center"/>
            <w:hideMark/>
          </w:tcPr>
          <w:p w14:paraId="3078C731"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408.65</w:t>
            </w:r>
          </w:p>
        </w:tc>
        <w:tc>
          <w:tcPr>
            <w:tcW w:w="851" w:type="dxa"/>
            <w:tcBorders>
              <w:right w:val="single" w:sz="4" w:space="0" w:color="auto"/>
            </w:tcBorders>
            <w:noWrap/>
            <w:vAlign w:val="center"/>
            <w:hideMark/>
          </w:tcPr>
          <w:p w14:paraId="247E6138"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w:t>
            </w:r>
          </w:p>
        </w:tc>
      </w:tr>
      <w:tr w:rsidR="00B47219" w:rsidRPr="00616F4F" w14:paraId="05196116" w14:textId="77777777" w:rsidTr="00B47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68DA19A8"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Nursing, midwifery and health visiting staff WTE</w:t>
            </w:r>
          </w:p>
        </w:tc>
        <w:tc>
          <w:tcPr>
            <w:tcW w:w="1134" w:type="dxa"/>
            <w:tcBorders>
              <w:left w:val="single" w:sz="4" w:space="0" w:color="auto"/>
            </w:tcBorders>
            <w:noWrap/>
            <w:vAlign w:val="center"/>
            <w:hideMark/>
          </w:tcPr>
          <w:p w14:paraId="12172098"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1824.18</w:t>
            </w:r>
          </w:p>
        </w:tc>
        <w:tc>
          <w:tcPr>
            <w:tcW w:w="1275" w:type="dxa"/>
            <w:tcBorders>
              <w:right w:val="single" w:sz="4" w:space="0" w:color="auto"/>
            </w:tcBorders>
            <w:noWrap/>
            <w:vAlign w:val="center"/>
            <w:hideMark/>
          </w:tcPr>
          <w:p w14:paraId="1C4A238A"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901.35</w:t>
            </w:r>
          </w:p>
        </w:tc>
        <w:tc>
          <w:tcPr>
            <w:tcW w:w="1276" w:type="dxa"/>
            <w:tcBorders>
              <w:left w:val="single" w:sz="4" w:space="0" w:color="auto"/>
            </w:tcBorders>
            <w:noWrap/>
            <w:vAlign w:val="center"/>
            <w:hideMark/>
          </w:tcPr>
          <w:p w14:paraId="63422113"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1674.27</w:t>
            </w:r>
          </w:p>
        </w:tc>
        <w:tc>
          <w:tcPr>
            <w:tcW w:w="1134" w:type="dxa"/>
            <w:noWrap/>
            <w:vAlign w:val="center"/>
            <w:hideMark/>
          </w:tcPr>
          <w:p w14:paraId="7AFBBBBA"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873.78</w:t>
            </w:r>
          </w:p>
        </w:tc>
        <w:tc>
          <w:tcPr>
            <w:tcW w:w="851" w:type="dxa"/>
            <w:tcBorders>
              <w:right w:val="single" w:sz="4" w:space="0" w:color="auto"/>
            </w:tcBorders>
            <w:noWrap/>
            <w:vAlign w:val="center"/>
            <w:hideMark/>
          </w:tcPr>
          <w:p w14:paraId="265DC901"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17.5</w:t>
            </w:r>
          </w:p>
        </w:tc>
        <w:tc>
          <w:tcPr>
            <w:tcW w:w="1275" w:type="dxa"/>
            <w:tcBorders>
              <w:left w:val="single" w:sz="4" w:space="0" w:color="auto"/>
            </w:tcBorders>
            <w:noWrap/>
            <w:vAlign w:val="center"/>
            <w:hideMark/>
          </w:tcPr>
          <w:p w14:paraId="76F4FDB5"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1833.28</w:t>
            </w:r>
          </w:p>
        </w:tc>
        <w:tc>
          <w:tcPr>
            <w:tcW w:w="1134" w:type="dxa"/>
            <w:noWrap/>
            <w:vAlign w:val="center"/>
            <w:hideMark/>
          </w:tcPr>
          <w:p w14:paraId="2FB5FA7F"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886.95</w:t>
            </w:r>
          </w:p>
        </w:tc>
        <w:tc>
          <w:tcPr>
            <w:tcW w:w="851" w:type="dxa"/>
            <w:tcBorders>
              <w:right w:val="single" w:sz="4" w:space="0" w:color="auto"/>
            </w:tcBorders>
            <w:noWrap/>
            <w:vAlign w:val="center"/>
            <w:hideMark/>
          </w:tcPr>
          <w:p w14:paraId="7357A9C8"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w:t>
            </w:r>
          </w:p>
        </w:tc>
      </w:tr>
      <w:tr w:rsidR="00B47219" w:rsidRPr="00616F4F" w14:paraId="6ABB01A7" w14:textId="77777777" w:rsidTr="00B47219">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39AE2D2F"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Average number of available beds</w:t>
            </w:r>
          </w:p>
        </w:tc>
        <w:tc>
          <w:tcPr>
            <w:tcW w:w="1134" w:type="dxa"/>
            <w:tcBorders>
              <w:left w:val="single" w:sz="4" w:space="0" w:color="auto"/>
            </w:tcBorders>
            <w:noWrap/>
            <w:vAlign w:val="center"/>
            <w:hideMark/>
          </w:tcPr>
          <w:p w14:paraId="6A0833A5"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919.78</w:t>
            </w:r>
          </w:p>
        </w:tc>
        <w:tc>
          <w:tcPr>
            <w:tcW w:w="1275" w:type="dxa"/>
            <w:tcBorders>
              <w:right w:val="single" w:sz="4" w:space="0" w:color="auto"/>
            </w:tcBorders>
            <w:noWrap/>
            <w:vAlign w:val="center"/>
            <w:hideMark/>
          </w:tcPr>
          <w:p w14:paraId="57B23D65"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443.61</w:t>
            </w:r>
          </w:p>
        </w:tc>
        <w:tc>
          <w:tcPr>
            <w:tcW w:w="1276" w:type="dxa"/>
            <w:tcBorders>
              <w:left w:val="single" w:sz="4" w:space="0" w:color="auto"/>
            </w:tcBorders>
            <w:noWrap/>
            <w:vAlign w:val="center"/>
            <w:hideMark/>
          </w:tcPr>
          <w:p w14:paraId="6BEA4094"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873.08</w:t>
            </w:r>
          </w:p>
        </w:tc>
        <w:tc>
          <w:tcPr>
            <w:tcW w:w="1134" w:type="dxa"/>
            <w:noWrap/>
            <w:vAlign w:val="center"/>
            <w:hideMark/>
          </w:tcPr>
          <w:p w14:paraId="14BC5565"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430.98</w:t>
            </w:r>
          </w:p>
        </w:tc>
        <w:tc>
          <w:tcPr>
            <w:tcW w:w="851" w:type="dxa"/>
            <w:tcBorders>
              <w:right w:val="single" w:sz="4" w:space="0" w:color="auto"/>
            </w:tcBorders>
            <w:noWrap/>
            <w:vAlign w:val="center"/>
            <w:hideMark/>
          </w:tcPr>
          <w:p w14:paraId="1824BF43"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12.2</w:t>
            </w:r>
          </w:p>
        </w:tc>
        <w:tc>
          <w:tcPr>
            <w:tcW w:w="1275" w:type="dxa"/>
            <w:tcBorders>
              <w:left w:val="single" w:sz="4" w:space="0" w:color="auto"/>
            </w:tcBorders>
            <w:noWrap/>
            <w:vAlign w:val="center"/>
            <w:hideMark/>
          </w:tcPr>
          <w:p w14:paraId="54CA3053"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933.17</w:t>
            </w:r>
          </w:p>
        </w:tc>
        <w:tc>
          <w:tcPr>
            <w:tcW w:w="1134" w:type="dxa"/>
            <w:noWrap/>
            <w:vAlign w:val="center"/>
            <w:hideMark/>
          </w:tcPr>
          <w:p w14:paraId="6BACC8D3"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450.22</w:t>
            </w:r>
          </w:p>
        </w:tc>
        <w:tc>
          <w:tcPr>
            <w:tcW w:w="851" w:type="dxa"/>
            <w:tcBorders>
              <w:right w:val="single" w:sz="4" w:space="0" w:color="auto"/>
            </w:tcBorders>
            <w:noWrap/>
            <w:vAlign w:val="center"/>
            <w:hideMark/>
          </w:tcPr>
          <w:p w14:paraId="5EA13D56"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w:t>
            </w:r>
          </w:p>
        </w:tc>
      </w:tr>
      <w:tr w:rsidR="00B47219" w:rsidRPr="00616F4F" w14:paraId="04F98AB7" w14:textId="77777777" w:rsidTr="00B47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right w:val="single" w:sz="4" w:space="0" w:color="auto"/>
            </w:tcBorders>
            <w:noWrap/>
            <w:vAlign w:val="center"/>
            <w:hideMark/>
          </w:tcPr>
          <w:p w14:paraId="233B55B6"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Average bed occupancy rate</w:t>
            </w:r>
          </w:p>
        </w:tc>
        <w:tc>
          <w:tcPr>
            <w:tcW w:w="1134" w:type="dxa"/>
            <w:tcBorders>
              <w:left w:val="single" w:sz="4" w:space="0" w:color="auto"/>
            </w:tcBorders>
            <w:noWrap/>
            <w:vAlign w:val="center"/>
            <w:hideMark/>
          </w:tcPr>
          <w:p w14:paraId="3653EC21"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86.56</w:t>
            </w:r>
          </w:p>
        </w:tc>
        <w:tc>
          <w:tcPr>
            <w:tcW w:w="1275" w:type="dxa"/>
            <w:tcBorders>
              <w:right w:val="single" w:sz="4" w:space="0" w:color="auto"/>
            </w:tcBorders>
            <w:noWrap/>
            <w:vAlign w:val="center"/>
            <w:hideMark/>
          </w:tcPr>
          <w:p w14:paraId="4C966CA1"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5.75</w:t>
            </w:r>
          </w:p>
        </w:tc>
        <w:tc>
          <w:tcPr>
            <w:tcW w:w="1276" w:type="dxa"/>
            <w:tcBorders>
              <w:left w:val="single" w:sz="4" w:space="0" w:color="auto"/>
            </w:tcBorders>
            <w:noWrap/>
            <w:vAlign w:val="center"/>
            <w:hideMark/>
          </w:tcPr>
          <w:p w14:paraId="41D230A2"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86.24</w:t>
            </w:r>
          </w:p>
        </w:tc>
        <w:tc>
          <w:tcPr>
            <w:tcW w:w="1134" w:type="dxa"/>
            <w:noWrap/>
            <w:vAlign w:val="center"/>
            <w:hideMark/>
          </w:tcPr>
          <w:p w14:paraId="37A09004"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6.59</w:t>
            </w:r>
          </w:p>
        </w:tc>
        <w:tc>
          <w:tcPr>
            <w:tcW w:w="851" w:type="dxa"/>
            <w:tcBorders>
              <w:right w:val="single" w:sz="4" w:space="0" w:color="auto"/>
            </w:tcBorders>
            <w:noWrap/>
            <w:vAlign w:val="center"/>
            <w:hideMark/>
          </w:tcPr>
          <w:p w14:paraId="25C1C923"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5.4</w:t>
            </w:r>
          </w:p>
        </w:tc>
        <w:tc>
          <w:tcPr>
            <w:tcW w:w="1275" w:type="dxa"/>
            <w:tcBorders>
              <w:left w:val="single" w:sz="4" w:space="0" w:color="auto"/>
            </w:tcBorders>
            <w:noWrap/>
            <w:vAlign w:val="center"/>
            <w:hideMark/>
          </w:tcPr>
          <w:p w14:paraId="164E1BD5"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86.68</w:t>
            </w:r>
          </w:p>
        </w:tc>
        <w:tc>
          <w:tcPr>
            <w:tcW w:w="1134" w:type="dxa"/>
            <w:noWrap/>
            <w:vAlign w:val="center"/>
            <w:hideMark/>
          </w:tcPr>
          <w:p w14:paraId="4D8E853B"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6.46</w:t>
            </w:r>
          </w:p>
        </w:tc>
        <w:tc>
          <w:tcPr>
            <w:tcW w:w="851" w:type="dxa"/>
            <w:tcBorders>
              <w:right w:val="single" w:sz="4" w:space="0" w:color="auto"/>
            </w:tcBorders>
            <w:noWrap/>
            <w:vAlign w:val="center"/>
            <w:hideMark/>
          </w:tcPr>
          <w:p w14:paraId="6F9A13E1" w14:textId="77777777" w:rsidR="00B47219" w:rsidRPr="00616F4F" w:rsidRDefault="00B47219" w:rsidP="00B472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w:t>
            </w:r>
          </w:p>
        </w:tc>
      </w:tr>
      <w:tr w:rsidR="00B47219" w:rsidRPr="00616F4F" w14:paraId="4AB02B80" w14:textId="77777777" w:rsidTr="00B47219">
        <w:trPr>
          <w:trHeight w:val="30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right w:val="single" w:sz="4" w:space="0" w:color="auto"/>
            </w:tcBorders>
            <w:noWrap/>
            <w:vAlign w:val="center"/>
            <w:hideMark/>
          </w:tcPr>
          <w:p w14:paraId="744B3836" w14:textId="77777777" w:rsidR="00B47219" w:rsidRPr="00616F4F" w:rsidRDefault="00B47219" w:rsidP="00B47219">
            <w:pPr>
              <w:spacing w:after="0" w:line="240" w:lineRule="auto"/>
              <w:rPr>
                <w:rFonts w:eastAsia="Times New Roman" w:cs="Arial"/>
                <w:b w:val="0"/>
                <w:color w:val="000000"/>
                <w:sz w:val="18"/>
                <w:szCs w:val="18"/>
              </w:rPr>
            </w:pPr>
            <w:r w:rsidRPr="00616F4F">
              <w:rPr>
                <w:rFonts w:eastAsia="Times New Roman" w:cs="Arial"/>
                <w:b w:val="0"/>
                <w:color w:val="000000"/>
                <w:sz w:val="18"/>
                <w:szCs w:val="18"/>
              </w:rPr>
              <w:t>Teaching status, 0: non-teaching, 1: teaching</w:t>
            </w:r>
          </w:p>
        </w:tc>
        <w:tc>
          <w:tcPr>
            <w:tcW w:w="1134" w:type="dxa"/>
            <w:tcBorders>
              <w:left w:val="single" w:sz="4" w:space="0" w:color="auto"/>
              <w:bottom w:val="single" w:sz="4" w:space="0" w:color="auto"/>
            </w:tcBorders>
            <w:noWrap/>
            <w:vAlign w:val="center"/>
            <w:hideMark/>
          </w:tcPr>
          <w:p w14:paraId="04B8767E"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0.52</w:t>
            </w:r>
          </w:p>
        </w:tc>
        <w:tc>
          <w:tcPr>
            <w:tcW w:w="1275" w:type="dxa"/>
            <w:tcBorders>
              <w:bottom w:val="single" w:sz="4" w:space="0" w:color="auto"/>
              <w:right w:val="single" w:sz="4" w:space="0" w:color="auto"/>
            </w:tcBorders>
            <w:noWrap/>
            <w:vAlign w:val="center"/>
            <w:hideMark/>
          </w:tcPr>
          <w:p w14:paraId="33A67174"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1276" w:type="dxa"/>
            <w:tcBorders>
              <w:left w:val="single" w:sz="4" w:space="0" w:color="auto"/>
              <w:bottom w:val="single" w:sz="4" w:space="0" w:color="auto"/>
            </w:tcBorders>
            <w:noWrap/>
            <w:vAlign w:val="center"/>
            <w:hideMark/>
          </w:tcPr>
          <w:p w14:paraId="135B3307"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0.47</w:t>
            </w:r>
          </w:p>
        </w:tc>
        <w:tc>
          <w:tcPr>
            <w:tcW w:w="1134" w:type="dxa"/>
            <w:tcBorders>
              <w:bottom w:val="single" w:sz="4" w:space="0" w:color="auto"/>
            </w:tcBorders>
            <w:noWrap/>
            <w:vAlign w:val="center"/>
            <w:hideMark/>
          </w:tcPr>
          <w:p w14:paraId="2CC15CC0"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bottom w:val="single" w:sz="4" w:space="0" w:color="auto"/>
              <w:right w:val="single" w:sz="4" w:space="0" w:color="auto"/>
            </w:tcBorders>
            <w:noWrap/>
            <w:vAlign w:val="center"/>
            <w:hideMark/>
          </w:tcPr>
          <w:p w14:paraId="110FF6FD"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10.7</w:t>
            </w:r>
          </w:p>
        </w:tc>
        <w:tc>
          <w:tcPr>
            <w:tcW w:w="1275" w:type="dxa"/>
            <w:tcBorders>
              <w:left w:val="single" w:sz="4" w:space="0" w:color="auto"/>
              <w:bottom w:val="single" w:sz="4" w:space="0" w:color="auto"/>
            </w:tcBorders>
            <w:noWrap/>
            <w:vAlign w:val="center"/>
            <w:hideMark/>
          </w:tcPr>
          <w:p w14:paraId="2C82F518"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0.52</w:t>
            </w:r>
          </w:p>
        </w:tc>
        <w:tc>
          <w:tcPr>
            <w:tcW w:w="1134" w:type="dxa"/>
            <w:tcBorders>
              <w:bottom w:val="single" w:sz="4" w:space="0" w:color="auto"/>
            </w:tcBorders>
            <w:noWrap/>
            <w:vAlign w:val="center"/>
            <w:hideMark/>
          </w:tcPr>
          <w:p w14:paraId="37016180"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851" w:type="dxa"/>
            <w:tcBorders>
              <w:bottom w:val="single" w:sz="4" w:space="0" w:color="auto"/>
              <w:right w:val="single" w:sz="4" w:space="0" w:color="auto"/>
            </w:tcBorders>
            <w:noWrap/>
            <w:vAlign w:val="center"/>
            <w:hideMark/>
          </w:tcPr>
          <w:p w14:paraId="4B0645CA" w14:textId="77777777" w:rsidR="00B47219" w:rsidRPr="00616F4F" w:rsidRDefault="00B47219" w:rsidP="00B472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-0.1</w:t>
            </w:r>
          </w:p>
        </w:tc>
      </w:tr>
    </w:tbl>
    <w:p w14:paraId="6381B486" w14:textId="77777777" w:rsidR="00B47219" w:rsidRPr="00616F4F" w:rsidRDefault="00B47219" w:rsidP="00AE6CA1">
      <w:pPr>
        <w:rPr>
          <w:rFonts w:cs="Arial"/>
          <w:sz w:val="18"/>
          <w:szCs w:val="18"/>
        </w:rPr>
      </w:pPr>
    </w:p>
    <w:p w14:paraId="01F76F85" w14:textId="77777777" w:rsidR="00AE6CA1" w:rsidRPr="00616F4F" w:rsidRDefault="00AE6CA1" w:rsidP="00AE6CA1">
      <w:pPr>
        <w:rPr>
          <w:rFonts w:cs="Arial"/>
          <w:sz w:val="18"/>
          <w:szCs w:val="18"/>
        </w:rPr>
      </w:pPr>
    </w:p>
    <w:p w14:paraId="0C7DF7F1" w14:textId="77777777" w:rsidR="000757CA" w:rsidRPr="00616F4F" w:rsidRDefault="000757CA">
      <w:pPr>
        <w:spacing w:after="160" w:line="259" w:lineRule="auto"/>
        <w:rPr>
          <w:rFonts w:cs="Arial"/>
          <w:sz w:val="18"/>
          <w:szCs w:val="18"/>
        </w:rPr>
        <w:sectPr w:rsidR="000757CA" w:rsidRPr="00616F4F" w:rsidSect="00E23FFA">
          <w:pgSz w:w="16838" w:h="11906" w:orient="landscape"/>
          <w:pgMar w:top="1440" w:right="1440" w:bottom="1440" w:left="1440" w:header="708" w:footer="708" w:gutter="0"/>
          <w:cols w:space="708"/>
          <w:docGrid w:linePitch="360"/>
        </w:sectPr>
      </w:pPr>
    </w:p>
    <w:p w14:paraId="579D9BFD" w14:textId="760B27A0" w:rsidR="000757CA" w:rsidRDefault="000757CA" w:rsidP="000757CA">
      <w:pPr>
        <w:pStyle w:val="Heading2"/>
        <w:rPr>
          <w:rFonts w:asciiTheme="minorHAnsi" w:hAnsiTheme="minorHAnsi" w:cs="Arial"/>
          <w:sz w:val="22"/>
          <w:szCs w:val="22"/>
        </w:rPr>
      </w:pPr>
      <w:bookmarkStart w:id="20" w:name="_Toc420865617"/>
      <w:bookmarkStart w:id="21" w:name="_Toc457312918"/>
      <w:r w:rsidRPr="00616F4F">
        <w:rPr>
          <w:rFonts w:asciiTheme="minorHAnsi" w:hAnsiTheme="minorHAnsi" w:cs="Arial"/>
          <w:sz w:val="22"/>
          <w:szCs w:val="22"/>
        </w:rPr>
        <w:lastRenderedPageBreak/>
        <w:t xml:space="preserve">Table </w:t>
      </w:r>
      <w:r w:rsidR="00635E43" w:rsidRPr="00616F4F">
        <w:rPr>
          <w:rFonts w:asciiTheme="minorHAnsi" w:hAnsiTheme="minorHAnsi" w:cs="Arial"/>
          <w:sz w:val="22"/>
          <w:szCs w:val="22"/>
        </w:rPr>
        <w:t>S</w:t>
      </w:r>
      <w:r w:rsidR="00635E43">
        <w:rPr>
          <w:rFonts w:asciiTheme="minorHAnsi" w:hAnsiTheme="minorHAnsi" w:cs="Arial"/>
          <w:sz w:val="22"/>
          <w:szCs w:val="22"/>
        </w:rPr>
        <w:t>DC</w:t>
      </w:r>
      <w:r w:rsidR="0041235B" w:rsidRPr="00616F4F">
        <w:rPr>
          <w:rFonts w:asciiTheme="minorHAnsi" w:hAnsiTheme="minorHAnsi" w:cs="Arial"/>
          <w:sz w:val="22"/>
          <w:szCs w:val="22"/>
        </w:rPr>
        <w:t>4</w:t>
      </w:r>
      <w:r w:rsidRPr="00616F4F">
        <w:rPr>
          <w:rFonts w:asciiTheme="minorHAnsi" w:hAnsiTheme="minorHAnsi" w:cs="Arial"/>
          <w:sz w:val="22"/>
          <w:szCs w:val="22"/>
        </w:rPr>
        <w:t>: Propensity score estimation sample descriptive statistics</w:t>
      </w:r>
      <w:bookmarkEnd w:id="20"/>
      <w:bookmarkEnd w:id="21"/>
    </w:p>
    <w:p w14:paraId="024D999F" w14:textId="77777777" w:rsidR="009964C1" w:rsidRPr="009964C1" w:rsidRDefault="009964C1" w:rsidP="009964C1"/>
    <w:tbl>
      <w:tblPr>
        <w:tblStyle w:val="GridTable4-Accent13"/>
        <w:tblW w:w="8185" w:type="dxa"/>
        <w:tblLook w:val="04A0" w:firstRow="1" w:lastRow="0" w:firstColumn="1" w:lastColumn="0" w:noHBand="0" w:noVBand="1"/>
      </w:tblPr>
      <w:tblGrid>
        <w:gridCol w:w="2034"/>
        <w:gridCol w:w="833"/>
        <w:gridCol w:w="948"/>
        <w:gridCol w:w="948"/>
        <w:gridCol w:w="1352"/>
        <w:gridCol w:w="900"/>
        <w:gridCol w:w="1170"/>
      </w:tblGrid>
      <w:tr w:rsidR="004B36A7" w:rsidRPr="00A25BAE" w14:paraId="2FC8F0CC" w14:textId="77777777" w:rsidTr="009964C1">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1028B308" w14:textId="77777777" w:rsidR="004B36A7" w:rsidRPr="00A25BAE" w:rsidRDefault="004B36A7" w:rsidP="00352C26">
            <w:pPr>
              <w:spacing w:after="0" w:line="240" w:lineRule="auto"/>
              <w:jc w:val="center"/>
              <w:rPr>
                <w:rFonts w:ascii="Calibri" w:eastAsia="Times New Roman" w:hAnsi="Calibri" w:cs="Times New Roman"/>
                <w:color w:val="FFFFFF"/>
                <w:sz w:val="18"/>
                <w:szCs w:val="18"/>
                <w:lang w:val="en-US" w:eastAsia="zh-CN"/>
              </w:rPr>
            </w:pPr>
            <w:r w:rsidRPr="00A25BAE">
              <w:rPr>
                <w:rFonts w:ascii="Calibri" w:eastAsia="Times New Roman" w:hAnsi="Calibri" w:cs="Times New Roman"/>
                <w:color w:val="FFFFFF"/>
                <w:sz w:val="18"/>
                <w:szCs w:val="18"/>
                <w:lang w:eastAsia="zh-CN"/>
              </w:rPr>
              <w:t>Patient safety incident</w:t>
            </w:r>
          </w:p>
        </w:tc>
        <w:tc>
          <w:tcPr>
            <w:tcW w:w="833" w:type="dxa"/>
            <w:noWrap/>
            <w:hideMark/>
          </w:tcPr>
          <w:p w14:paraId="0468E5AB" w14:textId="77777777" w:rsidR="004B36A7" w:rsidRPr="00A25BAE" w:rsidRDefault="004B36A7" w:rsidP="00352C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18"/>
                <w:szCs w:val="18"/>
                <w:lang w:val="en-US" w:eastAsia="zh-CN"/>
              </w:rPr>
            </w:pPr>
            <w:r w:rsidRPr="00A25BAE">
              <w:rPr>
                <w:rFonts w:ascii="Calibri" w:eastAsia="Times New Roman" w:hAnsi="Calibri" w:cs="Times New Roman"/>
                <w:color w:val="FFFFFF"/>
                <w:sz w:val="18"/>
                <w:szCs w:val="18"/>
                <w:lang w:eastAsia="zh-CN"/>
              </w:rPr>
              <w:t>Year</w:t>
            </w:r>
          </w:p>
        </w:tc>
        <w:tc>
          <w:tcPr>
            <w:tcW w:w="948" w:type="dxa"/>
            <w:noWrap/>
            <w:hideMark/>
          </w:tcPr>
          <w:p w14:paraId="473F8798" w14:textId="77777777" w:rsidR="004B36A7" w:rsidRPr="00A25BAE" w:rsidRDefault="004B36A7" w:rsidP="00352C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18"/>
                <w:szCs w:val="18"/>
                <w:lang w:val="en-US" w:eastAsia="zh-CN"/>
              </w:rPr>
            </w:pPr>
            <w:r w:rsidRPr="00A25BAE">
              <w:rPr>
                <w:rFonts w:ascii="Calibri" w:eastAsia="Times New Roman" w:hAnsi="Calibri" w:cs="Times New Roman"/>
                <w:color w:val="FFFFFF"/>
                <w:sz w:val="18"/>
                <w:szCs w:val="18"/>
                <w:lang w:eastAsia="zh-CN"/>
              </w:rPr>
              <w:t xml:space="preserve">PS patients </w:t>
            </w:r>
          </w:p>
        </w:tc>
        <w:tc>
          <w:tcPr>
            <w:tcW w:w="948" w:type="dxa"/>
            <w:noWrap/>
            <w:hideMark/>
          </w:tcPr>
          <w:p w14:paraId="6B41AE14" w14:textId="77777777" w:rsidR="004B36A7" w:rsidRPr="00A25BAE" w:rsidRDefault="004B36A7" w:rsidP="00352C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18"/>
                <w:szCs w:val="18"/>
                <w:lang w:val="en-US" w:eastAsia="zh-CN"/>
              </w:rPr>
            </w:pPr>
            <w:r w:rsidRPr="00A25BAE">
              <w:rPr>
                <w:rFonts w:ascii="Calibri" w:eastAsia="Times New Roman" w:hAnsi="Calibri" w:cs="Times New Roman"/>
                <w:color w:val="FFFFFF"/>
                <w:sz w:val="18"/>
                <w:szCs w:val="18"/>
                <w:lang w:eastAsia="zh-CN"/>
              </w:rPr>
              <w:t>Control patients</w:t>
            </w:r>
          </w:p>
        </w:tc>
        <w:tc>
          <w:tcPr>
            <w:tcW w:w="1352" w:type="dxa"/>
            <w:noWrap/>
            <w:hideMark/>
          </w:tcPr>
          <w:p w14:paraId="35B27AB8" w14:textId="77777777" w:rsidR="004B36A7" w:rsidRDefault="004B36A7" w:rsidP="003B1D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18"/>
                <w:szCs w:val="18"/>
                <w:lang w:val="en-US" w:eastAsia="zh-CN"/>
              </w:rPr>
            </w:pPr>
            <w:r w:rsidRPr="00A25BAE">
              <w:rPr>
                <w:rFonts w:ascii="Calibri" w:eastAsia="Times New Roman" w:hAnsi="Calibri" w:cs="Times New Roman"/>
                <w:color w:val="FFFFFF"/>
                <w:sz w:val="18"/>
                <w:szCs w:val="18"/>
                <w:lang w:val="en-US" w:eastAsia="zh-CN"/>
              </w:rPr>
              <w:t xml:space="preserve">Matched </w:t>
            </w:r>
          </w:p>
          <w:p w14:paraId="51C029A1" w14:textId="33574302" w:rsidR="004B36A7" w:rsidRPr="00A25BAE" w:rsidRDefault="004B36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18"/>
                <w:szCs w:val="18"/>
                <w:lang w:val="en-US" w:eastAsia="zh-CN"/>
              </w:rPr>
            </w:pPr>
            <w:r>
              <w:rPr>
                <w:rFonts w:ascii="Calibri" w:eastAsia="Times New Roman" w:hAnsi="Calibri" w:cs="Times New Roman"/>
                <w:color w:val="FFFFFF"/>
                <w:sz w:val="18"/>
                <w:szCs w:val="18"/>
                <w:lang w:val="en-US" w:eastAsia="zh-CN"/>
              </w:rPr>
              <w:t>PS pat</w:t>
            </w:r>
            <w:r w:rsidRPr="00A25BAE">
              <w:rPr>
                <w:rFonts w:ascii="Calibri" w:eastAsia="Times New Roman" w:hAnsi="Calibri" w:cs="Times New Roman"/>
                <w:color w:val="FFFFFF"/>
                <w:sz w:val="18"/>
                <w:szCs w:val="18"/>
                <w:lang w:val="en-US" w:eastAsia="zh-CN"/>
              </w:rPr>
              <w:t>s</w:t>
            </w:r>
            <w:r>
              <w:rPr>
                <w:rFonts w:ascii="Calibri" w:eastAsia="Times New Roman" w:hAnsi="Calibri" w:cs="Times New Roman"/>
                <w:color w:val="FFFFFF"/>
                <w:sz w:val="18"/>
                <w:szCs w:val="18"/>
                <w:lang w:val="en-US" w:eastAsia="zh-CN"/>
              </w:rPr>
              <w:t xml:space="preserve"> (%)</w:t>
            </w:r>
          </w:p>
        </w:tc>
        <w:tc>
          <w:tcPr>
            <w:tcW w:w="900" w:type="dxa"/>
            <w:hideMark/>
          </w:tcPr>
          <w:p w14:paraId="5409E2C6" w14:textId="1A6685D8" w:rsidR="004B36A7" w:rsidRPr="00A25BAE" w:rsidRDefault="004B36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18"/>
                <w:szCs w:val="18"/>
                <w:lang w:val="en-US" w:eastAsia="zh-CN"/>
              </w:rPr>
            </w:pPr>
            <w:r w:rsidRPr="00A25BAE">
              <w:rPr>
                <w:rFonts w:ascii="Calibri" w:eastAsia="Times New Roman" w:hAnsi="Calibri" w:cs="Times New Roman"/>
                <w:color w:val="FFFFFF"/>
                <w:sz w:val="18"/>
                <w:szCs w:val="18"/>
                <w:lang w:eastAsia="zh-CN"/>
              </w:rPr>
              <w:t>Matched control</w:t>
            </w:r>
            <w:r>
              <w:rPr>
                <w:rFonts w:ascii="Calibri" w:eastAsia="Times New Roman" w:hAnsi="Calibri" w:cs="Times New Roman"/>
                <w:color w:val="FFFFFF"/>
                <w:sz w:val="18"/>
                <w:szCs w:val="18"/>
                <w:lang w:eastAsia="zh-CN"/>
              </w:rPr>
              <w:t xml:space="preserve">s </w:t>
            </w:r>
          </w:p>
        </w:tc>
        <w:tc>
          <w:tcPr>
            <w:tcW w:w="1170" w:type="dxa"/>
            <w:noWrap/>
            <w:hideMark/>
          </w:tcPr>
          <w:p w14:paraId="1A4DA53E" w14:textId="46CAF0A0" w:rsidR="004B36A7" w:rsidRPr="00A25BAE" w:rsidRDefault="004B36A7" w:rsidP="00352C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18"/>
                <w:szCs w:val="18"/>
                <w:lang w:val="en-US" w:eastAsia="zh-CN"/>
              </w:rPr>
            </w:pPr>
            <w:r>
              <w:rPr>
                <w:rFonts w:ascii="Calibri" w:eastAsia="Times New Roman" w:hAnsi="Calibri" w:cs="Times New Roman"/>
                <w:color w:val="FFFFFF"/>
                <w:sz w:val="18"/>
                <w:szCs w:val="18"/>
                <w:lang w:eastAsia="zh-CN"/>
              </w:rPr>
              <w:t>PS pat</w:t>
            </w:r>
            <w:r w:rsidRPr="00A25BAE">
              <w:rPr>
                <w:rFonts w:ascii="Calibri" w:eastAsia="Times New Roman" w:hAnsi="Calibri" w:cs="Times New Roman"/>
                <w:color w:val="FFFFFF"/>
                <w:sz w:val="18"/>
                <w:szCs w:val="18"/>
                <w:lang w:eastAsia="zh-CN"/>
              </w:rPr>
              <w:t>s off common support</w:t>
            </w:r>
          </w:p>
        </w:tc>
      </w:tr>
      <w:tr w:rsidR="004B36A7" w:rsidRPr="00A25BAE" w14:paraId="4153725B"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tcPr>
          <w:p w14:paraId="4ACAA191" w14:textId="5E9B54F7" w:rsidR="004B36A7" w:rsidRPr="00A25BAE" w:rsidRDefault="004B36A7" w:rsidP="00352C26">
            <w:pPr>
              <w:spacing w:after="0" w:line="240" w:lineRule="auto"/>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Deaths in low- HRGs</w:t>
            </w:r>
          </w:p>
        </w:tc>
        <w:tc>
          <w:tcPr>
            <w:tcW w:w="833" w:type="dxa"/>
            <w:noWrap/>
            <w:hideMark/>
          </w:tcPr>
          <w:p w14:paraId="5AA52140"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2005/06</w:t>
            </w:r>
          </w:p>
        </w:tc>
        <w:tc>
          <w:tcPr>
            <w:tcW w:w="948" w:type="dxa"/>
            <w:noWrap/>
            <w:hideMark/>
          </w:tcPr>
          <w:p w14:paraId="0BF96B78" w14:textId="3E4D9E68"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eastAsia="zh-CN"/>
              </w:rPr>
              <w:t>1</w:t>
            </w:r>
            <w:r>
              <w:rPr>
                <w:rFonts w:ascii="Calibri" w:eastAsia="Times New Roman" w:hAnsi="Calibri" w:cs="Times New Roman"/>
                <w:color w:val="000000"/>
                <w:sz w:val="18"/>
                <w:szCs w:val="18"/>
                <w:lang w:eastAsia="zh-CN"/>
              </w:rPr>
              <w:t>,</w:t>
            </w:r>
            <w:r w:rsidRPr="00A25BAE">
              <w:rPr>
                <w:rFonts w:ascii="Calibri" w:eastAsia="Times New Roman" w:hAnsi="Calibri" w:cs="Times New Roman"/>
                <w:color w:val="000000"/>
                <w:sz w:val="18"/>
                <w:szCs w:val="18"/>
                <w:lang w:eastAsia="zh-CN"/>
              </w:rPr>
              <w:t>912</w:t>
            </w:r>
          </w:p>
        </w:tc>
        <w:tc>
          <w:tcPr>
            <w:tcW w:w="948" w:type="dxa"/>
            <w:noWrap/>
            <w:hideMark/>
          </w:tcPr>
          <w:p w14:paraId="7A9C9E8D" w14:textId="694C9E42"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4</w:t>
            </w:r>
            <w:r w:rsidR="006078EF">
              <w:rPr>
                <w:rFonts w:ascii="Calibri" w:eastAsia="Times New Roman" w:hAnsi="Calibri" w:cs="Times New Roman"/>
                <w:color w:val="000000"/>
                <w:sz w:val="18"/>
                <w:szCs w:val="18"/>
                <w:lang w:val="en-US" w:eastAsia="zh-CN"/>
              </w:rPr>
              <w:t>,</w:t>
            </w:r>
            <w:r w:rsidRPr="00A25BAE">
              <w:rPr>
                <w:rFonts w:ascii="Calibri" w:eastAsia="Times New Roman" w:hAnsi="Calibri" w:cs="Times New Roman"/>
                <w:color w:val="000000"/>
                <w:sz w:val="18"/>
                <w:szCs w:val="18"/>
                <w:lang w:val="en-US" w:eastAsia="zh-CN"/>
              </w:rPr>
              <w:t>037</w:t>
            </w:r>
            <w:r w:rsidR="006078EF">
              <w:rPr>
                <w:rFonts w:ascii="Calibri" w:eastAsia="Times New Roman" w:hAnsi="Calibri" w:cs="Times New Roman"/>
                <w:color w:val="000000"/>
                <w:sz w:val="18"/>
                <w:szCs w:val="18"/>
                <w:lang w:val="en-US" w:eastAsia="zh-CN"/>
              </w:rPr>
              <w:t>,</w:t>
            </w:r>
            <w:r w:rsidRPr="00A25BAE">
              <w:rPr>
                <w:rFonts w:ascii="Calibri" w:eastAsia="Times New Roman" w:hAnsi="Calibri" w:cs="Times New Roman"/>
                <w:color w:val="000000"/>
                <w:sz w:val="18"/>
                <w:szCs w:val="18"/>
                <w:lang w:val="en-US" w:eastAsia="zh-CN"/>
              </w:rPr>
              <w:t>731</w:t>
            </w:r>
          </w:p>
        </w:tc>
        <w:tc>
          <w:tcPr>
            <w:tcW w:w="1352" w:type="dxa"/>
            <w:noWrap/>
            <w:hideMark/>
          </w:tcPr>
          <w:p w14:paraId="657B7DC2" w14:textId="2E5D5462"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1,735</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91%</w:t>
            </w:r>
            <w:r>
              <w:rPr>
                <w:rFonts w:ascii="Calibri" w:eastAsia="Times New Roman" w:hAnsi="Calibri" w:cs="Times New Roman"/>
                <w:color w:val="000000"/>
                <w:sz w:val="18"/>
                <w:szCs w:val="18"/>
                <w:lang w:val="en-US" w:eastAsia="zh-CN"/>
              </w:rPr>
              <w:t>)</w:t>
            </w:r>
          </w:p>
        </w:tc>
        <w:tc>
          <w:tcPr>
            <w:tcW w:w="900" w:type="dxa"/>
            <w:noWrap/>
            <w:hideMark/>
          </w:tcPr>
          <w:p w14:paraId="4D94631A" w14:textId="27B7BC29"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1,923</w:t>
            </w:r>
          </w:p>
        </w:tc>
        <w:tc>
          <w:tcPr>
            <w:tcW w:w="1170" w:type="dxa"/>
            <w:noWrap/>
            <w:hideMark/>
          </w:tcPr>
          <w:p w14:paraId="50AABE4D"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130</w:t>
            </w:r>
          </w:p>
        </w:tc>
      </w:tr>
      <w:tr w:rsidR="004B36A7" w:rsidRPr="00A25BAE" w14:paraId="37762531"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tcPr>
          <w:p w14:paraId="3956D37E" w14:textId="3737A488" w:rsidR="004B36A7" w:rsidRPr="00A25BAE" w:rsidRDefault="00044AAA" w:rsidP="00352C26">
            <w:pPr>
              <w:spacing w:after="0" w:line="240" w:lineRule="auto"/>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M</w:t>
            </w:r>
            <w:r w:rsidR="004B36A7" w:rsidRPr="00A25BAE">
              <w:rPr>
                <w:rFonts w:ascii="Calibri" w:eastAsia="Times New Roman" w:hAnsi="Calibri" w:cs="Times New Roman"/>
                <w:color w:val="000000"/>
                <w:sz w:val="18"/>
                <w:szCs w:val="18"/>
                <w:lang w:val="en-US" w:eastAsia="zh-CN"/>
              </w:rPr>
              <w:t>ortality</w:t>
            </w:r>
          </w:p>
        </w:tc>
        <w:tc>
          <w:tcPr>
            <w:tcW w:w="833" w:type="dxa"/>
            <w:noWrap/>
            <w:hideMark/>
          </w:tcPr>
          <w:p w14:paraId="52FC58B9"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2006/07</w:t>
            </w:r>
          </w:p>
        </w:tc>
        <w:tc>
          <w:tcPr>
            <w:tcW w:w="948" w:type="dxa"/>
            <w:noWrap/>
            <w:hideMark/>
          </w:tcPr>
          <w:p w14:paraId="35E483C7"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1,886</w:t>
            </w:r>
          </w:p>
        </w:tc>
        <w:tc>
          <w:tcPr>
            <w:tcW w:w="948" w:type="dxa"/>
            <w:noWrap/>
            <w:hideMark/>
          </w:tcPr>
          <w:p w14:paraId="1AA04994"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5,097,106</w:t>
            </w:r>
          </w:p>
        </w:tc>
        <w:tc>
          <w:tcPr>
            <w:tcW w:w="1352" w:type="dxa"/>
            <w:noWrap/>
            <w:hideMark/>
          </w:tcPr>
          <w:p w14:paraId="123375E8" w14:textId="0EAD7EF1"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1,771</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94%</w:t>
            </w:r>
            <w:r>
              <w:rPr>
                <w:rFonts w:ascii="Calibri" w:eastAsia="Times New Roman" w:hAnsi="Calibri" w:cs="Times New Roman"/>
                <w:color w:val="000000"/>
                <w:sz w:val="18"/>
                <w:szCs w:val="18"/>
                <w:lang w:val="en-US" w:eastAsia="zh-CN"/>
              </w:rPr>
              <w:t>)</w:t>
            </w:r>
          </w:p>
        </w:tc>
        <w:tc>
          <w:tcPr>
            <w:tcW w:w="900" w:type="dxa"/>
            <w:noWrap/>
            <w:hideMark/>
          </w:tcPr>
          <w:p w14:paraId="5B3EEF2A" w14:textId="59BB3806"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1,979</w:t>
            </w:r>
          </w:p>
        </w:tc>
        <w:tc>
          <w:tcPr>
            <w:tcW w:w="1170" w:type="dxa"/>
            <w:noWrap/>
            <w:hideMark/>
          </w:tcPr>
          <w:p w14:paraId="186A0CB4"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107</w:t>
            </w:r>
          </w:p>
        </w:tc>
      </w:tr>
      <w:tr w:rsidR="004B36A7" w:rsidRPr="00A25BAE" w14:paraId="571AF79F"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4A7D8D6F"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4DA7C3D9"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2007/08</w:t>
            </w:r>
          </w:p>
        </w:tc>
        <w:tc>
          <w:tcPr>
            <w:tcW w:w="948" w:type="dxa"/>
            <w:noWrap/>
            <w:hideMark/>
          </w:tcPr>
          <w:p w14:paraId="38114495"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1,756</w:t>
            </w:r>
          </w:p>
        </w:tc>
        <w:tc>
          <w:tcPr>
            <w:tcW w:w="948" w:type="dxa"/>
            <w:noWrap/>
            <w:hideMark/>
          </w:tcPr>
          <w:p w14:paraId="0980DF6D"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5,421,466</w:t>
            </w:r>
          </w:p>
        </w:tc>
        <w:tc>
          <w:tcPr>
            <w:tcW w:w="1352" w:type="dxa"/>
            <w:noWrap/>
            <w:hideMark/>
          </w:tcPr>
          <w:p w14:paraId="3007FD2A" w14:textId="299432AF"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1,632</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93%</w:t>
            </w:r>
            <w:r>
              <w:rPr>
                <w:rFonts w:ascii="Calibri" w:eastAsia="Times New Roman" w:hAnsi="Calibri" w:cs="Times New Roman"/>
                <w:color w:val="000000"/>
                <w:sz w:val="18"/>
                <w:szCs w:val="18"/>
                <w:lang w:val="en-US" w:eastAsia="zh-CN"/>
              </w:rPr>
              <w:t>)</w:t>
            </w:r>
          </w:p>
        </w:tc>
        <w:tc>
          <w:tcPr>
            <w:tcW w:w="900" w:type="dxa"/>
            <w:noWrap/>
            <w:hideMark/>
          </w:tcPr>
          <w:p w14:paraId="3D88004F" w14:textId="6DB54B8E"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1,887</w:t>
            </w:r>
          </w:p>
        </w:tc>
        <w:tc>
          <w:tcPr>
            <w:tcW w:w="1170" w:type="dxa"/>
            <w:noWrap/>
            <w:hideMark/>
          </w:tcPr>
          <w:p w14:paraId="2580BE8D"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95</w:t>
            </w:r>
          </w:p>
        </w:tc>
      </w:tr>
      <w:tr w:rsidR="004B36A7" w:rsidRPr="00A25BAE" w14:paraId="5EC20FA7"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409A64C8"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7E191436"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2008/09</w:t>
            </w:r>
          </w:p>
        </w:tc>
        <w:tc>
          <w:tcPr>
            <w:tcW w:w="948" w:type="dxa"/>
            <w:noWrap/>
            <w:hideMark/>
          </w:tcPr>
          <w:p w14:paraId="2329475E"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1,609</w:t>
            </w:r>
          </w:p>
        </w:tc>
        <w:tc>
          <w:tcPr>
            <w:tcW w:w="948" w:type="dxa"/>
            <w:noWrap/>
            <w:hideMark/>
          </w:tcPr>
          <w:p w14:paraId="01A39C6C"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5,703,344</w:t>
            </w:r>
          </w:p>
        </w:tc>
        <w:tc>
          <w:tcPr>
            <w:tcW w:w="1352" w:type="dxa"/>
            <w:noWrap/>
            <w:hideMark/>
          </w:tcPr>
          <w:p w14:paraId="7CB48258" w14:textId="77487698"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1,540</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96%</w:t>
            </w:r>
            <w:r>
              <w:rPr>
                <w:rFonts w:ascii="Calibri" w:eastAsia="Times New Roman" w:hAnsi="Calibri" w:cs="Times New Roman"/>
                <w:color w:val="000000"/>
                <w:sz w:val="18"/>
                <w:szCs w:val="18"/>
                <w:lang w:val="en-US" w:eastAsia="zh-CN"/>
              </w:rPr>
              <w:t>)</w:t>
            </w:r>
          </w:p>
        </w:tc>
        <w:tc>
          <w:tcPr>
            <w:tcW w:w="900" w:type="dxa"/>
            <w:noWrap/>
            <w:hideMark/>
          </w:tcPr>
          <w:p w14:paraId="33F96321" w14:textId="7C365844"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1,665</w:t>
            </w:r>
          </w:p>
        </w:tc>
        <w:tc>
          <w:tcPr>
            <w:tcW w:w="1170" w:type="dxa"/>
            <w:noWrap/>
            <w:hideMark/>
          </w:tcPr>
          <w:p w14:paraId="015CC36E"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54</w:t>
            </w:r>
          </w:p>
        </w:tc>
      </w:tr>
      <w:tr w:rsidR="004B36A7" w:rsidRPr="00A25BAE" w14:paraId="4C7891A0"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55DF5874"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745136D3"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2009/10</w:t>
            </w:r>
          </w:p>
        </w:tc>
        <w:tc>
          <w:tcPr>
            <w:tcW w:w="948" w:type="dxa"/>
            <w:noWrap/>
            <w:hideMark/>
          </w:tcPr>
          <w:p w14:paraId="6AB130F0"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1,520</w:t>
            </w:r>
          </w:p>
        </w:tc>
        <w:tc>
          <w:tcPr>
            <w:tcW w:w="948" w:type="dxa"/>
            <w:noWrap/>
            <w:hideMark/>
          </w:tcPr>
          <w:p w14:paraId="2AAF63CB"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5,874,834</w:t>
            </w:r>
          </w:p>
        </w:tc>
        <w:tc>
          <w:tcPr>
            <w:tcW w:w="1352" w:type="dxa"/>
            <w:noWrap/>
            <w:hideMark/>
          </w:tcPr>
          <w:p w14:paraId="25943F36" w14:textId="2E31CD06"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1,444</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95%</w:t>
            </w:r>
            <w:r>
              <w:rPr>
                <w:rFonts w:ascii="Calibri" w:eastAsia="Times New Roman" w:hAnsi="Calibri" w:cs="Times New Roman"/>
                <w:color w:val="000000"/>
                <w:sz w:val="18"/>
                <w:szCs w:val="18"/>
                <w:lang w:val="en-US" w:eastAsia="zh-CN"/>
              </w:rPr>
              <w:t>)</w:t>
            </w:r>
          </w:p>
        </w:tc>
        <w:tc>
          <w:tcPr>
            <w:tcW w:w="900" w:type="dxa"/>
            <w:noWrap/>
            <w:hideMark/>
          </w:tcPr>
          <w:p w14:paraId="4349B3A3" w14:textId="31C3B994"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1,569</w:t>
            </w:r>
          </w:p>
        </w:tc>
        <w:tc>
          <w:tcPr>
            <w:tcW w:w="1170" w:type="dxa"/>
            <w:noWrap/>
            <w:hideMark/>
          </w:tcPr>
          <w:p w14:paraId="7D7D56D1"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72</w:t>
            </w:r>
          </w:p>
        </w:tc>
      </w:tr>
      <w:tr w:rsidR="004B36A7" w:rsidRPr="00A25BAE" w14:paraId="0C43E210"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48779126" w14:textId="77777777" w:rsidR="004B36A7" w:rsidRPr="00A25BAE" w:rsidRDefault="004B36A7" w:rsidP="00352C26">
            <w:pPr>
              <w:spacing w:after="0" w:line="240" w:lineRule="auto"/>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Pressure ulcers</w:t>
            </w:r>
          </w:p>
        </w:tc>
        <w:tc>
          <w:tcPr>
            <w:tcW w:w="833" w:type="dxa"/>
            <w:noWrap/>
            <w:hideMark/>
          </w:tcPr>
          <w:p w14:paraId="2E083978"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2005/06</w:t>
            </w:r>
          </w:p>
        </w:tc>
        <w:tc>
          <w:tcPr>
            <w:tcW w:w="948" w:type="dxa"/>
            <w:noWrap/>
            <w:hideMark/>
          </w:tcPr>
          <w:p w14:paraId="0C918232"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13,449</w:t>
            </w:r>
          </w:p>
        </w:tc>
        <w:tc>
          <w:tcPr>
            <w:tcW w:w="948" w:type="dxa"/>
            <w:noWrap/>
            <w:hideMark/>
          </w:tcPr>
          <w:p w14:paraId="453C6439"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1,602,338</w:t>
            </w:r>
          </w:p>
        </w:tc>
        <w:tc>
          <w:tcPr>
            <w:tcW w:w="1352" w:type="dxa"/>
            <w:noWrap/>
            <w:hideMark/>
          </w:tcPr>
          <w:p w14:paraId="38DDB10E" w14:textId="24BDE9F3"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13,377</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99%</w:t>
            </w:r>
            <w:r>
              <w:rPr>
                <w:rFonts w:ascii="Calibri" w:eastAsia="Times New Roman" w:hAnsi="Calibri" w:cs="Times New Roman"/>
                <w:color w:val="000000"/>
                <w:sz w:val="18"/>
                <w:szCs w:val="18"/>
                <w:lang w:val="en-US" w:eastAsia="zh-CN"/>
              </w:rPr>
              <w:t>)</w:t>
            </w:r>
          </w:p>
        </w:tc>
        <w:tc>
          <w:tcPr>
            <w:tcW w:w="900" w:type="dxa"/>
            <w:noWrap/>
            <w:hideMark/>
          </w:tcPr>
          <w:p w14:paraId="2BDE3177" w14:textId="40D01303"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13,880</w:t>
            </w:r>
          </w:p>
        </w:tc>
        <w:tc>
          <w:tcPr>
            <w:tcW w:w="1170" w:type="dxa"/>
            <w:noWrap/>
            <w:hideMark/>
          </w:tcPr>
          <w:p w14:paraId="061C71BC"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4</w:t>
            </w:r>
          </w:p>
        </w:tc>
      </w:tr>
      <w:tr w:rsidR="004B36A7" w:rsidRPr="00A25BAE" w14:paraId="237B5FDC"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23442C19"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095C7BF9"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2006/07</w:t>
            </w:r>
          </w:p>
        </w:tc>
        <w:tc>
          <w:tcPr>
            <w:tcW w:w="948" w:type="dxa"/>
            <w:noWrap/>
            <w:hideMark/>
          </w:tcPr>
          <w:p w14:paraId="3C0CBE79"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16,539</w:t>
            </w:r>
          </w:p>
        </w:tc>
        <w:tc>
          <w:tcPr>
            <w:tcW w:w="948" w:type="dxa"/>
            <w:noWrap/>
            <w:hideMark/>
          </w:tcPr>
          <w:p w14:paraId="4FF3F894"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1,803,118</w:t>
            </w:r>
          </w:p>
        </w:tc>
        <w:tc>
          <w:tcPr>
            <w:tcW w:w="1352" w:type="dxa"/>
            <w:noWrap/>
            <w:hideMark/>
          </w:tcPr>
          <w:p w14:paraId="5D9430B0" w14:textId="46D5B338"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16,505</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191CB17F" w14:textId="137A0841"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17,053</w:t>
            </w:r>
          </w:p>
        </w:tc>
        <w:tc>
          <w:tcPr>
            <w:tcW w:w="1170" w:type="dxa"/>
            <w:noWrap/>
            <w:hideMark/>
          </w:tcPr>
          <w:p w14:paraId="7CD21BA4"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5</w:t>
            </w:r>
          </w:p>
        </w:tc>
      </w:tr>
      <w:tr w:rsidR="004B36A7" w:rsidRPr="00A25BAE" w14:paraId="335DA217"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4F19495F"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1820A22C"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2007/08</w:t>
            </w:r>
          </w:p>
        </w:tc>
        <w:tc>
          <w:tcPr>
            <w:tcW w:w="948" w:type="dxa"/>
            <w:noWrap/>
            <w:hideMark/>
          </w:tcPr>
          <w:p w14:paraId="36FA3199"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17,721</w:t>
            </w:r>
          </w:p>
        </w:tc>
        <w:tc>
          <w:tcPr>
            <w:tcW w:w="948" w:type="dxa"/>
            <w:noWrap/>
            <w:hideMark/>
          </w:tcPr>
          <w:p w14:paraId="374D9C97"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1,745,739</w:t>
            </w:r>
          </w:p>
        </w:tc>
        <w:tc>
          <w:tcPr>
            <w:tcW w:w="1352" w:type="dxa"/>
            <w:noWrap/>
            <w:hideMark/>
          </w:tcPr>
          <w:p w14:paraId="377D16CF" w14:textId="7CFC71F4"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17,496</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99%</w:t>
            </w:r>
            <w:r>
              <w:rPr>
                <w:rFonts w:ascii="Calibri" w:eastAsia="Times New Roman" w:hAnsi="Calibri" w:cs="Times New Roman"/>
                <w:color w:val="000000"/>
                <w:sz w:val="18"/>
                <w:szCs w:val="18"/>
                <w:lang w:val="en-US" w:eastAsia="zh-CN"/>
              </w:rPr>
              <w:t>)</w:t>
            </w:r>
          </w:p>
        </w:tc>
        <w:tc>
          <w:tcPr>
            <w:tcW w:w="900" w:type="dxa"/>
            <w:noWrap/>
            <w:hideMark/>
          </w:tcPr>
          <w:p w14:paraId="54E0E7C1" w14:textId="20AA450F"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17,986</w:t>
            </w:r>
          </w:p>
        </w:tc>
        <w:tc>
          <w:tcPr>
            <w:tcW w:w="1170" w:type="dxa"/>
            <w:noWrap/>
            <w:hideMark/>
          </w:tcPr>
          <w:p w14:paraId="5327A7CF"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22</w:t>
            </w:r>
          </w:p>
        </w:tc>
      </w:tr>
      <w:tr w:rsidR="004B36A7" w:rsidRPr="00A25BAE" w14:paraId="684D29D0"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2A2029CB"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2EF017A1"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2008/09</w:t>
            </w:r>
          </w:p>
        </w:tc>
        <w:tc>
          <w:tcPr>
            <w:tcW w:w="948" w:type="dxa"/>
            <w:noWrap/>
            <w:hideMark/>
          </w:tcPr>
          <w:p w14:paraId="4BC74EE2"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20,936</w:t>
            </w:r>
          </w:p>
        </w:tc>
        <w:tc>
          <w:tcPr>
            <w:tcW w:w="948" w:type="dxa"/>
            <w:noWrap/>
            <w:hideMark/>
          </w:tcPr>
          <w:p w14:paraId="382A144F"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1,765,943</w:t>
            </w:r>
          </w:p>
        </w:tc>
        <w:tc>
          <w:tcPr>
            <w:tcW w:w="1352" w:type="dxa"/>
            <w:noWrap/>
            <w:hideMark/>
          </w:tcPr>
          <w:p w14:paraId="4159FD3B" w14:textId="7964335B"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20,861</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345494CE" w14:textId="7D0BCE30"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21,430</w:t>
            </w:r>
          </w:p>
        </w:tc>
        <w:tc>
          <w:tcPr>
            <w:tcW w:w="1170" w:type="dxa"/>
            <w:noWrap/>
            <w:hideMark/>
          </w:tcPr>
          <w:p w14:paraId="2BDD6A8B"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60</w:t>
            </w:r>
          </w:p>
        </w:tc>
      </w:tr>
      <w:tr w:rsidR="004B36A7" w:rsidRPr="00A25BAE" w14:paraId="326C4F7C"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734A102A"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7B5B01E8"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2009/10</w:t>
            </w:r>
          </w:p>
        </w:tc>
        <w:tc>
          <w:tcPr>
            <w:tcW w:w="948" w:type="dxa"/>
            <w:noWrap/>
            <w:hideMark/>
          </w:tcPr>
          <w:p w14:paraId="6D651BC9"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25,223</w:t>
            </w:r>
          </w:p>
        </w:tc>
        <w:tc>
          <w:tcPr>
            <w:tcW w:w="948" w:type="dxa"/>
            <w:noWrap/>
            <w:hideMark/>
          </w:tcPr>
          <w:p w14:paraId="5AE7ED9F"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1,760,495</w:t>
            </w:r>
          </w:p>
        </w:tc>
        <w:tc>
          <w:tcPr>
            <w:tcW w:w="1352" w:type="dxa"/>
            <w:noWrap/>
            <w:hideMark/>
          </w:tcPr>
          <w:p w14:paraId="0E93D37E" w14:textId="5634F069"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25,142</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58253D5F" w14:textId="0916052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25,793</w:t>
            </w:r>
          </w:p>
        </w:tc>
        <w:tc>
          <w:tcPr>
            <w:tcW w:w="1170" w:type="dxa"/>
            <w:noWrap/>
            <w:hideMark/>
          </w:tcPr>
          <w:p w14:paraId="27B052FC"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62</w:t>
            </w:r>
          </w:p>
        </w:tc>
      </w:tr>
      <w:tr w:rsidR="004B36A7" w:rsidRPr="00A25BAE" w14:paraId="26BD7F07"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00321BE5" w14:textId="77777777" w:rsidR="004B36A7" w:rsidRPr="00A25BAE" w:rsidRDefault="004B36A7" w:rsidP="00352C26">
            <w:pPr>
              <w:spacing w:after="0" w:line="240" w:lineRule="auto"/>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Central line infections</w:t>
            </w:r>
          </w:p>
        </w:tc>
        <w:tc>
          <w:tcPr>
            <w:tcW w:w="833" w:type="dxa"/>
            <w:noWrap/>
            <w:hideMark/>
          </w:tcPr>
          <w:p w14:paraId="1D64DD7C"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2005/06</w:t>
            </w:r>
          </w:p>
        </w:tc>
        <w:tc>
          <w:tcPr>
            <w:tcW w:w="948" w:type="dxa"/>
            <w:noWrap/>
            <w:hideMark/>
          </w:tcPr>
          <w:p w14:paraId="4191A7DA"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607</w:t>
            </w:r>
          </w:p>
        </w:tc>
        <w:tc>
          <w:tcPr>
            <w:tcW w:w="948" w:type="dxa"/>
            <w:noWrap/>
            <w:hideMark/>
          </w:tcPr>
          <w:p w14:paraId="0BE13B34"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2,649,350</w:t>
            </w:r>
          </w:p>
        </w:tc>
        <w:tc>
          <w:tcPr>
            <w:tcW w:w="1352" w:type="dxa"/>
            <w:noWrap/>
            <w:hideMark/>
          </w:tcPr>
          <w:p w14:paraId="5AA8E7AC" w14:textId="171FCA78"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605</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1CCC8AA7" w14:textId="50879739"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631</w:t>
            </w:r>
          </w:p>
        </w:tc>
        <w:tc>
          <w:tcPr>
            <w:tcW w:w="1170" w:type="dxa"/>
            <w:noWrap/>
            <w:hideMark/>
          </w:tcPr>
          <w:p w14:paraId="6DEFE1FC"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0</w:t>
            </w:r>
          </w:p>
        </w:tc>
      </w:tr>
      <w:tr w:rsidR="004B36A7" w:rsidRPr="00A25BAE" w14:paraId="024217D4"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4EBEFA65"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0F98E024"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2006/07</w:t>
            </w:r>
          </w:p>
        </w:tc>
        <w:tc>
          <w:tcPr>
            <w:tcW w:w="948" w:type="dxa"/>
            <w:noWrap/>
            <w:hideMark/>
          </w:tcPr>
          <w:p w14:paraId="76DB8AAF"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725</w:t>
            </w:r>
          </w:p>
        </w:tc>
        <w:tc>
          <w:tcPr>
            <w:tcW w:w="948" w:type="dxa"/>
            <w:noWrap/>
            <w:hideMark/>
          </w:tcPr>
          <w:p w14:paraId="5F6451F6"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3,061,329</w:t>
            </w:r>
          </w:p>
        </w:tc>
        <w:tc>
          <w:tcPr>
            <w:tcW w:w="1352" w:type="dxa"/>
            <w:noWrap/>
            <w:hideMark/>
          </w:tcPr>
          <w:p w14:paraId="26A923E9" w14:textId="40E47E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725</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41D35771" w14:textId="2083E36F"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751</w:t>
            </w:r>
          </w:p>
        </w:tc>
        <w:tc>
          <w:tcPr>
            <w:tcW w:w="1170" w:type="dxa"/>
            <w:noWrap/>
            <w:hideMark/>
          </w:tcPr>
          <w:p w14:paraId="63CE73EC"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0</w:t>
            </w:r>
          </w:p>
        </w:tc>
      </w:tr>
      <w:tr w:rsidR="004B36A7" w:rsidRPr="00A25BAE" w14:paraId="3EABF539"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3C98D37E"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4DF65A72"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2007/08</w:t>
            </w:r>
          </w:p>
        </w:tc>
        <w:tc>
          <w:tcPr>
            <w:tcW w:w="948" w:type="dxa"/>
            <w:noWrap/>
            <w:hideMark/>
          </w:tcPr>
          <w:p w14:paraId="7EF8B7CE"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654</w:t>
            </w:r>
          </w:p>
        </w:tc>
        <w:tc>
          <w:tcPr>
            <w:tcW w:w="948" w:type="dxa"/>
            <w:noWrap/>
            <w:hideMark/>
          </w:tcPr>
          <w:p w14:paraId="26B0455C"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2,983,382</w:t>
            </w:r>
          </w:p>
        </w:tc>
        <w:tc>
          <w:tcPr>
            <w:tcW w:w="1352" w:type="dxa"/>
            <w:noWrap/>
            <w:hideMark/>
          </w:tcPr>
          <w:p w14:paraId="5361A713" w14:textId="087FFEAA"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652</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645356C5" w14:textId="14A68E5A"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681</w:t>
            </w:r>
          </w:p>
        </w:tc>
        <w:tc>
          <w:tcPr>
            <w:tcW w:w="1170" w:type="dxa"/>
            <w:noWrap/>
            <w:hideMark/>
          </w:tcPr>
          <w:p w14:paraId="6C34BFB8"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0</w:t>
            </w:r>
          </w:p>
        </w:tc>
      </w:tr>
      <w:tr w:rsidR="004B36A7" w:rsidRPr="00A25BAE" w14:paraId="61F8C231"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65EB5D74"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116D0B80"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2008/09</w:t>
            </w:r>
          </w:p>
        </w:tc>
        <w:tc>
          <w:tcPr>
            <w:tcW w:w="948" w:type="dxa"/>
            <w:noWrap/>
            <w:hideMark/>
          </w:tcPr>
          <w:p w14:paraId="1F5EF79B"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464</w:t>
            </w:r>
          </w:p>
        </w:tc>
        <w:tc>
          <w:tcPr>
            <w:tcW w:w="948" w:type="dxa"/>
            <w:noWrap/>
            <w:hideMark/>
          </w:tcPr>
          <w:p w14:paraId="194DC170"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3,018,398</w:t>
            </w:r>
          </w:p>
        </w:tc>
        <w:tc>
          <w:tcPr>
            <w:tcW w:w="1352" w:type="dxa"/>
            <w:noWrap/>
            <w:hideMark/>
          </w:tcPr>
          <w:p w14:paraId="5702AE24" w14:textId="517B7345"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463</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1CDF8DB9" w14:textId="779FC8A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491</w:t>
            </w:r>
          </w:p>
        </w:tc>
        <w:tc>
          <w:tcPr>
            <w:tcW w:w="1170" w:type="dxa"/>
            <w:noWrap/>
            <w:hideMark/>
          </w:tcPr>
          <w:p w14:paraId="474CA23C"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w:t>
            </w:r>
          </w:p>
        </w:tc>
      </w:tr>
      <w:tr w:rsidR="004B36A7" w:rsidRPr="00A25BAE" w14:paraId="68316541"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1F3ECF4F"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47A3C6B1"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2009/10</w:t>
            </w:r>
          </w:p>
        </w:tc>
        <w:tc>
          <w:tcPr>
            <w:tcW w:w="948" w:type="dxa"/>
            <w:noWrap/>
            <w:hideMark/>
          </w:tcPr>
          <w:p w14:paraId="710A4898"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375</w:t>
            </w:r>
          </w:p>
        </w:tc>
        <w:tc>
          <w:tcPr>
            <w:tcW w:w="948" w:type="dxa"/>
            <w:noWrap/>
            <w:hideMark/>
          </w:tcPr>
          <w:p w14:paraId="328FD652"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3,024,078</w:t>
            </w:r>
          </w:p>
        </w:tc>
        <w:tc>
          <w:tcPr>
            <w:tcW w:w="1352" w:type="dxa"/>
            <w:noWrap/>
            <w:hideMark/>
          </w:tcPr>
          <w:p w14:paraId="531DDF3B" w14:textId="73120AE1"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374</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3C09B34D" w14:textId="3546D20E"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382</w:t>
            </w:r>
          </w:p>
        </w:tc>
        <w:tc>
          <w:tcPr>
            <w:tcW w:w="1170" w:type="dxa"/>
            <w:noWrap/>
            <w:hideMark/>
          </w:tcPr>
          <w:p w14:paraId="5B3054C8"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0</w:t>
            </w:r>
          </w:p>
        </w:tc>
      </w:tr>
      <w:tr w:rsidR="004B36A7" w:rsidRPr="00A25BAE" w14:paraId="4F51FFD6"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4A065E55" w14:textId="77777777" w:rsidR="004B36A7" w:rsidRPr="00A25BAE" w:rsidRDefault="004B36A7" w:rsidP="00352C26">
            <w:pPr>
              <w:spacing w:after="0" w:line="240" w:lineRule="auto"/>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 xml:space="preserve">Post-operative hip </w:t>
            </w:r>
          </w:p>
        </w:tc>
        <w:tc>
          <w:tcPr>
            <w:tcW w:w="833" w:type="dxa"/>
            <w:noWrap/>
            <w:hideMark/>
          </w:tcPr>
          <w:p w14:paraId="715DB60C"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2005/06</w:t>
            </w:r>
          </w:p>
        </w:tc>
        <w:tc>
          <w:tcPr>
            <w:tcW w:w="948" w:type="dxa"/>
            <w:noWrap/>
            <w:hideMark/>
          </w:tcPr>
          <w:p w14:paraId="331DDC07"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215</w:t>
            </w:r>
          </w:p>
        </w:tc>
        <w:tc>
          <w:tcPr>
            <w:tcW w:w="948" w:type="dxa"/>
            <w:noWrap/>
            <w:hideMark/>
          </w:tcPr>
          <w:p w14:paraId="1B8EC127"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3,008,177</w:t>
            </w:r>
          </w:p>
        </w:tc>
        <w:tc>
          <w:tcPr>
            <w:tcW w:w="1352" w:type="dxa"/>
            <w:noWrap/>
            <w:hideMark/>
          </w:tcPr>
          <w:p w14:paraId="4E94A905" w14:textId="01DAA7B8"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215</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3824F2F8" w14:textId="742376C6"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232</w:t>
            </w:r>
          </w:p>
        </w:tc>
        <w:tc>
          <w:tcPr>
            <w:tcW w:w="1170" w:type="dxa"/>
            <w:noWrap/>
            <w:hideMark/>
          </w:tcPr>
          <w:p w14:paraId="7C89D8E0"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0</w:t>
            </w:r>
          </w:p>
        </w:tc>
      </w:tr>
      <w:tr w:rsidR="004B36A7" w:rsidRPr="00A25BAE" w14:paraId="350EA5B5"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17D09554" w14:textId="7A0F7EA0" w:rsidR="004B36A7" w:rsidRPr="00A25BAE" w:rsidRDefault="00044AAA" w:rsidP="00352C26">
            <w:pPr>
              <w:spacing w:after="0" w:line="240" w:lineRule="auto"/>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F</w:t>
            </w:r>
            <w:r w:rsidR="004B36A7" w:rsidRPr="00A25BAE">
              <w:rPr>
                <w:rFonts w:ascii="Calibri" w:eastAsia="Times New Roman" w:hAnsi="Calibri" w:cs="Arial"/>
                <w:color w:val="000000"/>
                <w:sz w:val="18"/>
                <w:szCs w:val="18"/>
                <w:lang w:eastAsia="zh-CN"/>
              </w:rPr>
              <w:t>ractures</w:t>
            </w:r>
          </w:p>
        </w:tc>
        <w:tc>
          <w:tcPr>
            <w:tcW w:w="833" w:type="dxa"/>
            <w:noWrap/>
            <w:hideMark/>
          </w:tcPr>
          <w:p w14:paraId="37FD702A"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2006/07</w:t>
            </w:r>
          </w:p>
        </w:tc>
        <w:tc>
          <w:tcPr>
            <w:tcW w:w="948" w:type="dxa"/>
            <w:noWrap/>
            <w:hideMark/>
          </w:tcPr>
          <w:p w14:paraId="10C4BB06"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268</w:t>
            </w:r>
          </w:p>
        </w:tc>
        <w:tc>
          <w:tcPr>
            <w:tcW w:w="948" w:type="dxa"/>
            <w:noWrap/>
            <w:hideMark/>
          </w:tcPr>
          <w:p w14:paraId="66479EC2"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3,809,451</w:t>
            </w:r>
          </w:p>
        </w:tc>
        <w:tc>
          <w:tcPr>
            <w:tcW w:w="1352" w:type="dxa"/>
            <w:noWrap/>
            <w:hideMark/>
          </w:tcPr>
          <w:p w14:paraId="64A2608D" w14:textId="10E78C59"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268</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445EE687" w14:textId="36411569"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290</w:t>
            </w:r>
          </w:p>
        </w:tc>
        <w:tc>
          <w:tcPr>
            <w:tcW w:w="1170" w:type="dxa"/>
            <w:noWrap/>
            <w:hideMark/>
          </w:tcPr>
          <w:p w14:paraId="07BE92B4"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0</w:t>
            </w:r>
          </w:p>
        </w:tc>
      </w:tr>
      <w:tr w:rsidR="004B36A7" w:rsidRPr="00A25BAE" w14:paraId="674C5DB5"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0DF7F1F0"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7C094E37"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2007/08</w:t>
            </w:r>
          </w:p>
        </w:tc>
        <w:tc>
          <w:tcPr>
            <w:tcW w:w="948" w:type="dxa"/>
            <w:noWrap/>
            <w:hideMark/>
          </w:tcPr>
          <w:p w14:paraId="0C0A7F82"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265</w:t>
            </w:r>
          </w:p>
        </w:tc>
        <w:tc>
          <w:tcPr>
            <w:tcW w:w="948" w:type="dxa"/>
            <w:noWrap/>
            <w:hideMark/>
          </w:tcPr>
          <w:p w14:paraId="09CA4485"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4,052,809</w:t>
            </w:r>
          </w:p>
        </w:tc>
        <w:tc>
          <w:tcPr>
            <w:tcW w:w="1352" w:type="dxa"/>
            <w:noWrap/>
            <w:hideMark/>
          </w:tcPr>
          <w:p w14:paraId="2FB34ED3" w14:textId="54C45799"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260</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98%</w:t>
            </w:r>
            <w:r>
              <w:rPr>
                <w:rFonts w:ascii="Calibri" w:eastAsia="Times New Roman" w:hAnsi="Calibri" w:cs="Times New Roman"/>
                <w:color w:val="000000"/>
                <w:sz w:val="18"/>
                <w:szCs w:val="18"/>
                <w:lang w:val="en-US" w:eastAsia="zh-CN"/>
              </w:rPr>
              <w:t>)</w:t>
            </w:r>
          </w:p>
        </w:tc>
        <w:tc>
          <w:tcPr>
            <w:tcW w:w="900" w:type="dxa"/>
            <w:noWrap/>
            <w:hideMark/>
          </w:tcPr>
          <w:p w14:paraId="0CE3CA73" w14:textId="02C0598F"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274</w:t>
            </w:r>
          </w:p>
        </w:tc>
        <w:tc>
          <w:tcPr>
            <w:tcW w:w="1170" w:type="dxa"/>
            <w:noWrap/>
            <w:hideMark/>
          </w:tcPr>
          <w:p w14:paraId="19DA506E"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w:t>
            </w:r>
          </w:p>
        </w:tc>
      </w:tr>
      <w:tr w:rsidR="004B36A7" w:rsidRPr="00A25BAE" w14:paraId="13761318"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77B3C91C"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473727A4"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2008/09</w:t>
            </w:r>
          </w:p>
        </w:tc>
        <w:tc>
          <w:tcPr>
            <w:tcW w:w="948" w:type="dxa"/>
            <w:noWrap/>
            <w:hideMark/>
          </w:tcPr>
          <w:p w14:paraId="29F88AC8"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298</w:t>
            </w:r>
          </w:p>
        </w:tc>
        <w:tc>
          <w:tcPr>
            <w:tcW w:w="948" w:type="dxa"/>
            <w:noWrap/>
            <w:hideMark/>
          </w:tcPr>
          <w:p w14:paraId="3EF0EA15"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4,339,922</w:t>
            </w:r>
          </w:p>
        </w:tc>
        <w:tc>
          <w:tcPr>
            <w:tcW w:w="1352" w:type="dxa"/>
            <w:noWrap/>
            <w:hideMark/>
          </w:tcPr>
          <w:p w14:paraId="3B50EFC9" w14:textId="4916483D"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297</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2B0BC8CA" w14:textId="1A99B476"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318</w:t>
            </w:r>
          </w:p>
        </w:tc>
        <w:tc>
          <w:tcPr>
            <w:tcW w:w="1170" w:type="dxa"/>
            <w:noWrap/>
            <w:hideMark/>
          </w:tcPr>
          <w:p w14:paraId="7E22ADE5"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w:t>
            </w:r>
          </w:p>
        </w:tc>
      </w:tr>
      <w:tr w:rsidR="004B36A7" w:rsidRPr="00A25BAE" w14:paraId="45035257"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33C73E96"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7DB8C32D"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2009/10</w:t>
            </w:r>
          </w:p>
        </w:tc>
        <w:tc>
          <w:tcPr>
            <w:tcW w:w="948" w:type="dxa"/>
            <w:noWrap/>
            <w:hideMark/>
          </w:tcPr>
          <w:p w14:paraId="34248883"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283</w:t>
            </w:r>
          </w:p>
        </w:tc>
        <w:tc>
          <w:tcPr>
            <w:tcW w:w="948" w:type="dxa"/>
            <w:noWrap/>
            <w:hideMark/>
          </w:tcPr>
          <w:p w14:paraId="7895EA78"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4,508,083</w:t>
            </w:r>
          </w:p>
        </w:tc>
        <w:tc>
          <w:tcPr>
            <w:tcW w:w="1352" w:type="dxa"/>
            <w:noWrap/>
            <w:hideMark/>
          </w:tcPr>
          <w:p w14:paraId="2A50F87A" w14:textId="37D8831C"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282</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7F5935F6" w14:textId="23D6E663"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292</w:t>
            </w:r>
          </w:p>
        </w:tc>
        <w:tc>
          <w:tcPr>
            <w:tcW w:w="1170" w:type="dxa"/>
            <w:noWrap/>
            <w:hideMark/>
          </w:tcPr>
          <w:p w14:paraId="1C780FD0"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w:t>
            </w:r>
          </w:p>
        </w:tc>
      </w:tr>
      <w:tr w:rsidR="004B36A7" w:rsidRPr="00A25BAE" w14:paraId="4293B41C"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2B7A9ACA" w14:textId="77777777" w:rsidR="004B36A7" w:rsidRPr="00A25BAE" w:rsidRDefault="004B36A7" w:rsidP="00352C26">
            <w:pPr>
              <w:spacing w:after="0" w:line="240" w:lineRule="auto"/>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DVT/PE</w:t>
            </w:r>
          </w:p>
        </w:tc>
        <w:tc>
          <w:tcPr>
            <w:tcW w:w="833" w:type="dxa"/>
            <w:noWrap/>
            <w:hideMark/>
          </w:tcPr>
          <w:p w14:paraId="1991004A"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2005/06</w:t>
            </w:r>
          </w:p>
        </w:tc>
        <w:tc>
          <w:tcPr>
            <w:tcW w:w="948" w:type="dxa"/>
            <w:noWrap/>
            <w:hideMark/>
          </w:tcPr>
          <w:p w14:paraId="6AC4E69B"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5,237</w:t>
            </w:r>
          </w:p>
        </w:tc>
        <w:tc>
          <w:tcPr>
            <w:tcW w:w="948" w:type="dxa"/>
            <w:noWrap/>
            <w:hideMark/>
          </w:tcPr>
          <w:p w14:paraId="1ECFAC57"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3,566,279</w:t>
            </w:r>
          </w:p>
        </w:tc>
        <w:tc>
          <w:tcPr>
            <w:tcW w:w="1352" w:type="dxa"/>
            <w:noWrap/>
            <w:hideMark/>
          </w:tcPr>
          <w:p w14:paraId="20134BF7" w14:textId="63661DD0"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5,220</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1F560BB7" w14:textId="7421CC00"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5,661</w:t>
            </w:r>
          </w:p>
        </w:tc>
        <w:tc>
          <w:tcPr>
            <w:tcW w:w="1170" w:type="dxa"/>
            <w:noWrap/>
            <w:hideMark/>
          </w:tcPr>
          <w:p w14:paraId="430C1BCF"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16</w:t>
            </w:r>
          </w:p>
        </w:tc>
      </w:tr>
      <w:tr w:rsidR="004B36A7" w:rsidRPr="00A25BAE" w14:paraId="54A25E69"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37715CD5"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130315DF"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2006/07</w:t>
            </w:r>
          </w:p>
        </w:tc>
        <w:tc>
          <w:tcPr>
            <w:tcW w:w="948" w:type="dxa"/>
            <w:noWrap/>
            <w:hideMark/>
          </w:tcPr>
          <w:p w14:paraId="786AD237"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6,903</w:t>
            </w:r>
          </w:p>
        </w:tc>
        <w:tc>
          <w:tcPr>
            <w:tcW w:w="948" w:type="dxa"/>
            <w:noWrap/>
            <w:hideMark/>
          </w:tcPr>
          <w:p w14:paraId="350F8FC0"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4,524,566</w:t>
            </w:r>
          </w:p>
        </w:tc>
        <w:tc>
          <w:tcPr>
            <w:tcW w:w="1352" w:type="dxa"/>
            <w:noWrap/>
            <w:hideMark/>
          </w:tcPr>
          <w:p w14:paraId="310A97AF" w14:textId="1EC0D43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6,887</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100%</w:t>
            </w:r>
            <w:r>
              <w:rPr>
                <w:rFonts w:ascii="Calibri" w:eastAsia="Times New Roman" w:hAnsi="Calibri" w:cs="Times New Roman"/>
                <w:color w:val="000000"/>
                <w:sz w:val="18"/>
                <w:szCs w:val="18"/>
                <w:lang w:val="en-US" w:eastAsia="zh-CN"/>
              </w:rPr>
              <w:t>)</w:t>
            </w:r>
          </w:p>
        </w:tc>
        <w:tc>
          <w:tcPr>
            <w:tcW w:w="900" w:type="dxa"/>
            <w:noWrap/>
            <w:hideMark/>
          </w:tcPr>
          <w:p w14:paraId="7E69F3BB" w14:textId="2F3593C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7,451</w:t>
            </w:r>
          </w:p>
        </w:tc>
        <w:tc>
          <w:tcPr>
            <w:tcW w:w="1170" w:type="dxa"/>
            <w:noWrap/>
            <w:hideMark/>
          </w:tcPr>
          <w:p w14:paraId="41B840FF"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12</w:t>
            </w:r>
          </w:p>
        </w:tc>
      </w:tr>
      <w:tr w:rsidR="004B36A7" w:rsidRPr="00A25BAE" w14:paraId="58558A74"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740CD1EF"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2ADEBE54"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2007/08</w:t>
            </w:r>
          </w:p>
        </w:tc>
        <w:tc>
          <w:tcPr>
            <w:tcW w:w="948" w:type="dxa"/>
            <w:noWrap/>
            <w:hideMark/>
          </w:tcPr>
          <w:p w14:paraId="3E3863C6"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7,165</w:t>
            </w:r>
          </w:p>
        </w:tc>
        <w:tc>
          <w:tcPr>
            <w:tcW w:w="948" w:type="dxa"/>
            <w:noWrap/>
            <w:hideMark/>
          </w:tcPr>
          <w:p w14:paraId="145872CE"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4,856,388</w:t>
            </w:r>
          </w:p>
        </w:tc>
        <w:tc>
          <w:tcPr>
            <w:tcW w:w="1352" w:type="dxa"/>
            <w:noWrap/>
            <w:hideMark/>
          </w:tcPr>
          <w:p w14:paraId="20391471" w14:textId="2A2FD76F"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6,950</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97%</w:t>
            </w:r>
            <w:r>
              <w:rPr>
                <w:rFonts w:ascii="Calibri" w:eastAsia="Times New Roman" w:hAnsi="Calibri" w:cs="Times New Roman"/>
                <w:color w:val="000000"/>
                <w:sz w:val="18"/>
                <w:szCs w:val="18"/>
                <w:lang w:val="en-US" w:eastAsia="zh-CN"/>
              </w:rPr>
              <w:t>)</w:t>
            </w:r>
          </w:p>
        </w:tc>
        <w:tc>
          <w:tcPr>
            <w:tcW w:w="900" w:type="dxa"/>
            <w:noWrap/>
            <w:hideMark/>
          </w:tcPr>
          <w:p w14:paraId="48D1F117" w14:textId="1B66E8E1"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7,513</w:t>
            </w:r>
          </w:p>
        </w:tc>
        <w:tc>
          <w:tcPr>
            <w:tcW w:w="1170" w:type="dxa"/>
            <w:noWrap/>
            <w:hideMark/>
          </w:tcPr>
          <w:p w14:paraId="391AE87B"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28</w:t>
            </w:r>
          </w:p>
        </w:tc>
      </w:tr>
      <w:tr w:rsidR="004B36A7" w:rsidRPr="00A25BAE" w14:paraId="5F436CF6"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64AD60D3"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6A6872F0"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2008/09</w:t>
            </w:r>
          </w:p>
        </w:tc>
        <w:tc>
          <w:tcPr>
            <w:tcW w:w="948" w:type="dxa"/>
            <w:noWrap/>
            <w:hideMark/>
          </w:tcPr>
          <w:p w14:paraId="440E5DCB"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7,842</w:t>
            </w:r>
          </w:p>
        </w:tc>
        <w:tc>
          <w:tcPr>
            <w:tcW w:w="948" w:type="dxa"/>
            <w:noWrap/>
            <w:hideMark/>
          </w:tcPr>
          <w:p w14:paraId="76311134"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5,231,165</w:t>
            </w:r>
          </w:p>
        </w:tc>
        <w:tc>
          <w:tcPr>
            <w:tcW w:w="1352" w:type="dxa"/>
            <w:noWrap/>
            <w:hideMark/>
          </w:tcPr>
          <w:p w14:paraId="536DFDA3" w14:textId="0242F920"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7,732</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99%</w:t>
            </w:r>
            <w:r>
              <w:rPr>
                <w:rFonts w:ascii="Calibri" w:eastAsia="Times New Roman" w:hAnsi="Calibri" w:cs="Times New Roman"/>
                <w:color w:val="000000"/>
                <w:sz w:val="18"/>
                <w:szCs w:val="18"/>
                <w:lang w:val="en-US" w:eastAsia="zh-CN"/>
              </w:rPr>
              <w:t>)</w:t>
            </w:r>
          </w:p>
        </w:tc>
        <w:tc>
          <w:tcPr>
            <w:tcW w:w="900" w:type="dxa"/>
            <w:noWrap/>
            <w:hideMark/>
          </w:tcPr>
          <w:p w14:paraId="3DA838E5" w14:textId="752CE809"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8,377</w:t>
            </w:r>
          </w:p>
        </w:tc>
        <w:tc>
          <w:tcPr>
            <w:tcW w:w="1170" w:type="dxa"/>
            <w:noWrap/>
            <w:hideMark/>
          </w:tcPr>
          <w:p w14:paraId="799B8B7E"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18</w:t>
            </w:r>
          </w:p>
        </w:tc>
      </w:tr>
      <w:tr w:rsidR="004B36A7" w:rsidRPr="00A25BAE" w14:paraId="3346FE3A"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38B813E0"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08DF518B"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2009/10</w:t>
            </w:r>
          </w:p>
        </w:tc>
        <w:tc>
          <w:tcPr>
            <w:tcW w:w="948" w:type="dxa"/>
            <w:noWrap/>
            <w:hideMark/>
          </w:tcPr>
          <w:p w14:paraId="7A47FAD0"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8,606</w:t>
            </w:r>
          </w:p>
        </w:tc>
        <w:tc>
          <w:tcPr>
            <w:tcW w:w="948" w:type="dxa"/>
            <w:noWrap/>
            <w:hideMark/>
          </w:tcPr>
          <w:p w14:paraId="366DFC0B"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5,426,891</w:t>
            </w:r>
          </w:p>
        </w:tc>
        <w:tc>
          <w:tcPr>
            <w:tcW w:w="1352" w:type="dxa"/>
            <w:noWrap/>
            <w:hideMark/>
          </w:tcPr>
          <w:p w14:paraId="346AFCDA" w14:textId="18ACF43A"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8,407</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98%</w:t>
            </w:r>
            <w:r>
              <w:rPr>
                <w:rFonts w:ascii="Calibri" w:eastAsia="Times New Roman" w:hAnsi="Calibri" w:cs="Times New Roman"/>
                <w:color w:val="000000"/>
                <w:sz w:val="18"/>
                <w:szCs w:val="18"/>
                <w:lang w:val="en-US" w:eastAsia="zh-CN"/>
              </w:rPr>
              <w:t>)</w:t>
            </w:r>
          </w:p>
        </w:tc>
        <w:tc>
          <w:tcPr>
            <w:tcW w:w="900" w:type="dxa"/>
            <w:noWrap/>
            <w:hideMark/>
          </w:tcPr>
          <w:p w14:paraId="0772FC48" w14:textId="4F381ABC"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9,040</w:t>
            </w:r>
          </w:p>
        </w:tc>
        <w:tc>
          <w:tcPr>
            <w:tcW w:w="1170" w:type="dxa"/>
            <w:noWrap/>
            <w:hideMark/>
          </w:tcPr>
          <w:p w14:paraId="61451BC3"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32</w:t>
            </w:r>
          </w:p>
        </w:tc>
      </w:tr>
      <w:tr w:rsidR="004B36A7" w:rsidRPr="00A25BAE" w14:paraId="45C983D4"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4593D09C" w14:textId="77777777" w:rsidR="004B36A7" w:rsidRPr="00A25BAE" w:rsidRDefault="004B36A7" w:rsidP="00352C26">
            <w:pPr>
              <w:spacing w:after="0" w:line="240" w:lineRule="auto"/>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Sepsis</w:t>
            </w:r>
          </w:p>
        </w:tc>
        <w:tc>
          <w:tcPr>
            <w:tcW w:w="833" w:type="dxa"/>
            <w:noWrap/>
            <w:hideMark/>
          </w:tcPr>
          <w:p w14:paraId="52B6CCD5"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2005/06</w:t>
            </w:r>
          </w:p>
        </w:tc>
        <w:tc>
          <w:tcPr>
            <w:tcW w:w="948" w:type="dxa"/>
            <w:noWrap/>
            <w:hideMark/>
          </w:tcPr>
          <w:p w14:paraId="49DCF141"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1,772</w:t>
            </w:r>
          </w:p>
        </w:tc>
        <w:tc>
          <w:tcPr>
            <w:tcW w:w="948" w:type="dxa"/>
            <w:noWrap/>
            <w:hideMark/>
          </w:tcPr>
          <w:p w14:paraId="3C201757"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306,809</w:t>
            </w:r>
          </w:p>
        </w:tc>
        <w:tc>
          <w:tcPr>
            <w:tcW w:w="1352" w:type="dxa"/>
            <w:noWrap/>
            <w:hideMark/>
          </w:tcPr>
          <w:p w14:paraId="362C3E72" w14:textId="6C7B2F71"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1,653</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93%</w:t>
            </w:r>
            <w:r>
              <w:rPr>
                <w:rFonts w:ascii="Calibri" w:eastAsia="Times New Roman" w:hAnsi="Calibri" w:cs="Times New Roman"/>
                <w:color w:val="000000"/>
                <w:sz w:val="18"/>
                <w:szCs w:val="18"/>
                <w:lang w:val="en-US" w:eastAsia="zh-CN"/>
              </w:rPr>
              <w:t>)</w:t>
            </w:r>
          </w:p>
        </w:tc>
        <w:tc>
          <w:tcPr>
            <w:tcW w:w="900" w:type="dxa"/>
            <w:noWrap/>
            <w:hideMark/>
          </w:tcPr>
          <w:p w14:paraId="5A646D16" w14:textId="17B09F22"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1,668</w:t>
            </w:r>
          </w:p>
        </w:tc>
        <w:tc>
          <w:tcPr>
            <w:tcW w:w="1170" w:type="dxa"/>
            <w:noWrap/>
            <w:hideMark/>
          </w:tcPr>
          <w:p w14:paraId="59B9BE61"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118</w:t>
            </w:r>
          </w:p>
        </w:tc>
      </w:tr>
      <w:tr w:rsidR="004B36A7" w:rsidRPr="00A25BAE" w14:paraId="1E2599B8"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5ED327C4"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65A97C8B"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2006/07</w:t>
            </w:r>
          </w:p>
        </w:tc>
        <w:tc>
          <w:tcPr>
            <w:tcW w:w="948" w:type="dxa"/>
            <w:noWrap/>
            <w:hideMark/>
          </w:tcPr>
          <w:p w14:paraId="321BC161"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2,280</w:t>
            </w:r>
          </w:p>
        </w:tc>
        <w:tc>
          <w:tcPr>
            <w:tcW w:w="948" w:type="dxa"/>
            <w:noWrap/>
            <w:hideMark/>
          </w:tcPr>
          <w:p w14:paraId="6DD67AC1"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345,970</w:t>
            </w:r>
          </w:p>
        </w:tc>
        <w:tc>
          <w:tcPr>
            <w:tcW w:w="1352" w:type="dxa"/>
            <w:noWrap/>
            <w:hideMark/>
          </w:tcPr>
          <w:p w14:paraId="58303A1E" w14:textId="7F7BB1AA"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2,175</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95%</w:t>
            </w:r>
            <w:r>
              <w:rPr>
                <w:rFonts w:ascii="Calibri" w:eastAsia="Times New Roman" w:hAnsi="Calibri" w:cs="Times New Roman"/>
                <w:color w:val="000000"/>
                <w:sz w:val="18"/>
                <w:szCs w:val="18"/>
                <w:lang w:val="en-US" w:eastAsia="zh-CN"/>
              </w:rPr>
              <w:t>)</w:t>
            </w:r>
          </w:p>
        </w:tc>
        <w:tc>
          <w:tcPr>
            <w:tcW w:w="900" w:type="dxa"/>
            <w:noWrap/>
            <w:hideMark/>
          </w:tcPr>
          <w:p w14:paraId="4D32826A" w14:textId="38F9DCF8"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2,190</w:t>
            </w:r>
          </w:p>
        </w:tc>
        <w:tc>
          <w:tcPr>
            <w:tcW w:w="1170" w:type="dxa"/>
            <w:noWrap/>
            <w:hideMark/>
          </w:tcPr>
          <w:p w14:paraId="25C1FD78"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105</w:t>
            </w:r>
          </w:p>
        </w:tc>
      </w:tr>
      <w:tr w:rsidR="004B36A7" w:rsidRPr="00A25BAE" w14:paraId="403C574C"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2386F95E"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0C19569B"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2007/08</w:t>
            </w:r>
          </w:p>
        </w:tc>
        <w:tc>
          <w:tcPr>
            <w:tcW w:w="948" w:type="dxa"/>
            <w:noWrap/>
            <w:hideMark/>
          </w:tcPr>
          <w:p w14:paraId="431C286A"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2,260</w:t>
            </w:r>
          </w:p>
        </w:tc>
        <w:tc>
          <w:tcPr>
            <w:tcW w:w="948" w:type="dxa"/>
            <w:noWrap/>
            <w:hideMark/>
          </w:tcPr>
          <w:p w14:paraId="2A473583"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341,357</w:t>
            </w:r>
          </w:p>
        </w:tc>
        <w:tc>
          <w:tcPr>
            <w:tcW w:w="1352" w:type="dxa"/>
            <w:noWrap/>
            <w:hideMark/>
          </w:tcPr>
          <w:p w14:paraId="08DCB59D" w14:textId="048F46FA"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2,111</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93%</w:t>
            </w:r>
            <w:r>
              <w:rPr>
                <w:rFonts w:ascii="Calibri" w:eastAsia="Times New Roman" w:hAnsi="Calibri" w:cs="Times New Roman"/>
                <w:color w:val="000000"/>
                <w:sz w:val="18"/>
                <w:szCs w:val="18"/>
                <w:lang w:val="en-US" w:eastAsia="zh-CN"/>
              </w:rPr>
              <w:t>)</w:t>
            </w:r>
          </w:p>
        </w:tc>
        <w:tc>
          <w:tcPr>
            <w:tcW w:w="900" w:type="dxa"/>
            <w:noWrap/>
            <w:hideMark/>
          </w:tcPr>
          <w:p w14:paraId="16300568" w14:textId="3CAD206F"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2,122</w:t>
            </w:r>
          </w:p>
        </w:tc>
        <w:tc>
          <w:tcPr>
            <w:tcW w:w="1170" w:type="dxa"/>
            <w:noWrap/>
            <w:hideMark/>
          </w:tcPr>
          <w:p w14:paraId="4B4C1131"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103</w:t>
            </w:r>
          </w:p>
        </w:tc>
      </w:tr>
      <w:tr w:rsidR="004B36A7" w:rsidRPr="00A25BAE" w14:paraId="40953FFD" w14:textId="77777777" w:rsidTr="009964C1">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65EDD7EC"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7081665A" w14:textId="77777777" w:rsidR="004B36A7" w:rsidRPr="00A25BAE" w:rsidRDefault="004B36A7" w:rsidP="00352C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2008/09</w:t>
            </w:r>
          </w:p>
        </w:tc>
        <w:tc>
          <w:tcPr>
            <w:tcW w:w="948" w:type="dxa"/>
            <w:noWrap/>
            <w:hideMark/>
          </w:tcPr>
          <w:p w14:paraId="2F4080EF"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2,151</w:t>
            </w:r>
          </w:p>
        </w:tc>
        <w:tc>
          <w:tcPr>
            <w:tcW w:w="948" w:type="dxa"/>
            <w:noWrap/>
            <w:hideMark/>
          </w:tcPr>
          <w:p w14:paraId="589F1C93"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331,668</w:t>
            </w:r>
          </w:p>
        </w:tc>
        <w:tc>
          <w:tcPr>
            <w:tcW w:w="1352" w:type="dxa"/>
            <w:noWrap/>
            <w:hideMark/>
          </w:tcPr>
          <w:p w14:paraId="6B1825BE" w14:textId="391CFC1E"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2,045</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95%</w:t>
            </w:r>
            <w:r>
              <w:rPr>
                <w:rFonts w:ascii="Calibri" w:eastAsia="Times New Roman" w:hAnsi="Calibri" w:cs="Times New Roman"/>
                <w:color w:val="000000"/>
                <w:sz w:val="18"/>
                <w:szCs w:val="18"/>
                <w:lang w:val="en-US" w:eastAsia="zh-CN"/>
              </w:rPr>
              <w:t>)</w:t>
            </w:r>
          </w:p>
        </w:tc>
        <w:tc>
          <w:tcPr>
            <w:tcW w:w="900" w:type="dxa"/>
            <w:noWrap/>
            <w:hideMark/>
          </w:tcPr>
          <w:p w14:paraId="186CCAE9" w14:textId="27BF9FF4"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2,062</w:t>
            </w:r>
          </w:p>
        </w:tc>
        <w:tc>
          <w:tcPr>
            <w:tcW w:w="1170" w:type="dxa"/>
            <w:noWrap/>
            <w:hideMark/>
          </w:tcPr>
          <w:p w14:paraId="20B0FAE1" w14:textId="77777777" w:rsidR="004B36A7" w:rsidRPr="00A25BAE" w:rsidRDefault="004B36A7" w:rsidP="00352C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86</w:t>
            </w:r>
          </w:p>
        </w:tc>
      </w:tr>
      <w:tr w:rsidR="004B36A7" w:rsidRPr="00A25BAE" w14:paraId="6E18E288" w14:textId="77777777" w:rsidTr="009964C1">
        <w:trPr>
          <w:trHeight w:hRule="exact" w:val="315"/>
        </w:trPr>
        <w:tc>
          <w:tcPr>
            <w:cnfStyle w:val="001000000000" w:firstRow="0" w:lastRow="0" w:firstColumn="1" w:lastColumn="0" w:oddVBand="0" w:evenVBand="0" w:oddHBand="0" w:evenHBand="0" w:firstRowFirstColumn="0" w:firstRowLastColumn="0" w:lastRowFirstColumn="0" w:lastRowLastColumn="0"/>
            <w:tcW w:w="2034" w:type="dxa"/>
            <w:noWrap/>
            <w:hideMark/>
          </w:tcPr>
          <w:p w14:paraId="38C493DE" w14:textId="77777777" w:rsidR="004B36A7" w:rsidRPr="00A25BAE" w:rsidRDefault="004B36A7" w:rsidP="00352C26">
            <w:pPr>
              <w:spacing w:after="0" w:line="240" w:lineRule="auto"/>
              <w:rPr>
                <w:rFonts w:ascii="Calibri" w:eastAsia="Times New Roman" w:hAnsi="Calibri" w:cs="Times New Roman"/>
                <w:color w:val="000000"/>
                <w:lang w:val="en-US" w:eastAsia="zh-CN"/>
              </w:rPr>
            </w:pPr>
            <w:r w:rsidRPr="00A25BAE">
              <w:rPr>
                <w:rFonts w:ascii="Calibri" w:eastAsia="Times New Roman" w:hAnsi="Calibri" w:cs="Times New Roman"/>
                <w:color w:val="000000"/>
                <w:lang w:val="en-US" w:eastAsia="zh-CN"/>
              </w:rPr>
              <w:t> </w:t>
            </w:r>
          </w:p>
        </w:tc>
        <w:tc>
          <w:tcPr>
            <w:tcW w:w="833" w:type="dxa"/>
            <w:noWrap/>
            <w:hideMark/>
          </w:tcPr>
          <w:p w14:paraId="68698603" w14:textId="77777777" w:rsidR="004B36A7" w:rsidRPr="00A25BAE" w:rsidRDefault="004B36A7" w:rsidP="00352C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2009/10</w:t>
            </w:r>
          </w:p>
        </w:tc>
        <w:tc>
          <w:tcPr>
            <w:tcW w:w="948" w:type="dxa"/>
            <w:noWrap/>
            <w:hideMark/>
          </w:tcPr>
          <w:p w14:paraId="3346FD2E"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2,196</w:t>
            </w:r>
          </w:p>
        </w:tc>
        <w:tc>
          <w:tcPr>
            <w:tcW w:w="948" w:type="dxa"/>
            <w:noWrap/>
            <w:hideMark/>
          </w:tcPr>
          <w:p w14:paraId="456B8A41"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312,249</w:t>
            </w:r>
          </w:p>
        </w:tc>
        <w:tc>
          <w:tcPr>
            <w:tcW w:w="1352" w:type="dxa"/>
            <w:noWrap/>
            <w:hideMark/>
          </w:tcPr>
          <w:p w14:paraId="49A3B076" w14:textId="6E938374"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Times New Roman"/>
                <w:color w:val="000000"/>
                <w:sz w:val="18"/>
                <w:szCs w:val="18"/>
                <w:lang w:val="en-US" w:eastAsia="zh-CN"/>
              </w:rPr>
              <w:t>2,086</w:t>
            </w:r>
            <w:r>
              <w:rPr>
                <w:rFonts w:ascii="Calibri" w:eastAsia="Times New Roman" w:hAnsi="Calibri" w:cs="Times New Roman"/>
                <w:color w:val="000000"/>
                <w:sz w:val="18"/>
                <w:szCs w:val="18"/>
                <w:lang w:val="en-US" w:eastAsia="zh-CN"/>
              </w:rPr>
              <w:t xml:space="preserve"> (</w:t>
            </w:r>
            <w:r w:rsidRPr="00BA0763">
              <w:rPr>
                <w:rFonts w:ascii="Calibri" w:eastAsia="Times New Roman" w:hAnsi="Calibri" w:cs="Times New Roman"/>
                <w:color w:val="000000"/>
                <w:sz w:val="18"/>
                <w:szCs w:val="18"/>
                <w:lang w:val="en-US" w:eastAsia="zh-CN"/>
              </w:rPr>
              <w:t>95%</w:t>
            </w:r>
            <w:r>
              <w:rPr>
                <w:rFonts w:ascii="Calibri" w:eastAsia="Times New Roman" w:hAnsi="Calibri" w:cs="Times New Roman"/>
                <w:color w:val="000000"/>
                <w:sz w:val="18"/>
                <w:szCs w:val="18"/>
                <w:lang w:val="en-US" w:eastAsia="zh-CN"/>
              </w:rPr>
              <w:t>)</w:t>
            </w:r>
          </w:p>
        </w:tc>
        <w:tc>
          <w:tcPr>
            <w:tcW w:w="900" w:type="dxa"/>
            <w:noWrap/>
            <w:hideMark/>
          </w:tcPr>
          <w:p w14:paraId="27B57855" w14:textId="1B86D455"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2,092</w:t>
            </w:r>
          </w:p>
        </w:tc>
        <w:tc>
          <w:tcPr>
            <w:tcW w:w="1170" w:type="dxa"/>
            <w:noWrap/>
            <w:hideMark/>
          </w:tcPr>
          <w:p w14:paraId="77D62A12" w14:textId="77777777" w:rsidR="004B36A7" w:rsidRPr="00A25BAE" w:rsidRDefault="004B36A7" w:rsidP="00352C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zh-CN"/>
              </w:rPr>
            </w:pPr>
            <w:r w:rsidRPr="00A25BAE">
              <w:rPr>
                <w:rFonts w:ascii="Calibri" w:eastAsia="Times New Roman" w:hAnsi="Calibri" w:cs="Arial"/>
                <w:color w:val="000000"/>
                <w:sz w:val="18"/>
                <w:szCs w:val="18"/>
                <w:lang w:eastAsia="zh-CN"/>
              </w:rPr>
              <w:t>74</w:t>
            </w:r>
          </w:p>
        </w:tc>
      </w:tr>
    </w:tbl>
    <w:p w14:paraId="0820CA93" w14:textId="77777777" w:rsidR="004853CC" w:rsidRDefault="000757CA" w:rsidP="00D44AF3">
      <w:pPr>
        <w:spacing w:after="160" w:line="259" w:lineRule="auto"/>
        <w:jc w:val="both"/>
        <w:rPr>
          <w:rFonts w:cs="Arial"/>
          <w:sz w:val="18"/>
          <w:szCs w:val="18"/>
        </w:rPr>
      </w:pPr>
      <w:r w:rsidRPr="00616F4F">
        <w:rPr>
          <w:rFonts w:cs="Arial"/>
          <w:sz w:val="18"/>
          <w:szCs w:val="18"/>
        </w:rPr>
        <w:t xml:space="preserve">Notes: </w:t>
      </w:r>
    </w:p>
    <w:p w14:paraId="3F9FD569" w14:textId="77777777" w:rsidR="004853CC" w:rsidRDefault="000757CA" w:rsidP="00D44AF3">
      <w:pPr>
        <w:spacing w:after="160" w:line="259" w:lineRule="auto"/>
        <w:jc w:val="both"/>
        <w:rPr>
          <w:rFonts w:cs="Arial"/>
          <w:sz w:val="18"/>
          <w:szCs w:val="18"/>
        </w:rPr>
      </w:pPr>
      <w:r w:rsidRPr="00616F4F">
        <w:rPr>
          <w:rFonts w:cs="Arial"/>
          <w:sz w:val="18"/>
          <w:szCs w:val="18"/>
        </w:rPr>
        <w:t>The table shows the number of patients with incidents (PS patients) and without inc</w:t>
      </w:r>
      <w:r w:rsidR="004853CC">
        <w:rPr>
          <w:rFonts w:cs="Arial"/>
          <w:sz w:val="18"/>
          <w:szCs w:val="18"/>
        </w:rPr>
        <w:t>idents (control patients, all);</w:t>
      </w:r>
    </w:p>
    <w:p w14:paraId="0DD52A03" w14:textId="71CB001F" w:rsidR="004853CC" w:rsidRDefault="004853CC" w:rsidP="00D44AF3">
      <w:pPr>
        <w:spacing w:after="160" w:line="259" w:lineRule="auto"/>
        <w:jc w:val="both"/>
        <w:rPr>
          <w:rFonts w:cs="Arial"/>
          <w:sz w:val="18"/>
          <w:szCs w:val="18"/>
        </w:rPr>
      </w:pPr>
      <w:r>
        <w:rPr>
          <w:rFonts w:cs="Arial"/>
          <w:sz w:val="18"/>
          <w:szCs w:val="18"/>
        </w:rPr>
        <w:t xml:space="preserve">Control patients can be considered all patients at risk; </w:t>
      </w:r>
    </w:p>
    <w:p w14:paraId="142B2743" w14:textId="77777777" w:rsidR="004853CC" w:rsidRDefault="000757CA" w:rsidP="00D44AF3">
      <w:pPr>
        <w:spacing w:after="160" w:line="259" w:lineRule="auto"/>
        <w:jc w:val="both"/>
        <w:rPr>
          <w:rFonts w:cs="Arial"/>
          <w:sz w:val="18"/>
          <w:szCs w:val="18"/>
        </w:rPr>
      </w:pPr>
      <w:r w:rsidRPr="00616F4F">
        <w:rPr>
          <w:rFonts w:cs="Arial"/>
          <w:sz w:val="18"/>
          <w:szCs w:val="18"/>
        </w:rPr>
        <w:t>Propensity score estimation chooses matches from all control patients based on observable characteristics, and establishes a matched sample of control patients without incidents that is much smaller than a</w:t>
      </w:r>
      <w:r w:rsidR="004853CC">
        <w:rPr>
          <w:rFonts w:cs="Arial"/>
          <w:sz w:val="18"/>
          <w:szCs w:val="18"/>
        </w:rPr>
        <w:t xml:space="preserve">ll patients without incidents; </w:t>
      </w:r>
    </w:p>
    <w:p w14:paraId="43EA7F71" w14:textId="568DF973" w:rsidR="000757CA" w:rsidRDefault="000757CA" w:rsidP="00D44AF3">
      <w:pPr>
        <w:spacing w:after="160" w:line="259" w:lineRule="auto"/>
        <w:jc w:val="both"/>
        <w:rPr>
          <w:rFonts w:cs="Arial"/>
          <w:sz w:val="18"/>
          <w:szCs w:val="18"/>
        </w:rPr>
      </w:pPr>
      <w:r w:rsidRPr="00616F4F">
        <w:rPr>
          <w:rFonts w:cs="Arial"/>
          <w:sz w:val="18"/>
          <w:szCs w:val="18"/>
        </w:rPr>
        <w:t xml:space="preserve">A number of PS patients and quite a few control patients get dropped in the estimation because of missing observations on covariates. PS Patients off the common support, i.e. patients for whom a match cannot be found because there is no control patient with a sufficiently similar propensity score, are dropped from the analysis. </w:t>
      </w:r>
    </w:p>
    <w:p w14:paraId="3D6C30D3" w14:textId="6028E748" w:rsidR="0068525B" w:rsidRDefault="0068525B" w:rsidP="00D44AF3">
      <w:pPr>
        <w:spacing w:after="160" w:line="259" w:lineRule="auto"/>
        <w:jc w:val="both"/>
        <w:rPr>
          <w:rFonts w:cs="Arial"/>
          <w:sz w:val="18"/>
          <w:szCs w:val="18"/>
        </w:rPr>
      </w:pPr>
    </w:p>
    <w:p w14:paraId="371A7E72" w14:textId="11997ADC" w:rsidR="0068525B" w:rsidRDefault="0068525B" w:rsidP="00892AA4">
      <w:pPr>
        <w:pStyle w:val="Heading2"/>
        <w:rPr>
          <w:rFonts w:asciiTheme="minorHAnsi" w:hAnsiTheme="minorHAnsi" w:cs="Arial"/>
          <w:sz w:val="22"/>
          <w:szCs w:val="22"/>
        </w:rPr>
      </w:pPr>
      <w:bookmarkStart w:id="22" w:name="_Toc457312919"/>
      <w:r w:rsidRPr="00892AA4">
        <w:rPr>
          <w:rFonts w:asciiTheme="minorHAnsi" w:hAnsiTheme="minorHAnsi" w:cs="Arial"/>
          <w:sz w:val="22"/>
          <w:szCs w:val="22"/>
        </w:rPr>
        <w:lastRenderedPageBreak/>
        <w:t xml:space="preserve">Table </w:t>
      </w:r>
      <w:r w:rsidR="00044AAA" w:rsidRPr="00892AA4">
        <w:rPr>
          <w:rFonts w:asciiTheme="minorHAnsi" w:hAnsiTheme="minorHAnsi" w:cs="Arial"/>
          <w:sz w:val="22"/>
          <w:szCs w:val="22"/>
        </w:rPr>
        <w:t>SDC</w:t>
      </w:r>
      <w:r w:rsidRPr="00892AA4">
        <w:rPr>
          <w:rFonts w:asciiTheme="minorHAnsi" w:hAnsiTheme="minorHAnsi" w:cs="Arial"/>
          <w:sz w:val="22"/>
          <w:szCs w:val="22"/>
        </w:rPr>
        <w:t>5: Estimates of hospital mortality risk for the matched samples across years</w:t>
      </w:r>
      <w:bookmarkEnd w:id="22"/>
    </w:p>
    <w:p w14:paraId="58AA1FF9" w14:textId="77777777" w:rsidR="00892AA4" w:rsidRPr="00892AA4" w:rsidRDefault="00892AA4" w:rsidP="00892AA4"/>
    <w:tbl>
      <w:tblPr>
        <w:tblStyle w:val="GridTable4-Accent11"/>
        <w:tblW w:w="7955" w:type="dxa"/>
        <w:tblLook w:val="04A0" w:firstRow="1" w:lastRow="0" w:firstColumn="1" w:lastColumn="0" w:noHBand="0" w:noVBand="1"/>
      </w:tblPr>
      <w:tblGrid>
        <w:gridCol w:w="1495"/>
        <w:gridCol w:w="1189"/>
        <w:gridCol w:w="973"/>
        <w:gridCol w:w="1081"/>
        <w:gridCol w:w="1297"/>
        <w:gridCol w:w="960"/>
        <w:gridCol w:w="960"/>
      </w:tblGrid>
      <w:tr w:rsidR="0068525B" w:rsidRPr="005906F9" w14:paraId="2915A8E2" w14:textId="77777777" w:rsidTr="0089430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0E719ACF" w14:textId="77777777" w:rsidR="0068525B" w:rsidRPr="005906F9" w:rsidRDefault="0068525B" w:rsidP="009964C1">
            <w:pPr>
              <w:spacing w:after="0" w:line="240" w:lineRule="auto"/>
              <w:rPr>
                <w:sz w:val="20"/>
                <w:szCs w:val="20"/>
                <w:lang w:eastAsia="zh-CN"/>
              </w:rPr>
            </w:pPr>
          </w:p>
        </w:tc>
        <w:tc>
          <w:tcPr>
            <w:tcW w:w="1189" w:type="dxa"/>
            <w:noWrap/>
            <w:hideMark/>
          </w:tcPr>
          <w:p w14:paraId="374C9DF0"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color w:val="000000"/>
                <w:lang w:eastAsia="zh-CN"/>
              </w:rPr>
            </w:pPr>
            <w:r w:rsidRPr="005906F9">
              <w:rPr>
                <w:color w:val="000000"/>
                <w:lang w:eastAsia="zh-CN"/>
              </w:rPr>
              <w:t> </w:t>
            </w:r>
          </w:p>
        </w:tc>
        <w:tc>
          <w:tcPr>
            <w:tcW w:w="973" w:type="dxa"/>
            <w:noWrap/>
            <w:hideMark/>
          </w:tcPr>
          <w:p w14:paraId="1153D682"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Treated</w:t>
            </w:r>
          </w:p>
        </w:tc>
        <w:tc>
          <w:tcPr>
            <w:tcW w:w="1081" w:type="dxa"/>
            <w:noWrap/>
            <w:hideMark/>
          </w:tcPr>
          <w:p w14:paraId="5858F64B"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Controls</w:t>
            </w:r>
          </w:p>
        </w:tc>
        <w:tc>
          <w:tcPr>
            <w:tcW w:w="1297" w:type="dxa"/>
            <w:noWrap/>
            <w:hideMark/>
          </w:tcPr>
          <w:p w14:paraId="67ED7682"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Difference</w:t>
            </w:r>
          </w:p>
        </w:tc>
        <w:tc>
          <w:tcPr>
            <w:tcW w:w="960" w:type="dxa"/>
            <w:noWrap/>
            <w:hideMark/>
          </w:tcPr>
          <w:p w14:paraId="1BE83C36"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S.E.</w:t>
            </w:r>
          </w:p>
        </w:tc>
        <w:tc>
          <w:tcPr>
            <w:tcW w:w="960" w:type="dxa"/>
            <w:noWrap/>
            <w:hideMark/>
          </w:tcPr>
          <w:p w14:paraId="375A9512"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color w:val="000000"/>
                <w:sz w:val="18"/>
                <w:szCs w:val="18"/>
                <w:lang w:eastAsia="zh-CN"/>
              </w:rPr>
            </w:pPr>
            <w:proofErr w:type="spellStart"/>
            <w:r w:rsidRPr="005906F9">
              <w:rPr>
                <w:rFonts w:cs="Courier New"/>
                <w:color w:val="000000"/>
                <w:sz w:val="18"/>
                <w:szCs w:val="18"/>
                <w:lang w:eastAsia="zh-CN"/>
              </w:rPr>
              <w:t>Tstat</w:t>
            </w:r>
            <w:proofErr w:type="spellEnd"/>
          </w:p>
        </w:tc>
      </w:tr>
      <w:tr w:rsidR="004C09D0" w:rsidRPr="005906F9" w14:paraId="5785B995"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3EFCBBAC" w14:textId="77777777" w:rsidR="004C09D0" w:rsidRPr="003B13AE" w:rsidRDefault="004C09D0" w:rsidP="004C09D0">
            <w:pPr>
              <w:spacing w:after="0" w:line="240" w:lineRule="auto"/>
              <w:rPr>
                <w:rFonts w:cs="Arial"/>
                <w:color w:val="000000"/>
                <w:sz w:val="18"/>
                <w:szCs w:val="18"/>
                <w:lang w:eastAsia="zh-CN"/>
              </w:rPr>
            </w:pPr>
            <w:r w:rsidRPr="003B13AE">
              <w:rPr>
                <w:rFonts w:cs="Arial"/>
                <w:color w:val="000000"/>
                <w:sz w:val="18"/>
                <w:szCs w:val="18"/>
                <w:lang w:eastAsia="zh-CN"/>
              </w:rPr>
              <w:t xml:space="preserve">Death in </w:t>
            </w:r>
          </w:p>
        </w:tc>
        <w:tc>
          <w:tcPr>
            <w:tcW w:w="1189" w:type="dxa"/>
            <w:noWrap/>
            <w:hideMark/>
          </w:tcPr>
          <w:p w14:paraId="00B87999" w14:textId="77777777" w:rsidR="004C09D0" w:rsidRPr="005906F9" w:rsidRDefault="004C09D0" w:rsidP="004C09D0">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2005/2006</w:t>
            </w:r>
          </w:p>
        </w:tc>
        <w:tc>
          <w:tcPr>
            <w:tcW w:w="973" w:type="dxa"/>
            <w:noWrap/>
            <w:hideMark/>
          </w:tcPr>
          <w:p w14:paraId="401D9A54" w14:textId="418E95DE"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1</w:t>
            </w:r>
          </w:p>
        </w:tc>
        <w:tc>
          <w:tcPr>
            <w:tcW w:w="1081" w:type="dxa"/>
            <w:noWrap/>
            <w:hideMark/>
          </w:tcPr>
          <w:p w14:paraId="4AB667C0" w14:textId="57947B6F"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0.05</w:t>
            </w:r>
          </w:p>
        </w:tc>
        <w:tc>
          <w:tcPr>
            <w:tcW w:w="1297" w:type="dxa"/>
            <w:noWrap/>
            <w:hideMark/>
          </w:tcPr>
          <w:p w14:paraId="52B710E2" w14:textId="49E3F75A"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0.95</w:t>
            </w:r>
          </w:p>
        </w:tc>
        <w:tc>
          <w:tcPr>
            <w:tcW w:w="960" w:type="dxa"/>
            <w:noWrap/>
            <w:hideMark/>
          </w:tcPr>
          <w:p w14:paraId="540F89AA" w14:textId="77777777"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w:t>
            </w:r>
          </w:p>
        </w:tc>
        <w:tc>
          <w:tcPr>
            <w:tcW w:w="960" w:type="dxa"/>
            <w:noWrap/>
            <w:hideMark/>
          </w:tcPr>
          <w:p w14:paraId="7321173F" w14:textId="77777777"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w:t>
            </w:r>
          </w:p>
        </w:tc>
      </w:tr>
      <w:tr w:rsidR="004C09D0" w:rsidRPr="005906F9" w14:paraId="18C0CED4"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402D5FF9" w14:textId="45F348DE" w:rsidR="004C09D0" w:rsidRPr="003B13AE" w:rsidRDefault="004C09D0" w:rsidP="004C09D0">
            <w:pPr>
              <w:spacing w:after="0" w:line="240" w:lineRule="auto"/>
              <w:rPr>
                <w:rFonts w:cs="Courier New"/>
                <w:color w:val="000000"/>
                <w:sz w:val="18"/>
                <w:szCs w:val="18"/>
                <w:lang w:eastAsia="zh-CN"/>
              </w:rPr>
            </w:pPr>
            <w:r w:rsidRPr="003B13AE">
              <w:rPr>
                <w:rFonts w:cs="Arial"/>
                <w:color w:val="000000"/>
                <w:sz w:val="18"/>
                <w:szCs w:val="18"/>
                <w:lang w:eastAsia="zh-CN"/>
              </w:rPr>
              <w:t xml:space="preserve">low-mortality </w:t>
            </w:r>
          </w:p>
        </w:tc>
        <w:tc>
          <w:tcPr>
            <w:tcW w:w="1189" w:type="dxa"/>
            <w:noWrap/>
            <w:hideMark/>
          </w:tcPr>
          <w:p w14:paraId="27C79AF1" w14:textId="77777777" w:rsidR="004C09D0" w:rsidRPr="005906F9" w:rsidRDefault="004C09D0" w:rsidP="004C09D0">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2006/2007</w:t>
            </w:r>
          </w:p>
        </w:tc>
        <w:tc>
          <w:tcPr>
            <w:tcW w:w="973" w:type="dxa"/>
            <w:noWrap/>
            <w:hideMark/>
          </w:tcPr>
          <w:p w14:paraId="2F8FCDF8" w14:textId="3BF7C832" w:rsidR="004C09D0" w:rsidRPr="005906F9" w:rsidRDefault="004C09D0" w:rsidP="004C09D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1</w:t>
            </w:r>
          </w:p>
        </w:tc>
        <w:tc>
          <w:tcPr>
            <w:tcW w:w="1081" w:type="dxa"/>
            <w:noWrap/>
            <w:hideMark/>
          </w:tcPr>
          <w:p w14:paraId="3ADD6255" w14:textId="1579EED5" w:rsidR="004C09D0" w:rsidRPr="005906F9" w:rsidRDefault="004C09D0" w:rsidP="004C09D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0.05</w:t>
            </w:r>
          </w:p>
        </w:tc>
        <w:tc>
          <w:tcPr>
            <w:tcW w:w="1297" w:type="dxa"/>
            <w:noWrap/>
            <w:hideMark/>
          </w:tcPr>
          <w:p w14:paraId="5A123C68" w14:textId="7544B828" w:rsidR="004C09D0" w:rsidRPr="005906F9" w:rsidRDefault="004C09D0" w:rsidP="004C09D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0.95</w:t>
            </w:r>
          </w:p>
        </w:tc>
        <w:tc>
          <w:tcPr>
            <w:tcW w:w="960" w:type="dxa"/>
            <w:noWrap/>
            <w:hideMark/>
          </w:tcPr>
          <w:p w14:paraId="08A44058" w14:textId="77777777" w:rsidR="004C09D0" w:rsidRPr="005906F9" w:rsidRDefault="004C09D0" w:rsidP="004C09D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w:t>
            </w:r>
          </w:p>
        </w:tc>
        <w:tc>
          <w:tcPr>
            <w:tcW w:w="960" w:type="dxa"/>
            <w:noWrap/>
            <w:hideMark/>
          </w:tcPr>
          <w:p w14:paraId="20452C4A" w14:textId="77777777" w:rsidR="004C09D0" w:rsidRPr="005906F9" w:rsidRDefault="004C09D0" w:rsidP="004C09D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w:t>
            </w:r>
          </w:p>
        </w:tc>
      </w:tr>
      <w:tr w:rsidR="004C09D0" w:rsidRPr="005906F9" w14:paraId="6FEBDD32"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37CB5A7B" w14:textId="77777777" w:rsidR="004C09D0" w:rsidRPr="003B13AE" w:rsidRDefault="004C09D0" w:rsidP="004C09D0">
            <w:pPr>
              <w:spacing w:after="0" w:line="240" w:lineRule="auto"/>
              <w:rPr>
                <w:rFonts w:cs="Courier New"/>
                <w:color w:val="000000"/>
                <w:sz w:val="18"/>
                <w:szCs w:val="18"/>
                <w:lang w:eastAsia="zh-CN"/>
              </w:rPr>
            </w:pPr>
            <w:r w:rsidRPr="003B13AE">
              <w:rPr>
                <w:rFonts w:cs="Arial"/>
                <w:color w:val="000000"/>
                <w:sz w:val="18"/>
                <w:szCs w:val="18"/>
                <w:lang w:eastAsia="zh-CN"/>
              </w:rPr>
              <w:t>HRGs</w:t>
            </w:r>
          </w:p>
        </w:tc>
        <w:tc>
          <w:tcPr>
            <w:tcW w:w="1189" w:type="dxa"/>
            <w:noWrap/>
            <w:hideMark/>
          </w:tcPr>
          <w:p w14:paraId="0F5AF4C2" w14:textId="77777777" w:rsidR="004C09D0" w:rsidRPr="005906F9" w:rsidRDefault="004C09D0" w:rsidP="004C09D0">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2007/2008</w:t>
            </w:r>
          </w:p>
        </w:tc>
        <w:tc>
          <w:tcPr>
            <w:tcW w:w="973" w:type="dxa"/>
            <w:noWrap/>
            <w:hideMark/>
          </w:tcPr>
          <w:p w14:paraId="2F6C6250" w14:textId="2F763D69"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1</w:t>
            </w:r>
          </w:p>
        </w:tc>
        <w:tc>
          <w:tcPr>
            <w:tcW w:w="1081" w:type="dxa"/>
            <w:noWrap/>
            <w:hideMark/>
          </w:tcPr>
          <w:p w14:paraId="6C045480" w14:textId="2983128D"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0.05</w:t>
            </w:r>
          </w:p>
        </w:tc>
        <w:tc>
          <w:tcPr>
            <w:tcW w:w="1297" w:type="dxa"/>
            <w:noWrap/>
            <w:hideMark/>
          </w:tcPr>
          <w:p w14:paraId="7D2AB09A" w14:textId="57DDAF7F"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0.95</w:t>
            </w:r>
          </w:p>
        </w:tc>
        <w:tc>
          <w:tcPr>
            <w:tcW w:w="960" w:type="dxa"/>
            <w:noWrap/>
            <w:hideMark/>
          </w:tcPr>
          <w:p w14:paraId="69C5F8C2" w14:textId="77777777"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w:t>
            </w:r>
          </w:p>
        </w:tc>
        <w:tc>
          <w:tcPr>
            <w:tcW w:w="960" w:type="dxa"/>
            <w:noWrap/>
            <w:hideMark/>
          </w:tcPr>
          <w:p w14:paraId="6AE50B35" w14:textId="77777777"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w:t>
            </w:r>
          </w:p>
        </w:tc>
      </w:tr>
      <w:tr w:rsidR="004C09D0" w:rsidRPr="005906F9" w14:paraId="43EE1E1D"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4691CB90" w14:textId="77777777" w:rsidR="004C09D0" w:rsidRPr="003B13AE" w:rsidRDefault="004C09D0" w:rsidP="004C09D0">
            <w:pPr>
              <w:spacing w:after="0" w:line="240" w:lineRule="auto"/>
              <w:jc w:val="right"/>
              <w:rPr>
                <w:rFonts w:cs="Courier New"/>
                <w:color w:val="000000"/>
                <w:sz w:val="18"/>
                <w:szCs w:val="18"/>
                <w:lang w:eastAsia="zh-CN"/>
              </w:rPr>
            </w:pPr>
          </w:p>
        </w:tc>
        <w:tc>
          <w:tcPr>
            <w:tcW w:w="1189" w:type="dxa"/>
            <w:noWrap/>
            <w:hideMark/>
          </w:tcPr>
          <w:p w14:paraId="623B2BA7" w14:textId="77777777" w:rsidR="004C09D0" w:rsidRPr="005906F9" w:rsidRDefault="004C09D0" w:rsidP="004C09D0">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2008/2009</w:t>
            </w:r>
          </w:p>
        </w:tc>
        <w:tc>
          <w:tcPr>
            <w:tcW w:w="973" w:type="dxa"/>
            <w:noWrap/>
            <w:hideMark/>
          </w:tcPr>
          <w:p w14:paraId="1306856E" w14:textId="44C27905" w:rsidR="004C09D0" w:rsidRPr="005906F9" w:rsidRDefault="004C09D0" w:rsidP="004C09D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1</w:t>
            </w:r>
          </w:p>
        </w:tc>
        <w:tc>
          <w:tcPr>
            <w:tcW w:w="1081" w:type="dxa"/>
            <w:noWrap/>
            <w:hideMark/>
          </w:tcPr>
          <w:p w14:paraId="7C3985AE" w14:textId="7ECC5F8F" w:rsidR="004C09D0" w:rsidRPr="005906F9" w:rsidRDefault="004C09D0" w:rsidP="004C09D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0.05</w:t>
            </w:r>
          </w:p>
        </w:tc>
        <w:tc>
          <w:tcPr>
            <w:tcW w:w="1297" w:type="dxa"/>
            <w:noWrap/>
            <w:hideMark/>
          </w:tcPr>
          <w:p w14:paraId="45CA514E" w14:textId="6AA1FEA7" w:rsidR="004C09D0" w:rsidRPr="005906F9" w:rsidRDefault="004C09D0" w:rsidP="004C09D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0.95</w:t>
            </w:r>
          </w:p>
        </w:tc>
        <w:tc>
          <w:tcPr>
            <w:tcW w:w="960" w:type="dxa"/>
            <w:noWrap/>
            <w:hideMark/>
          </w:tcPr>
          <w:p w14:paraId="7D9E0928" w14:textId="77777777" w:rsidR="004C09D0" w:rsidRPr="005906F9" w:rsidRDefault="004C09D0" w:rsidP="004C09D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w:t>
            </w:r>
          </w:p>
        </w:tc>
        <w:tc>
          <w:tcPr>
            <w:tcW w:w="960" w:type="dxa"/>
            <w:noWrap/>
            <w:hideMark/>
          </w:tcPr>
          <w:p w14:paraId="32D22BFC" w14:textId="77777777" w:rsidR="004C09D0" w:rsidRPr="005906F9" w:rsidRDefault="004C09D0" w:rsidP="004C09D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w:t>
            </w:r>
          </w:p>
        </w:tc>
      </w:tr>
      <w:tr w:rsidR="004C09D0" w:rsidRPr="005906F9" w14:paraId="3816D7BC"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210627E3" w14:textId="77777777" w:rsidR="004C09D0" w:rsidRPr="003B13AE" w:rsidRDefault="004C09D0" w:rsidP="004C09D0">
            <w:pPr>
              <w:spacing w:after="0" w:line="240" w:lineRule="auto"/>
              <w:jc w:val="right"/>
              <w:rPr>
                <w:rFonts w:cs="Courier New"/>
                <w:color w:val="000000"/>
                <w:sz w:val="18"/>
                <w:szCs w:val="18"/>
                <w:lang w:eastAsia="zh-CN"/>
              </w:rPr>
            </w:pPr>
          </w:p>
        </w:tc>
        <w:tc>
          <w:tcPr>
            <w:tcW w:w="1189" w:type="dxa"/>
            <w:noWrap/>
            <w:hideMark/>
          </w:tcPr>
          <w:p w14:paraId="0434F1C8" w14:textId="77777777" w:rsidR="004C09D0" w:rsidRPr="005906F9" w:rsidRDefault="004C09D0" w:rsidP="004C09D0">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2009/2010</w:t>
            </w:r>
          </w:p>
        </w:tc>
        <w:tc>
          <w:tcPr>
            <w:tcW w:w="973" w:type="dxa"/>
            <w:noWrap/>
            <w:hideMark/>
          </w:tcPr>
          <w:p w14:paraId="7E2C2F9D" w14:textId="4BC129F8"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1</w:t>
            </w:r>
          </w:p>
        </w:tc>
        <w:tc>
          <w:tcPr>
            <w:tcW w:w="1081" w:type="dxa"/>
            <w:noWrap/>
            <w:hideMark/>
          </w:tcPr>
          <w:p w14:paraId="002B8F74" w14:textId="1CA776A0"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0.05</w:t>
            </w:r>
          </w:p>
        </w:tc>
        <w:tc>
          <w:tcPr>
            <w:tcW w:w="1297" w:type="dxa"/>
            <w:noWrap/>
            <w:hideMark/>
          </w:tcPr>
          <w:p w14:paraId="222AFA88" w14:textId="6DB33A0C"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Pr>
                <w:rFonts w:cs="Courier New"/>
                <w:color w:val="000000"/>
                <w:sz w:val="18"/>
                <w:szCs w:val="18"/>
                <w:lang w:eastAsia="zh-CN"/>
              </w:rPr>
              <w:t>0.95</w:t>
            </w:r>
          </w:p>
        </w:tc>
        <w:tc>
          <w:tcPr>
            <w:tcW w:w="960" w:type="dxa"/>
            <w:noWrap/>
            <w:hideMark/>
          </w:tcPr>
          <w:p w14:paraId="65D9FF62" w14:textId="77777777"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w:t>
            </w:r>
          </w:p>
        </w:tc>
        <w:tc>
          <w:tcPr>
            <w:tcW w:w="960" w:type="dxa"/>
            <w:noWrap/>
            <w:hideMark/>
          </w:tcPr>
          <w:p w14:paraId="772741DE" w14:textId="77777777" w:rsidR="004C09D0" w:rsidRPr="005906F9" w:rsidRDefault="004C09D0" w:rsidP="004C09D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w:t>
            </w:r>
          </w:p>
        </w:tc>
      </w:tr>
      <w:tr w:rsidR="0068525B" w:rsidRPr="005906F9" w14:paraId="14CB8FD2"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5F5F2B53" w14:textId="77777777" w:rsidR="0068525B" w:rsidRPr="003B13AE" w:rsidRDefault="0068525B" w:rsidP="009964C1">
            <w:pPr>
              <w:spacing w:after="0" w:line="240" w:lineRule="auto"/>
              <w:rPr>
                <w:rFonts w:cs="Arial"/>
                <w:color w:val="000000"/>
                <w:sz w:val="18"/>
                <w:szCs w:val="18"/>
                <w:lang w:eastAsia="zh-CN"/>
              </w:rPr>
            </w:pPr>
            <w:r w:rsidRPr="003B13AE">
              <w:rPr>
                <w:rFonts w:cs="Arial"/>
                <w:color w:val="000000"/>
                <w:sz w:val="18"/>
                <w:szCs w:val="18"/>
                <w:lang w:eastAsia="zh-CN"/>
              </w:rPr>
              <w:t xml:space="preserve">Decubitus </w:t>
            </w:r>
          </w:p>
        </w:tc>
        <w:tc>
          <w:tcPr>
            <w:tcW w:w="1189" w:type="dxa"/>
            <w:noWrap/>
            <w:hideMark/>
          </w:tcPr>
          <w:p w14:paraId="610DFBCC"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2005/2006</w:t>
            </w:r>
          </w:p>
        </w:tc>
        <w:tc>
          <w:tcPr>
            <w:tcW w:w="973" w:type="dxa"/>
            <w:noWrap/>
            <w:hideMark/>
          </w:tcPr>
          <w:p w14:paraId="7081A97B"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0.3</w:t>
            </w:r>
          </w:p>
        </w:tc>
        <w:tc>
          <w:tcPr>
            <w:tcW w:w="1081" w:type="dxa"/>
            <w:noWrap/>
            <w:hideMark/>
          </w:tcPr>
          <w:p w14:paraId="394FD4DC"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0.14</w:t>
            </w:r>
          </w:p>
        </w:tc>
        <w:tc>
          <w:tcPr>
            <w:tcW w:w="1297" w:type="dxa"/>
            <w:noWrap/>
            <w:hideMark/>
          </w:tcPr>
          <w:p w14:paraId="46A5DB75"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0.16</w:t>
            </w:r>
          </w:p>
        </w:tc>
        <w:tc>
          <w:tcPr>
            <w:tcW w:w="960" w:type="dxa"/>
            <w:noWrap/>
            <w:hideMark/>
          </w:tcPr>
          <w:p w14:paraId="63E0E1AE"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0.005</w:t>
            </w:r>
          </w:p>
        </w:tc>
        <w:tc>
          <w:tcPr>
            <w:tcW w:w="960" w:type="dxa"/>
            <w:noWrap/>
            <w:hideMark/>
          </w:tcPr>
          <w:p w14:paraId="453EC9AB"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32.82</w:t>
            </w:r>
          </w:p>
        </w:tc>
      </w:tr>
      <w:tr w:rsidR="0068525B" w:rsidRPr="005906F9" w14:paraId="0C56E564"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605937F0" w14:textId="77777777" w:rsidR="0068525B" w:rsidRPr="003B13AE" w:rsidRDefault="0068525B" w:rsidP="009964C1">
            <w:pPr>
              <w:spacing w:after="0" w:line="240" w:lineRule="auto"/>
              <w:rPr>
                <w:rFonts w:cs="Courier New"/>
                <w:color w:val="000000"/>
                <w:sz w:val="18"/>
                <w:szCs w:val="18"/>
                <w:lang w:eastAsia="zh-CN"/>
              </w:rPr>
            </w:pPr>
            <w:r w:rsidRPr="003B13AE">
              <w:rPr>
                <w:rFonts w:cs="Arial"/>
                <w:color w:val="000000"/>
                <w:sz w:val="18"/>
                <w:szCs w:val="18"/>
                <w:lang w:eastAsia="zh-CN"/>
              </w:rPr>
              <w:t>Ulcer</w:t>
            </w:r>
          </w:p>
        </w:tc>
        <w:tc>
          <w:tcPr>
            <w:tcW w:w="1189" w:type="dxa"/>
            <w:noWrap/>
            <w:hideMark/>
          </w:tcPr>
          <w:p w14:paraId="59C3EB6C"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2006/2007</w:t>
            </w:r>
          </w:p>
        </w:tc>
        <w:tc>
          <w:tcPr>
            <w:tcW w:w="973" w:type="dxa"/>
            <w:noWrap/>
            <w:hideMark/>
          </w:tcPr>
          <w:p w14:paraId="4C2B6407"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0.3</w:t>
            </w:r>
          </w:p>
        </w:tc>
        <w:tc>
          <w:tcPr>
            <w:tcW w:w="1081" w:type="dxa"/>
            <w:noWrap/>
            <w:hideMark/>
          </w:tcPr>
          <w:p w14:paraId="37A9398F"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0.14</w:t>
            </w:r>
          </w:p>
        </w:tc>
        <w:tc>
          <w:tcPr>
            <w:tcW w:w="1297" w:type="dxa"/>
            <w:noWrap/>
            <w:hideMark/>
          </w:tcPr>
          <w:p w14:paraId="7211F4B1"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0.16</w:t>
            </w:r>
          </w:p>
        </w:tc>
        <w:tc>
          <w:tcPr>
            <w:tcW w:w="960" w:type="dxa"/>
            <w:noWrap/>
            <w:hideMark/>
          </w:tcPr>
          <w:p w14:paraId="35E53106"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0.004</w:t>
            </w:r>
          </w:p>
        </w:tc>
        <w:tc>
          <w:tcPr>
            <w:tcW w:w="960" w:type="dxa"/>
            <w:noWrap/>
            <w:hideMark/>
          </w:tcPr>
          <w:p w14:paraId="34967D6F"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36.58</w:t>
            </w:r>
          </w:p>
        </w:tc>
      </w:tr>
      <w:tr w:rsidR="0068525B" w:rsidRPr="005906F9" w14:paraId="0CBD054F"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7CAAED8A"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4467BA8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2007/2008</w:t>
            </w:r>
          </w:p>
        </w:tc>
        <w:tc>
          <w:tcPr>
            <w:tcW w:w="973" w:type="dxa"/>
            <w:noWrap/>
            <w:hideMark/>
          </w:tcPr>
          <w:p w14:paraId="5A6B7607"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0.29</w:t>
            </w:r>
          </w:p>
        </w:tc>
        <w:tc>
          <w:tcPr>
            <w:tcW w:w="1081" w:type="dxa"/>
            <w:noWrap/>
            <w:hideMark/>
          </w:tcPr>
          <w:p w14:paraId="679BD217"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0.14</w:t>
            </w:r>
          </w:p>
        </w:tc>
        <w:tc>
          <w:tcPr>
            <w:tcW w:w="1297" w:type="dxa"/>
            <w:noWrap/>
            <w:hideMark/>
          </w:tcPr>
          <w:p w14:paraId="5FD7BD9B"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0.15</w:t>
            </w:r>
          </w:p>
        </w:tc>
        <w:tc>
          <w:tcPr>
            <w:tcW w:w="960" w:type="dxa"/>
            <w:noWrap/>
            <w:hideMark/>
          </w:tcPr>
          <w:p w14:paraId="7291C9CF"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0.004</w:t>
            </w:r>
          </w:p>
        </w:tc>
        <w:tc>
          <w:tcPr>
            <w:tcW w:w="960" w:type="dxa"/>
            <w:noWrap/>
            <w:hideMark/>
          </w:tcPr>
          <w:p w14:paraId="5DF7F69E"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35.5</w:t>
            </w:r>
          </w:p>
        </w:tc>
      </w:tr>
      <w:tr w:rsidR="0068525B" w:rsidRPr="005906F9" w14:paraId="2613E977"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4A816F7B"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629E9BF8"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2008/2009</w:t>
            </w:r>
          </w:p>
        </w:tc>
        <w:tc>
          <w:tcPr>
            <w:tcW w:w="973" w:type="dxa"/>
            <w:noWrap/>
            <w:hideMark/>
          </w:tcPr>
          <w:p w14:paraId="79D27493"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0.28</w:t>
            </w:r>
          </w:p>
        </w:tc>
        <w:tc>
          <w:tcPr>
            <w:tcW w:w="1081" w:type="dxa"/>
            <w:noWrap/>
            <w:hideMark/>
          </w:tcPr>
          <w:p w14:paraId="19CF126E"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0.13</w:t>
            </w:r>
          </w:p>
        </w:tc>
        <w:tc>
          <w:tcPr>
            <w:tcW w:w="1297" w:type="dxa"/>
            <w:noWrap/>
            <w:hideMark/>
          </w:tcPr>
          <w:p w14:paraId="3802D682"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0.14</w:t>
            </w:r>
          </w:p>
        </w:tc>
        <w:tc>
          <w:tcPr>
            <w:tcW w:w="960" w:type="dxa"/>
            <w:noWrap/>
            <w:hideMark/>
          </w:tcPr>
          <w:p w14:paraId="5FEC1D2E"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0.004</w:t>
            </w:r>
          </w:p>
        </w:tc>
        <w:tc>
          <w:tcPr>
            <w:tcW w:w="960" w:type="dxa"/>
            <w:noWrap/>
            <w:hideMark/>
          </w:tcPr>
          <w:p w14:paraId="00285365"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37.13</w:t>
            </w:r>
          </w:p>
        </w:tc>
      </w:tr>
      <w:tr w:rsidR="0068525B" w:rsidRPr="005906F9" w14:paraId="493974DE"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64F02E4E"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6D2D57C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2009/2010</w:t>
            </w:r>
          </w:p>
        </w:tc>
        <w:tc>
          <w:tcPr>
            <w:tcW w:w="973" w:type="dxa"/>
            <w:noWrap/>
            <w:hideMark/>
          </w:tcPr>
          <w:p w14:paraId="7F8D4747"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0.28</w:t>
            </w:r>
          </w:p>
        </w:tc>
        <w:tc>
          <w:tcPr>
            <w:tcW w:w="1081" w:type="dxa"/>
            <w:noWrap/>
            <w:hideMark/>
          </w:tcPr>
          <w:p w14:paraId="69F474D6"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0.13</w:t>
            </w:r>
          </w:p>
        </w:tc>
        <w:tc>
          <w:tcPr>
            <w:tcW w:w="1297" w:type="dxa"/>
            <w:noWrap/>
            <w:hideMark/>
          </w:tcPr>
          <w:p w14:paraId="6233344B"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0.15</w:t>
            </w:r>
          </w:p>
        </w:tc>
        <w:tc>
          <w:tcPr>
            <w:tcW w:w="960" w:type="dxa"/>
            <w:noWrap/>
            <w:hideMark/>
          </w:tcPr>
          <w:p w14:paraId="616A196E"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0.004</w:t>
            </w:r>
          </w:p>
        </w:tc>
        <w:tc>
          <w:tcPr>
            <w:tcW w:w="960" w:type="dxa"/>
            <w:noWrap/>
            <w:hideMark/>
          </w:tcPr>
          <w:p w14:paraId="3E5E784A"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42.62</w:t>
            </w:r>
          </w:p>
        </w:tc>
      </w:tr>
      <w:tr w:rsidR="0068525B" w:rsidRPr="005906F9" w14:paraId="2C03623D"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3C453527" w14:textId="77777777" w:rsidR="0068525B" w:rsidRPr="003B13AE" w:rsidRDefault="0068525B" w:rsidP="009964C1">
            <w:pPr>
              <w:spacing w:after="0" w:line="240" w:lineRule="auto"/>
              <w:rPr>
                <w:color w:val="000000"/>
                <w:sz w:val="18"/>
                <w:szCs w:val="18"/>
                <w:lang w:eastAsia="zh-CN"/>
              </w:rPr>
            </w:pPr>
            <w:r w:rsidRPr="003B13AE">
              <w:rPr>
                <w:color w:val="000000"/>
                <w:sz w:val="18"/>
                <w:szCs w:val="18"/>
                <w:lang w:eastAsia="zh-CN"/>
              </w:rPr>
              <w:t xml:space="preserve">Central Line </w:t>
            </w:r>
          </w:p>
        </w:tc>
        <w:tc>
          <w:tcPr>
            <w:tcW w:w="1189" w:type="dxa"/>
            <w:noWrap/>
            <w:hideMark/>
          </w:tcPr>
          <w:p w14:paraId="4614DE1A"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2005/2006</w:t>
            </w:r>
          </w:p>
        </w:tc>
        <w:tc>
          <w:tcPr>
            <w:tcW w:w="973" w:type="dxa"/>
            <w:noWrap/>
            <w:hideMark/>
          </w:tcPr>
          <w:p w14:paraId="2999697B"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0.11</w:t>
            </w:r>
          </w:p>
        </w:tc>
        <w:tc>
          <w:tcPr>
            <w:tcW w:w="1081" w:type="dxa"/>
            <w:noWrap/>
            <w:hideMark/>
          </w:tcPr>
          <w:p w14:paraId="7D706BF2"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0.08</w:t>
            </w:r>
          </w:p>
        </w:tc>
        <w:tc>
          <w:tcPr>
            <w:tcW w:w="1297" w:type="dxa"/>
            <w:noWrap/>
            <w:hideMark/>
          </w:tcPr>
          <w:p w14:paraId="5CEA2211"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0.03</w:t>
            </w:r>
          </w:p>
        </w:tc>
        <w:tc>
          <w:tcPr>
            <w:tcW w:w="960" w:type="dxa"/>
            <w:noWrap/>
            <w:hideMark/>
          </w:tcPr>
          <w:p w14:paraId="1D29C975"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0.017</w:t>
            </w:r>
          </w:p>
        </w:tc>
        <w:tc>
          <w:tcPr>
            <w:tcW w:w="960" w:type="dxa"/>
            <w:noWrap/>
            <w:hideMark/>
          </w:tcPr>
          <w:p w14:paraId="67225AD4"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1.53</w:t>
            </w:r>
          </w:p>
        </w:tc>
      </w:tr>
      <w:tr w:rsidR="0068525B" w:rsidRPr="005906F9" w14:paraId="7A397B07"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18DC953B" w14:textId="77777777" w:rsidR="0068525B" w:rsidRPr="003B13AE" w:rsidRDefault="0068525B" w:rsidP="009964C1">
            <w:pPr>
              <w:spacing w:after="0" w:line="240" w:lineRule="auto"/>
              <w:rPr>
                <w:rFonts w:cs="Courier New"/>
                <w:color w:val="000000"/>
                <w:sz w:val="18"/>
                <w:szCs w:val="18"/>
                <w:lang w:eastAsia="zh-CN"/>
              </w:rPr>
            </w:pPr>
            <w:r w:rsidRPr="003B13AE">
              <w:rPr>
                <w:color w:val="000000"/>
                <w:sz w:val="18"/>
                <w:szCs w:val="18"/>
                <w:lang w:eastAsia="zh-CN"/>
              </w:rPr>
              <w:t>Infections</w:t>
            </w:r>
          </w:p>
        </w:tc>
        <w:tc>
          <w:tcPr>
            <w:tcW w:w="1189" w:type="dxa"/>
            <w:noWrap/>
            <w:hideMark/>
          </w:tcPr>
          <w:p w14:paraId="6155AE75"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2006/2007</w:t>
            </w:r>
          </w:p>
        </w:tc>
        <w:tc>
          <w:tcPr>
            <w:tcW w:w="973" w:type="dxa"/>
            <w:noWrap/>
            <w:hideMark/>
          </w:tcPr>
          <w:p w14:paraId="2F1296EC"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w:t>
            </w:r>
          </w:p>
        </w:tc>
        <w:tc>
          <w:tcPr>
            <w:tcW w:w="1081" w:type="dxa"/>
            <w:noWrap/>
            <w:hideMark/>
          </w:tcPr>
          <w:p w14:paraId="77349C18"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0.09</w:t>
            </w:r>
          </w:p>
        </w:tc>
        <w:tc>
          <w:tcPr>
            <w:tcW w:w="1297" w:type="dxa"/>
            <w:noWrap/>
            <w:hideMark/>
          </w:tcPr>
          <w:p w14:paraId="3855460C"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0.01</w:t>
            </w:r>
          </w:p>
        </w:tc>
        <w:tc>
          <w:tcPr>
            <w:tcW w:w="960" w:type="dxa"/>
            <w:noWrap/>
            <w:hideMark/>
          </w:tcPr>
          <w:p w14:paraId="3A6D019E"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0.016</w:t>
            </w:r>
          </w:p>
        </w:tc>
        <w:tc>
          <w:tcPr>
            <w:tcW w:w="960" w:type="dxa"/>
            <w:noWrap/>
            <w:hideMark/>
          </w:tcPr>
          <w:p w14:paraId="02E3DA47"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0.71</w:t>
            </w:r>
          </w:p>
        </w:tc>
      </w:tr>
      <w:tr w:rsidR="0068525B" w:rsidRPr="005906F9" w14:paraId="6C0DF2CD"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0A31C651"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3291C4E7"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2007/2008</w:t>
            </w:r>
          </w:p>
        </w:tc>
        <w:tc>
          <w:tcPr>
            <w:tcW w:w="973" w:type="dxa"/>
            <w:noWrap/>
            <w:hideMark/>
          </w:tcPr>
          <w:p w14:paraId="1D3BA398"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w:t>
            </w:r>
          </w:p>
        </w:tc>
        <w:tc>
          <w:tcPr>
            <w:tcW w:w="1081" w:type="dxa"/>
            <w:noWrap/>
            <w:hideMark/>
          </w:tcPr>
          <w:p w14:paraId="13FFB13F"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0.09</w:t>
            </w:r>
          </w:p>
        </w:tc>
        <w:tc>
          <w:tcPr>
            <w:tcW w:w="1297" w:type="dxa"/>
            <w:noWrap/>
            <w:hideMark/>
          </w:tcPr>
          <w:p w14:paraId="533F8C1C"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0.01</w:t>
            </w:r>
          </w:p>
        </w:tc>
        <w:tc>
          <w:tcPr>
            <w:tcW w:w="960" w:type="dxa"/>
            <w:noWrap/>
            <w:hideMark/>
          </w:tcPr>
          <w:p w14:paraId="47EF004A"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0.016</w:t>
            </w:r>
          </w:p>
        </w:tc>
        <w:tc>
          <w:tcPr>
            <w:tcW w:w="960" w:type="dxa"/>
            <w:noWrap/>
            <w:hideMark/>
          </w:tcPr>
          <w:p w14:paraId="36EAE2DC"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0.92</w:t>
            </w:r>
          </w:p>
        </w:tc>
      </w:tr>
      <w:tr w:rsidR="0068525B" w:rsidRPr="005906F9" w14:paraId="7A114EAA"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6E289D5A"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272981B4"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2008/2009</w:t>
            </w:r>
          </w:p>
        </w:tc>
        <w:tc>
          <w:tcPr>
            <w:tcW w:w="973" w:type="dxa"/>
            <w:noWrap/>
            <w:hideMark/>
          </w:tcPr>
          <w:p w14:paraId="7E61A18A"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0.09</w:t>
            </w:r>
          </w:p>
        </w:tc>
        <w:tc>
          <w:tcPr>
            <w:tcW w:w="1081" w:type="dxa"/>
            <w:noWrap/>
            <w:hideMark/>
          </w:tcPr>
          <w:p w14:paraId="027F3275"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0.09</w:t>
            </w:r>
          </w:p>
        </w:tc>
        <w:tc>
          <w:tcPr>
            <w:tcW w:w="1297" w:type="dxa"/>
            <w:noWrap/>
            <w:hideMark/>
          </w:tcPr>
          <w:p w14:paraId="64BF67C7"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w:t>
            </w:r>
          </w:p>
        </w:tc>
        <w:tc>
          <w:tcPr>
            <w:tcW w:w="960" w:type="dxa"/>
            <w:noWrap/>
            <w:hideMark/>
          </w:tcPr>
          <w:p w14:paraId="1DFD1CC2"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0.018</w:t>
            </w:r>
          </w:p>
        </w:tc>
        <w:tc>
          <w:tcPr>
            <w:tcW w:w="960" w:type="dxa"/>
            <w:noWrap/>
            <w:hideMark/>
          </w:tcPr>
          <w:p w14:paraId="1244F254"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w:t>
            </w:r>
          </w:p>
        </w:tc>
      </w:tr>
      <w:tr w:rsidR="0068525B" w:rsidRPr="005906F9" w14:paraId="0FDC0476"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0503BAE9"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7B262687"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2009/2010</w:t>
            </w:r>
          </w:p>
        </w:tc>
        <w:tc>
          <w:tcPr>
            <w:tcW w:w="973" w:type="dxa"/>
            <w:noWrap/>
            <w:hideMark/>
          </w:tcPr>
          <w:p w14:paraId="01A0F77E"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0.09</w:t>
            </w:r>
          </w:p>
        </w:tc>
        <w:tc>
          <w:tcPr>
            <w:tcW w:w="1081" w:type="dxa"/>
            <w:noWrap/>
            <w:hideMark/>
          </w:tcPr>
          <w:p w14:paraId="1743465D"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0.07</w:t>
            </w:r>
          </w:p>
        </w:tc>
        <w:tc>
          <w:tcPr>
            <w:tcW w:w="1297" w:type="dxa"/>
            <w:noWrap/>
            <w:hideMark/>
          </w:tcPr>
          <w:p w14:paraId="0AEF09FF"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0.02</w:t>
            </w:r>
          </w:p>
        </w:tc>
        <w:tc>
          <w:tcPr>
            <w:tcW w:w="960" w:type="dxa"/>
            <w:noWrap/>
            <w:hideMark/>
          </w:tcPr>
          <w:p w14:paraId="0F5F4110"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0.019</w:t>
            </w:r>
          </w:p>
        </w:tc>
        <w:tc>
          <w:tcPr>
            <w:tcW w:w="960" w:type="dxa"/>
            <w:noWrap/>
            <w:hideMark/>
          </w:tcPr>
          <w:p w14:paraId="544FAE3C"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0.83</w:t>
            </w:r>
          </w:p>
        </w:tc>
      </w:tr>
      <w:tr w:rsidR="0068525B" w:rsidRPr="005906F9" w14:paraId="4CBAE8A0"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06A3D7C5" w14:textId="77777777" w:rsidR="0068525B" w:rsidRPr="003B13AE" w:rsidRDefault="0068525B" w:rsidP="009964C1">
            <w:pPr>
              <w:spacing w:after="0" w:line="240" w:lineRule="auto"/>
              <w:rPr>
                <w:color w:val="000000"/>
                <w:sz w:val="18"/>
                <w:szCs w:val="18"/>
                <w:lang w:eastAsia="zh-CN"/>
              </w:rPr>
            </w:pPr>
            <w:r w:rsidRPr="003B13AE">
              <w:rPr>
                <w:color w:val="000000"/>
                <w:sz w:val="18"/>
                <w:szCs w:val="18"/>
                <w:lang w:eastAsia="zh-CN"/>
              </w:rPr>
              <w:t xml:space="preserve">Postoperative </w:t>
            </w:r>
          </w:p>
        </w:tc>
        <w:tc>
          <w:tcPr>
            <w:tcW w:w="1189" w:type="dxa"/>
            <w:noWrap/>
            <w:hideMark/>
          </w:tcPr>
          <w:p w14:paraId="56995D2F"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2005/2006</w:t>
            </w:r>
          </w:p>
        </w:tc>
        <w:tc>
          <w:tcPr>
            <w:tcW w:w="973" w:type="dxa"/>
            <w:noWrap/>
            <w:hideMark/>
          </w:tcPr>
          <w:p w14:paraId="5498ABE4"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0.19</w:t>
            </w:r>
          </w:p>
        </w:tc>
        <w:tc>
          <w:tcPr>
            <w:tcW w:w="1081" w:type="dxa"/>
            <w:noWrap/>
            <w:hideMark/>
          </w:tcPr>
          <w:p w14:paraId="00071F2D"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0.08</w:t>
            </w:r>
          </w:p>
        </w:tc>
        <w:tc>
          <w:tcPr>
            <w:tcW w:w="1297" w:type="dxa"/>
            <w:noWrap/>
            <w:hideMark/>
          </w:tcPr>
          <w:p w14:paraId="2C43B08E"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0.11</w:t>
            </w:r>
          </w:p>
        </w:tc>
        <w:tc>
          <w:tcPr>
            <w:tcW w:w="960" w:type="dxa"/>
            <w:noWrap/>
            <w:hideMark/>
          </w:tcPr>
          <w:p w14:paraId="3BD8FBB3"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0.032</w:t>
            </w:r>
          </w:p>
        </w:tc>
        <w:tc>
          <w:tcPr>
            <w:tcW w:w="960" w:type="dxa"/>
            <w:noWrap/>
            <w:hideMark/>
          </w:tcPr>
          <w:p w14:paraId="0E3CC76A"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3.48</w:t>
            </w:r>
          </w:p>
        </w:tc>
      </w:tr>
      <w:tr w:rsidR="0068525B" w:rsidRPr="005906F9" w14:paraId="4E067249"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397B2807" w14:textId="77777777" w:rsidR="0068525B" w:rsidRPr="003B13AE" w:rsidRDefault="0068525B" w:rsidP="009964C1">
            <w:pPr>
              <w:spacing w:after="0" w:line="240" w:lineRule="auto"/>
              <w:rPr>
                <w:rFonts w:cs="Courier New"/>
                <w:color w:val="000000"/>
                <w:sz w:val="18"/>
                <w:szCs w:val="18"/>
                <w:lang w:eastAsia="zh-CN"/>
              </w:rPr>
            </w:pPr>
            <w:r w:rsidRPr="003B13AE">
              <w:rPr>
                <w:color w:val="000000"/>
                <w:sz w:val="18"/>
                <w:szCs w:val="18"/>
                <w:lang w:eastAsia="zh-CN"/>
              </w:rPr>
              <w:t>Hip fracture</w:t>
            </w:r>
          </w:p>
        </w:tc>
        <w:tc>
          <w:tcPr>
            <w:tcW w:w="1189" w:type="dxa"/>
            <w:noWrap/>
            <w:hideMark/>
          </w:tcPr>
          <w:p w14:paraId="44BB6F95"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2006/2007</w:t>
            </w:r>
          </w:p>
        </w:tc>
        <w:tc>
          <w:tcPr>
            <w:tcW w:w="973" w:type="dxa"/>
            <w:noWrap/>
            <w:hideMark/>
          </w:tcPr>
          <w:p w14:paraId="65B47534"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0.26</w:t>
            </w:r>
          </w:p>
        </w:tc>
        <w:tc>
          <w:tcPr>
            <w:tcW w:w="1081" w:type="dxa"/>
            <w:noWrap/>
            <w:hideMark/>
          </w:tcPr>
          <w:p w14:paraId="57013012"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0.05</w:t>
            </w:r>
          </w:p>
        </w:tc>
        <w:tc>
          <w:tcPr>
            <w:tcW w:w="1297" w:type="dxa"/>
            <w:noWrap/>
            <w:hideMark/>
          </w:tcPr>
          <w:p w14:paraId="639DF6C2"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0.22</w:t>
            </w:r>
          </w:p>
        </w:tc>
        <w:tc>
          <w:tcPr>
            <w:tcW w:w="960" w:type="dxa"/>
            <w:noWrap/>
            <w:hideMark/>
          </w:tcPr>
          <w:p w14:paraId="3E10509C"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0.03</w:t>
            </w:r>
          </w:p>
        </w:tc>
        <w:tc>
          <w:tcPr>
            <w:tcW w:w="960" w:type="dxa"/>
            <w:noWrap/>
            <w:hideMark/>
          </w:tcPr>
          <w:p w14:paraId="12F14C3D"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7.28</w:t>
            </w:r>
          </w:p>
        </w:tc>
      </w:tr>
      <w:tr w:rsidR="0068525B" w:rsidRPr="005906F9" w14:paraId="2F4055E0"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685B4836"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10EE3CD3"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2007/2008</w:t>
            </w:r>
          </w:p>
        </w:tc>
        <w:tc>
          <w:tcPr>
            <w:tcW w:w="973" w:type="dxa"/>
            <w:noWrap/>
            <w:hideMark/>
          </w:tcPr>
          <w:p w14:paraId="1EA03223"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0.22</w:t>
            </w:r>
          </w:p>
        </w:tc>
        <w:tc>
          <w:tcPr>
            <w:tcW w:w="1081" w:type="dxa"/>
            <w:noWrap/>
            <w:hideMark/>
          </w:tcPr>
          <w:p w14:paraId="02B02722"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w:t>
            </w:r>
          </w:p>
        </w:tc>
        <w:tc>
          <w:tcPr>
            <w:tcW w:w="1297" w:type="dxa"/>
            <w:noWrap/>
            <w:hideMark/>
          </w:tcPr>
          <w:p w14:paraId="3ADA0297"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0.11</w:t>
            </w:r>
          </w:p>
        </w:tc>
        <w:tc>
          <w:tcPr>
            <w:tcW w:w="960" w:type="dxa"/>
            <w:noWrap/>
            <w:hideMark/>
          </w:tcPr>
          <w:p w14:paraId="58A24062"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0.031</w:t>
            </w:r>
          </w:p>
        </w:tc>
        <w:tc>
          <w:tcPr>
            <w:tcW w:w="960" w:type="dxa"/>
            <w:noWrap/>
            <w:hideMark/>
          </w:tcPr>
          <w:p w14:paraId="638CE52A"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3.55</w:t>
            </w:r>
          </w:p>
        </w:tc>
      </w:tr>
      <w:tr w:rsidR="0068525B" w:rsidRPr="005906F9" w14:paraId="1AC050C2"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522B2F24"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5DBC5DD4"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2008/2009</w:t>
            </w:r>
          </w:p>
        </w:tc>
        <w:tc>
          <w:tcPr>
            <w:tcW w:w="973" w:type="dxa"/>
            <w:noWrap/>
            <w:hideMark/>
          </w:tcPr>
          <w:p w14:paraId="1E68817C"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0.2</w:t>
            </w:r>
          </w:p>
        </w:tc>
        <w:tc>
          <w:tcPr>
            <w:tcW w:w="1081" w:type="dxa"/>
            <w:noWrap/>
            <w:hideMark/>
          </w:tcPr>
          <w:p w14:paraId="2A3C2201"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0.08</w:t>
            </w:r>
          </w:p>
        </w:tc>
        <w:tc>
          <w:tcPr>
            <w:tcW w:w="1297" w:type="dxa"/>
            <w:noWrap/>
            <w:hideMark/>
          </w:tcPr>
          <w:p w14:paraId="5FF13D6E"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0.12</w:t>
            </w:r>
          </w:p>
        </w:tc>
        <w:tc>
          <w:tcPr>
            <w:tcW w:w="960" w:type="dxa"/>
            <w:noWrap/>
            <w:hideMark/>
          </w:tcPr>
          <w:p w14:paraId="44CE8039"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0.028</w:t>
            </w:r>
          </w:p>
        </w:tc>
        <w:tc>
          <w:tcPr>
            <w:tcW w:w="960" w:type="dxa"/>
            <w:noWrap/>
            <w:hideMark/>
          </w:tcPr>
          <w:p w14:paraId="4119EDB0"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4.51</w:t>
            </w:r>
          </w:p>
        </w:tc>
      </w:tr>
      <w:tr w:rsidR="0068525B" w:rsidRPr="005906F9" w14:paraId="55397F09"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5EE6D174"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57FE4B12"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2009/2010</w:t>
            </w:r>
          </w:p>
        </w:tc>
        <w:tc>
          <w:tcPr>
            <w:tcW w:w="973" w:type="dxa"/>
            <w:noWrap/>
            <w:hideMark/>
          </w:tcPr>
          <w:p w14:paraId="5192DC03"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0.21</w:t>
            </w:r>
          </w:p>
        </w:tc>
        <w:tc>
          <w:tcPr>
            <w:tcW w:w="1081" w:type="dxa"/>
            <w:noWrap/>
            <w:hideMark/>
          </w:tcPr>
          <w:p w14:paraId="0A0F3D34"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0.07</w:t>
            </w:r>
          </w:p>
        </w:tc>
        <w:tc>
          <w:tcPr>
            <w:tcW w:w="1297" w:type="dxa"/>
            <w:noWrap/>
            <w:hideMark/>
          </w:tcPr>
          <w:p w14:paraId="05ABACC4"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0.14</w:t>
            </w:r>
          </w:p>
        </w:tc>
        <w:tc>
          <w:tcPr>
            <w:tcW w:w="960" w:type="dxa"/>
            <w:noWrap/>
            <w:hideMark/>
          </w:tcPr>
          <w:p w14:paraId="260F8983"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0.028</w:t>
            </w:r>
          </w:p>
        </w:tc>
        <w:tc>
          <w:tcPr>
            <w:tcW w:w="960" w:type="dxa"/>
            <w:noWrap/>
            <w:hideMark/>
          </w:tcPr>
          <w:p w14:paraId="3D1B23CF"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4.85</w:t>
            </w:r>
          </w:p>
        </w:tc>
      </w:tr>
      <w:tr w:rsidR="0068525B" w:rsidRPr="005906F9" w14:paraId="45ECFCC8"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19CB5703" w14:textId="77777777" w:rsidR="0068525B" w:rsidRPr="003B13AE" w:rsidRDefault="0068525B" w:rsidP="009964C1">
            <w:pPr>
              <w:spacing w:after="0" w:line="240" w:lineRule="auto"/>
              <w:rPr>
                <w:color w:val="000000"/>
                <w:sz w:val="18"/>
                <w:szCs w:val="18"/>
                <w:lang w:eastAsia="zh-CN"/>
              </w:rPr>
            </w:pPr>
            <w:r w:rsidRPr="003B13AE">
              <w:rPr>
                <w:color w:val="000000"/>
                <w:sz w:val="18"/>
                <w:szCs w:val="18"/>
                <w:lang w:eastAsia="zh-CN"/>
              </w:rPr>
              <w:t>DVT/PE</w:t>
            </w:r>
          </w:p>
        </w:tc>
        <w:tc>
          <w:tcPr>
            <w:tcW w:w="1189" w:type="dxa"/>
            <w:noWrap/>
            <w:hideMark/>
          </w:tcPr>
          <w:p w14:paraId="28D5C04B"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2005/2006</w:t>
            </w:r>
          </w:p>
        </w:tc>
        <w:tc>
          <w:tcPr>
            <w:tcW w:w="973" w:type="dxa"/>
            <w:noWrap/>
            <w:hideMark/>
          </w:tcPr>
          <w:p w14:paraId="2B3ECB8C"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0.14</w:t>
            </w:r>
          </w:p>
        </w:tc>
        <w:tc>
          <w:tcPr>
            <w:tcW w:w="1081" w:type="dxa"/>
            <w:noWrap/>
            <w:hideMark/>
          </w:tcPr>
          <w:p w14:paraId="23138C95" w14:textId="77777777" w:rsidR="0068525B" w:rsidRPr="00CF49CF"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CF49CF">
              <w:rPr>
                <w:rFonts w:cs="Courier New"/>
                <w:color w:val="000000"/>
                <w:sz w:val="18"/>
                <w:szCs w:val="18"/>
                <w:lang w:eastAsia="zh-CN"/>
              </w:rPr>
              <w:t>0.05</w:t>
            </w:r>
          </w:p>
        </w:tc>
        <w:tc>
          <w:tcPr>
            <w:tcW w:w="1297" w:type="dxa"/>
            <w:noWrap/>
            <w:hideMark/>
          </w:tcPr>
          <w:p w14:paraId="4004F7FC"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0.09</w:t>
            </w:r>
          </w:p>
        </w:tc>
        <w:tc>
          <w:tcPr>
            <w:tcW w:w="960" w:type="dxa"/>
            <w:noWrap/>
            <w:hideMark/>
          </w:tcPr>
          <w:p w14:paraId="19AA5FCE"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0.006</w:t>
            </w:r>
          </w:p>
        </w:tc>
        <w:tc>
          <w:tcPr>
            <w:tcW w:w="960" w:type="dxa"/>
            <w:noWrap/>
            <w:hideMark/>
          </w:tcPr>
          <w:p w14:paraId="382A32D6"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16.27</w:t>
            </w:r>
          </w:p>
        </w:tc>
      </w:tr>
      <w:tr w:rsidR="0068525B" w:rsidRPr="005906F9" w14:paraId="6C515A17"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2FAA519C"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3409960E"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2006/2007</w:t>
            </w:r>
          </w:p>
        </w:tc>
        <w:tc>
          <w:tcPr>
            <w:tcW w:w="973" w:type="dxa"/>
            <w:noWrap/>
            <w:hideMark/>
          </w:tcPr>
          <w:p w14:paraId="6ECE5C64"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0.13</w:t>
            </w:r>
          </w:p>
        </w:tc>
        <w:tc>
          <w:tcPr>
            <w:tcW w:w="1081" w:type="dxa"/>
            <w:noWrap/>
            <w:hideMark/>
          </w:tcPr>
          <w:p w14:paraId="7DBB6934" w14:textId="77777777" w:rsidR="0068525B" w:rsidRPr="00CF49CF"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CF49CF">
              <w:rPr>
                <w:rFonts w:cs="Courier New"/>
                <w:color w:val="000000"/>
                <w:sz w:val="18"/>
                <w:szCs w:val="18"/>
                <w:lang w:eastAsia="zh-CN"/>
              </w:rPr>
              <w:t>0.05</w:t>
            </w:r>
          </w:p>
        </w:tc>
        <w:tc>
          <w:tcPr>
            <w:tcW w:w="1297" w:type="dxa"/>
            <w:noWrap/>
            <w:hideMark/>
          </w:tcPr>
          <w:p w14:paraId="19BFD9EB"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0.08</w:t>
            </w:r>
          </w:p>
        </w:tc>
        <w:tc>
          <w:tcPr>
            <w:tcW w:w="960" w:type="dxa"/>
            <w:noWrap/>
            <w:hideMark/>
          </w:tcPr>
          <w:p w14:paraId="7017C0BE"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0.005</w:t>
            </w:r>
          </w:p>
        </w:tc>
        <w:tc>
          <w:tcPr>
            <w:tcW w:w="960" w:type="dxa"/>
            <w:noWrap/>
            <w:hideMark/>
          </w:tcPr>
          <w:p w14:paraId="5A4A37F3"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16.68</w:t>
            </w:r>
          </w:p>
        </w:tc>
      </w:tr>
      <w:tr w:rsidR="0068525B" w:rsidRPr="005906F9" w14:paraId="69EBBE05"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07FA0504"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1D9F2A38"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2007/2008</w:t>
            </w:r>
          </w:p>
        </w:tc>
        <w:tc>
          <w:tcPr>
            <w:tcW w:w="973" w:type="dxa"/>
            <w:noWrap/>
            <w:hideMark/>
          </w:tcPr>
          <w:p w14:paraId="7E236FEB"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0.14</w:t>
            </w:r>
          </w:p>
        </w:tc>
        <w:tc>
          <w:tcPr>
            <w:tcW w:w="1081" w:type="dxa"/>
            <w:noWrap/>
            <w:hideMark/>
          </w:tcPr>
          <w:p w14:paraId="308998D0" w14:textId="77777777" w:rsidR="0068525B" w:rsidRPr="00CF49CF"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CF49CF">
              <w:rPr>
                <w:rFonts w:cs="Courier New"/>
                <w:color w:val="000000"/>
                <w:sz w:val="18"/>
                <w:szCs w:val="18"/>
                <w:lang w:eastAsia="zh-CN"/>
              </w:rPr>
              <w:t>0.05</w:t>
            </w:r>
          </w:p>
        </w:tc>
        <w:tc>
          <w:tcPr>
            <w:tcW w:w="1297" w:type="dxa"/>
            <w:noWrap/>
            <w:hideMark/>
          </w:tcPr>
          <w:p w14:paraId="29B82294"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0.09</w:t>
            </w:r>
          </w:p>
        </w:tc>
        <w:tc>
          <w:tcPr>
            <w:tcW w:w="960" w:type="dxa"/>
            <w:noWrap/>
            <w:hideMark/>
          </w:tcPr>
          <w:p w14:paraId="18135864"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0.005</w:t>
            </w:r>
          </w:p>
        </w:tc>
        <w:tc>
          <w:tcPr>
            <w:tcW w:w="960" w:type="dxa"/>
            <w:noWrap/>
            <w:hideMark/>
          </w:tcPr>
          <w:p w14:paraId="3932B8E3"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19.29</w:t>
            </w:r>
          </w:p>
        </w:tc>
      </w:tr>
      <w:tr w:rsidR="0068525B" w:rsidRPr="005906F9" w14:paraId="14398807"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13E5B2B1"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6E04E0DA"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2008/2009</w:t>
            </w:r>
          </w:p>
        </w:tc>
        <w:tc>
          <w:tcPr>
            <w:tcW w:w="973" w:type="dxa"/>
            <w:noWrap/>
            <w:hideMark/>
          </w:tcPr>
          <w:p w14:paraId="4C330002"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0.13</w:t>
            </w:r>
          </w:p>
        </w:tc>
        <w:tc>
          <w:tcPr>
            <w:tcW w:w="1081" w:type="dxa"/>
            <w:noWrap/>
            <w:hideMark/>
          </w:tcPr>
          <w:p w14:paraId="5B942D75" w14:textId="77777777" w:rsidR="0068525B" w:rsidRPr="00CF49CF"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CF49CF">
              <w:rPr>
                <w:rFonts w:cs="Courier New"/>
                <w:color w:val="000000"/>
                <w:sz w:val="18"/>
                <w:szCs w:val="18"/>
                <w:lang w:eastAsia="zh-CN"/>
              </w:rPr>
              <w:t>0.04</w:t>
            </w:r>
          </w:p>
        </w:tc>
        <w:tc>
          <w:tcPr>
            <w:tcW w:w="1297" w:type="dxa"/>
            <w:noWrap/>
            <w:hideMark/>
          </w:tcPr>
          <w:p w14:paraId="5EA0CE73"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0.08</w:t>
            </w:r>
          </w:p>
        </w:tc>
        <w:tc>
          <w:tcPr>
            <w:tcW w:w="960" w:type="dxa"/>
            <w:noWrap/>
            <w:hideMark/>
          </w:tcPr>
          <w:p w14:paraId="5A1CEFA9"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0.004</w:t>
            </w:r>
          </w:p>
        </w:tc>
        <w:tc>
          <w:tcPr>
            <w:tcW w:w="960" w:type="dxa"/>
            <w:noWrap/>
            <w:hideMark/>
          </w:tcPr>
          <w:p w14:paraId="23231717"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19.26</w:t>
            </w:r>
          </w:p>
        </w:tc>
      </w:tr>
      <w:tr w:rsidR="0068525B" w:rsidRPr="005906F9" w14:paraId="2B31F1E2"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7E2430A2"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4D6AAA9E"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2009/2010</w:t>
            </w:r>
          </w:p>
        </w:tc>
        <w:tc>
          <w:tcPr>
            <w:tcW w:w="973" w:type="dxa"/>
            <w:noWrap/>
            <w:hideMark/>
          </w:tcPr>
          <w:p w14:paraId="10203B4E"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0.11</w:t>
            </w:r>
          </w:p>
        </w:tc>
        <w:tc>
          <w:tcPr>
            <w:tcW w:w="1081" w:type="dxa"/>
            <w:noWrap/>
            <w:hideMark/>
          </w:tcPr>
          <w:p w14:paraId="3F8FD2E3" w14:textId="77777777" w:rsidR="0068525B" w:rsidRPr="00CF49CF"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CF49CF">
              <w:rPr>
                <w:rFonts w:cs="Courier New"/>
                <w:color w:val="000000"/>
                <w:sz w:val="18"/>
                <w:szCs w:val="18"/>
                <w:lang w:eastAsia="zh-CN"/>
              </w:rPr>
              <w:t>0.05</w:t>
            </w:r>
          </w:p>
        </w:tc>
        <w:tc>
          <w:tcPr>
            <w:tcW w:w="1297" w:type="dxa"/>
            <w:noWrap/>
            <w:hideMark/>
          </w:tcPr>
          <w:p w14:paraId="0B9A271C"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0.07</w:t>
            </w:r>
          </w:p>
        </w:tc>
        <w:tc>
          <w:tcPr>
            <w:tcW w:w="960" w:type="dxa"/>
            <w:noWrap/>
            <w:hideMark/>
          </w:tcPr>
          <w:p w14:paraId="33DB0C14"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0.004</w:t>
            </w:r>
          </w:p>
        </w:tc>
        <w:tc>
          <w:tcPr>
            <w:tcW w:w="960" w:type="dxa"/>
            <w:noWrap/>
            <w:hideMark/>
          </w:tcPr>
          <w:p w14:paraId="756B29DD"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16.38</w:t>
            </w:r>
          </w:p>
        </w:tc>
      </w:tr>
      <w:tr w:rsidR="0068525B" w:rsidRPr="005906F9" w14:paraId="518BA31E"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36192279" w14:textId="77777777" w:rsidR="0068525B" w:rsidRPr="003B13AE" w:rsidRDefault="0068525B" w:rsidP="009964C1">
            <w:pPr>
              <w:spacing w:after="0" w:line="240" w:lineRule="auto"/>
              <w:rPr>
                <w:color w:val="000000"/>
                <w:sz w:val="18"/>
                <w:szCs w:val="18"/>
                <w:lang w:eastAsia="zh-CN"/>
              </w:rPr>
            </w:pPr>
            <w:r w:rsidRPr="003B13AE">
              <w:rPr>
                <w:color w:val="000000"/>
                <w:sz w:val="18"/>
                <w:szCs w:val="18"/>
                <w:lang w:eastAsia="zh-CN"/>
              </w:rPr>
              <w:t>Sepsis</w:t>
            </w:r>
          </w:p>
        </w:tc>
        <w:tc>
          <w:tcPr>
            <w:tcW w:w="1189" w:type="dxa"/>
            <w:noWrap/>
            <w:hideMark/>
          </w:tcPr>
          <w:p w14:paraId="7D4C5EB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2005/2006</w:t>
            </w:r>
          </w:p>
        </w:tc>
        <w:tc>
          <w:tcPr>
            <w:tcW w:w="973" w:type="dxa"/>
            <w:noWrap/>
            <w:hideMark/>
          </w:tcPr>
          <w:p w14:paraId="75DA5563"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0.2</w:t>
            </w:r>
          </w:p>
        </w:tc>
        <w:tc>
          <w:tcPr>
            <w:tcW w:w="1081" w:type="dxa"/>
            <w:noWrap/>
            <w:hideMark/>
          </w:tcPr>
          <w:p w14:paraId="540ABF1C"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0.03</w:t>
            </w:r>
          </w:p>
        </w:tc>
        <w:tc>
          <w:tcPr>
            <w:tcW w:w="1297" w:type="dxa"/>
            <w:noWrap/>
            <w:hideMark/>
          </w:tcPr>
          <w:p w14:paraId="3B5270A9"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0.17</w:t>
            </w:r>
          </w:p>
        </w:tc>
        <w:tc>
          <w:tcPr>
            <w:tcW w:w="960" w:type="dxa"/>
            <w:noWrap/>
            <w:hideMark/>
          </w:tcPr>
          <w:p w14:paraId="64B8D4EA"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0.011</w:t>
            </w:r>
          </w:p>
        </w:tc>
        <w:tc>
          <w:tcPr>
            <w:tcW w:w="960" w:type="dxa"/>
            <w:noWrap/>
            <w:hideMark/>
          </w:tcPr>
          <w:p w14:paraId="21CD06D3"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16.26</w:t>
            </w:r>
          </w:p>
        </w:tc>
      </w:tr>
      <w:tr w:rsidR="0068525B" w:rsidRPr="005906F9" w14:paraId="66D264C3"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74FDA743"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4206AEB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2006/2007</w:t>
            </w:r>
          </w:p>
        </w:tc>
        <w:tc>
          <w:tcPr>
            <w:tcW w:w="973" w:type="dxa"/>
            <w:noWrap/>
            <w:hideMark/>
          </w:tcPr>
          <w:p w14:paraId="1569D2F1"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0.2</w:t>
            </w:r>
          </w:p>
        </w:tc>
        <w:tc>
          <w:tcPr>
            <w:tcW w:w="1081" w:type="dxa"/>
            <w:noWrap/>
            <w:hideMark/>
          </w:tcPr>
          <w:p w14:paraId="17CE11F7"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0.03</w:t>
            </w:r>
          </w:p>
        </w:tc>
        <w:tc>
          <w:tcPr>
            <w:tcW w:w="1297" w:type="dxa"/>
            <w:noWrap/>
            <w:hideMark/>
          </w:tcPr>
          <w:p w14:paraId="5793DCDD"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0.17</w:t>
            </w:r>
          </w:p>
        </w:tc>
        <w:tc>
          <w:tcPr>
            <w:tcW w:w="960" w:type="dxa"/>
            <w:noWrap/>
            <w:hideMark/>
          </w:tcPr>
          <w:p w14:paraId="5E8CE399"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0.009</w:t>
            </w:r>
          </w:p>
        </w:tc>
        <w:tc>
          <w:tcPr>
            <w:tcW w:w="960" w:type="dxa"/>
            <w:noWrap/>
            <w:hideMark/>
          </w:tcPr>
          <w:p w14:paraId="5E045233"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18.46</w:t>
            </w:r>
          </w:p>
        </w:tc>
      </w:tr>
      <w:tr w:rsidR="0068525B" w:rsidRPr="005906F9" w14:paraId="218FCCEC"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30707ECF"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66BD893D"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2007/2008</w:t>
            </w:r>
          </w:p>
        </w:tc>
        <w:tc>
          <w:tcPr>
            <w:tcW w:w="973" w:type="dxa"/>
            <w:noWrap/>
            <w:hideMark/>
          </w:tcPr>
          <w:p w14:paraId="1046D24A"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0.18</w:t>
            </w:r>
          </w:p>
        </w:tc>
        <w:tc>
          <w:tcPr>
            <w:tcW w:w="1081" w:type="dxa"/>
            <w:noWrap/>
            <w:hideMark/>
          </w:tcPr>
          <w:p w14:paraId="07FE0E4B"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0.03</w:t>
            </w:r>
          </w:p>
        </w:tc>
        <w:tc>
          <w:tcPr>
            <w:tcW w:w="1297" w:type="dxa"/>
            <w:noWrap/>
            <w:hideMark/>
          </w:tcPr>
          <w:p w14:paraId="38770992"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0.15</w:t>
            </w:r>
          </w:p>
        </w:tc>
        <w:tc>
          <w:tcPr>
            <w:tcW w:w="960" w:type="dxa"/>
            <w:noWrap/>
            <w:hideMark/>
          </w:tcPr>
          <w:p w14:paraId="49B6F3F7"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0.009</w:t>
            </w:r>
          </w:p>
        </w:tc>
        <w:tc>
          <w:tcPr>
            <w:tcW w:w="960" w:type="dxa"/>
            <w:noWrap/>
            <w:hideMark/>
          </w:tcPr>
          <w:p w14:paraId="0ABA20FA"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17.16</w:t>
            </w:r>
          </w:p>
        </w:tc>
      </w:tr>
      <w:tr w:rsidR="0068525B" w:rsidRPr="005906F9" w14:paraId="39488925"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24B532C2"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5668F8B8"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2008/2009</w:t>
            </w:r>
          </w:p>
        </w:tc>
        <w:tc>
          <w:tcPr>
            <w:tcW w:w="973" w:type="dxa"/>
            <w:noWrap/>
            <w:hideMark/>
          </w:tcPr>
          <w:p w14:paraId="141A862F"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0.17</w:t>
            </w:r>
          </w:p>
        </w:tc>
        <w:tc>
          <w:tcPr>
            <w:tcW w:w="1081" w:type="dxa"/>
            <w:noWrap/>
            <w:hideMark/>
          </w:tcPr>
          <w:p w14:paraId="589A7CA9"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0.03</w:t>
            </w:r>
          </w:p>
        </w:tc>
        <w:tc>
          <w:tcPr>
            <w:tcW w:w="1297" w:type="dxa"/>
            <w:noWrap/>
            <w:hideMark/>
          </w:tcPr>
          <w:p w14:paraId="39AD3317"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0.14</w:t>
            </w:r>
          </w:p>
        </w:tc>
        <w:tc>
          <w:tcPr>
            <w:tcW w:w="960" w:type="dxa"/>
            <w:noWrap/>
            <w:hideMark/>
          </w:tcPr>
          <w:p w14:paraId="448DCF13"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0.009</w:t>
            </w:r>
          </w:p>
        </w:tc>
        <w:tc>
          <w:tcPr>
            <w:tcW w:w="960" w:type="dxa"/>
            <w:noWrap/>
            <w:hideMark/>
          </w:tcPr>
          <w:p w14:paraId="0F4DDDF4" w14:textId="77777777" w:rsidR="0068525B" w:rsidRPr="005906F9" w:rsidRDefault="0068525B" w:rsidP="009964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15.15</w:t>
            </w:r>
          </w:p>
        </w:tc>
      </w:tr>
      <w:tr w:rsidR="0068525B" w:rsidRPr="005906F9" w14:paraId="58901860"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1495" w:type="dxa"/>
            <w:noWrap/>
            <w:hideMark/>
          </w:tcPr>
          <w:p w14:paraId="2EC2306D" w14:textId="77777777" w:rsidR="0068525B" w:rsidRPr="003B13AE" w:rsidRDefault="0068525B" w:rsidP="009964C1">
            <w:pPr>
              <w:spacing w:after="0" w:line="240" w:lineRule="auto"/>
              <w:jc w:val="right"/>
              <w:rPr>
                <w:rFonts w:cs="Courier New"/>
                <w:color w:val="000000"/>
                <w:sz w:val="18"/>
                <w:szCs w:val="18"/>
                <w:lang w:eastAsia="zh-CN"/>
              </w:rPr>
            </w:pPr>
          </w:p>
        </w:tc>
        <w:tc>
          <w:tcPr>
            <w:tcW w:w="1189" w:type="dxa"/>
            <w:noWrap/>
            <w:hideMark/>
          </w:tcPr>
          <w:p w14:paraId="6AC89339"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18"/>
                <w:szCs w:val="18"/>
                <w:lang w:eastAsia="zh-CN"/>
              </w:rPr>
            </w:pPr>
            <w:r w:rsidRPr="005906F9">
              <w:rPr>
                <w:rFonts w:cs="Courier New"/>
                <w:b/>
                <w:bCs/>
                <w:color w:val="000000"/>
                <w:sz w:val="18"/>
                <w:szCs w:val="18"/>
                <w:lang w:eastAsia="zh-CN"/>
              </w:rPr>
              <w:t>2009/2010</w:t>
            </w:r>
          </w:p>
        </w:tc>
        <w:tc>
          <w:tcPr>
            <w:tcW w:w="973" w:type="dxa"/>
            <w:noWrap/>
            <w:hideMark/>
          </w:tcPr>
          <w:p w14:paraId="2BC4D271"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0.16</w:t>
            </w:r>
          </w:p>
        </w:tc>
        <w:tc>
          <w:tcPr>
            <w:tcW w:w="1081" w:type="dxa"/>
            <w:noWrap/>
            <w:hideMark/>
          </w:tcPr>
          <w:p w14:paraId="38C9FFB5"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0.03</w:t>
            </w:r>
          </w:p>
        </w:tc>
        <w:tc>
          <w:tcPr>
            <w:tcW w:w="1297" w:type="dxa"/>
            <w:noWrap/>
            <w:hideMark/>
          </w:tcPr>
          <w:p w14:paraId="3863A79C"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0.13</w:t>
            </w:r>
          </w:p>
        </w:tc>
        <w:tc>
          <w:tcPr>
            <w:tcW w:w="960" w:type="dxa"/>
            <w:noWrap/>
            <w:hideMark/>
          </w:tcPr>
          <w:p w14:paraId="6221D1E1"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0.009</w:t>
            </w:r>
          </w:p>
        </w:tc>
        <w:tc>
          <w:tcPr>
            <w:tcW w:w="960" w:type="dxa"/>
            <w:noWrap/>
            <w:hideMark/>
          </w:tcPr>
          <w:p w14:paraId="467D8625" w14:textId="77777777" w:rsidR="0068525B" w:rsidRPr="005906F9" w:rsidRDefault="0068525B" w:rsidP="009964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ourier New"/>
                <w:color w:val="000000"/>
                <w:sz w:val="18"/>
                <w:szCs w:val="18"/>
                <w:lang w:eastAsia="zh-CN"/>
              </w:rPr>
            </w:pPr>
            <w:r w:rsidRPr="005906F9">
              <w:rPr>
                <w:rFonts w:cs="Courier New"/>
                <w:color w:val="000000"/>
                <w:sz w:val="18"/>
                <w:szCs w:val="18"/>
                <w:lang w:eastAsia="zh-CN"/>
              </w:rPr>
              <w:t>15.14</w:t>
            </w:r>
          </w:p>
        </w:tc>
      </w:tr>
    </w:tbl>
    <w:p w14:paraId="2B03FA09" w14:textId="77777777" w:rsidR="0068525B" w:rsidRDefault="0068525B" w:rsidP="009964C1">
      <w:pPr>
        <w:spacing w:line="240" w:lineRule="auto"/>
        <w:rPr>
          <w:rFonts w:eastAsiaTheme="minorHAnsi"/>
          <w:b/>
        </w:rPr>
      </w:pPr>
    </w:p>
    <w:p w14:paraId="529BF8F8" w14:textId="77777777" w:rsidR="0068525B" w:rsidRDefault="0068525B" w:rsidP="009964C1">
      <w:pPr>
        <w:spacing w:line="240" w:lineRule="auto"/>
        <w:rPr>
          <w:rFonts w:eastAsiaTheme="minorHAnsi"/>
          <w:b/>
        </w:rPr>
      </w:pPr>
    </w:p>
    <w:p w14:paraId="44AB29CB" w14:textId="77777777" w:rsidR="0068525B" w:rsidRDefault="0068525B" w:rsidP="009964C1">
      <w:pPr>
        <w:spacing w:line="240" w:lineRule="auto"/>
        <w:rPr>
          <w:rFonts w:eastAsiaTheme="minorHAnsi"/>
          <w:b/>
        </w:rPr>
      </w:pPr>
    </w:p>
    <w:p w14:paraId="756F3991" w14:textId="77777777" w:rsidR="0068525B" w:rsidRDefault="0068525B" w:rsidP="009964C1">
      <w:pPr>
        <w:spacing w:line="240" w:lineRule="auto"/>
        <w:rPr>
          <w:rFonts w:eastAsiaTheme="minorHAnsi"/>
          <w:b/>
        </w:rPr>
      </w:pPr>
    </w:p>
    <w:p w14:paraId="4700744C" w14:textId="77777777" w:rsidR="0068525B" w:rsidRDefault="0068525B" w:rsidP="009964C1">
      <w:pPr>
        <w:spacing w:line="240" w:lineRule="auto"/>
        <w:rPr>
          <w:rFonts w:eastAsiaTheme="minorHAnsi"/>
          <w:b/>
        </w:rPr>
      </w:pPr>
    </w:p>
    <w:p w14:paraId="2FC4B171" w14:textId="77777777" w:rsidR="0068525B" w:rsidRDefault="0068525B" w:rsidP="009964C1">
      <w:pPr>
        <w:spacing w:after="160" w:line="240" w:lineRule="auto"/>
        <w:rPr>
          <w:rFonts w:eastAsiaTheme="minorHAnsi"/>
          <w:b/>
        </w:rPr>
      </w:pPr>
      <w:r>
        <w:rPr>
          <w:rFonts w:eastAsiaTheme="minorHAnsi"/>
          <w:b/>
        </w:rPr>
        <w:br w:type="page"/>
      </w:r>
    </w:p>
    <w:p w14:paraId="777A74ED" w14:textId="49B336DA" w:rsidR="0068525B" w:rsidRDefault="0068525B" w:rsidP="00892AA4">
      <w:pPr>
        <w:pStyle w:val="Heading2"/>
        <w:rPr>
          <w:rFonts w:asciiTheme="minorHAnsi" w:hAnsiTheme="minorHAnsi" w:cs="Arial"/>
          <w:sz w:val="22"/>
          <w:szCs w:val="22"/>
        </w:rPr>
      </w:pPr>
      <w:bookmarkStart w:id="23" w:name="_Toc457312920"/>
      <w:r w:rsidRPr="00892AA4">
        <w:rPr>
          <w:rFonts w:asciiTheme="minorHAnsi" w:hAnsiTheme="minorHAnsi" w:cs="Arial"/>
          <w:sz w:val="22"/>
          <w:szCs w:val="22"/>
        </w:rPr>
        <w:lastRenderedPageBreak/>
        <w:t xml:space="preserve">Table </w:t>
      </w:r>
      <w:r w:rsidR="00044AAA" w:rsidRPr="00892AA4">
        <w:rPr>
          <w:rFonts w:asciiTheme="minorHAnsi" w:hAnsiTheme="minorHAnsi" w:cs="Arial"/>
          <w:sz w:val="22"/>
          <w:szCs w:val="22"/>
        </w:rPr>
        <w:t>SDC</w:t>
      </w:r>
      <w:r w:rsidR="00892AA4" w:rsidRPr="00892AA4">
        <w:rPr>
          <w:rFonts w:asciiTheme="minorHAnsi" w:hAnsiTheme="minorHAnsi" w:cs="Arial"/>
          <w:sz w:val="22"/>
          <w:szCs w:val="22"/>
        </w:rPr>
        <w:t>6</w:t>
      </w:r>
      <w:r w:rsidRPr="00892AA4">
        <w:rPr>
          <w:rFonts w:asciiTheme="minorHAnsi" w:hAnsiTheme="minorHAnsi" w:cs="Arial"/>
          <w:sz w:val="22"/>
          <w:szCs w:val="22"/>
        </w:rPr>
        <w:t>: LOS estimates for the matched samples across years</w:t>
      </w:r>
      <w:bookmarkEnd w:id="23"/>
    </w:p>
    <w:p w14:paraId="4D978AC3" w14:textId="77777777" w:rsidR="00892AA4" w:rsidRPr="00892AA4" w:rsidRDefault="00892AA4" w:rsidP="00892AA4"/>
    <w:tbl>
      <w:tblPr>
        <w:tblStyle w:val="GridTable4-Accent11"/>
        <w:tblW w:w="0" w:type="auto"/>
        <w:tblLook w:val="04A0" w:firstRow="1" w:lastRow="0" w:firstColumn="1" w:lastColumn="0" w:noHBand="0" w:noVBand="1"/>
      </w:tblPr>
      <w:tblGrid>
        <w:gridCol w:w="1379"/>
        <w:gridCol w:w="1113"/>
        <w:gridCol w:w="863"/>
        <w:gridCol w:w="914"/>
        <w:gridCol w:w="1082"/>
        <w:gridCol w:w="672"/>
        <w:gridCol w:w="672"/>
      </w:tblGrid>
      <w:tr w:rsidR="0068525B" w:rsidRPr="005906F9" w14:paraId="63FAA83B" w14:textId="77777777" w:rsidTr="0089430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FE4A8D3" w14:textId="77777777" w:rsidR="0068525B" w:rsidRPr="005906F9" w:rsidRDefault="0068525B" w:rsidP="009964C1">
            <w:pPr>
              <w:spacing w:after="0" w:line="240" w:lineRule="auto"/>
              <w:rPr>
                <w:sz w:val="20"/>
                <w:szCs w:val="20"/>
                <w:lang w:eastAsia="zh-CN"/>
              </w:rPr>
            </w:pPr>
          </w:p>
        </w:tc>
        <w:tc>
          <w:tcPr>
            <w:tcW w:w="0" w:type="auto"/>
            <w:noWrap/>
            <w:hideMark/>
          </w:tcPr>
          <w:p w14:paraId="722D82E3"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color w:val="000000"/>
                <w:sz w:val="20"/>
                <w:szCs w:val="20"/>
                <w:lang w:eastAsia="zh-CN"/>
              </w:rPr>
            </w:pPr>
            <w:r w:rsidRPr="005906F9">
              <w:rPr>
                <w:color w:val="000000"/>
                <w:sz w:val="20"/>
                <w:szCs w:val="20"/>
                <w:lang w:eastAsia="zh-CN"/>
              </w:rPr>
              <w:t> </w:t>
            </w:r>
          </w:p>
        </w:tc>
        <w:tc>
          <w:tcPr>
            <w:tcW w:w="0" w:type="auto"/>
            <w:noWrap/>
            <w:hideMark/>
          </w:tcPr>
          <w:p w14:paraId="57032F4E"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color w:val="000000"/>
                <w:sz w:val="20"/>
                <w:szCs w:val="20"/>
                <w:lang w:eastAsia="zh-CN"/>
              </w:rPr>
            </w:pPr>
            <w:r w:rsidRPr="005906F9">
              <w:rPr>
                <w:rFonts w:cs="Courier New"/>
                <w:color w:val="000000"/>
                <w:sz w:val="20"/>
                <w:szCs w:val="20"/>
                <w:lang w:eastAsia="zh-CN"/>
              </w:rPr>
              <w:t>Treated</w:t>
            </w:r>
          </w:p>
        </w:tc>
        <w:tc>
          <w:tcPr>
            <w:tcW w:w="0" w:type="auto"/>
            <w:noWrap/>
            <w:hideMark/>
          </w:tcPr>
          <w:p w14:paraId="303AB275"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color w:val="000000"/>
                <w:sz w:val="20"/>
                <w:szCs w:val="20"/>
                <w:lang w:eastAsia="zh-CN"/>
              </w:rPr>
            </w:pPr>
            <w:r w:rsidRPr="005906F9">
              <w:rPr>
                <w:rFonts w:cs="Courier New"/>
                <w:color w:val="000000"/>
                <w:sz w:val="20"/>
                <w:szCs w:val="20"/>
                <w:lang w:eastAsia="zh-CN"/>
              </w:rPr>
              <w:t>Controls</w:t>
            </w:r>
          </w:p>
        </w:tc>
        <w:tc>
          <w:tcPr>
            <w:tcW w:w="0" w:type="auto"/>
            <w:noWrap/>
            <w:hideMark/>
          </w:tcPr>
          <w:p w14:paraId="56DCF44A"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color w:val="000000"/>
                <w:sz w:val="20"/>
                <w:szCs w:val="20"/>
                <w:lang w:eastAsia="zh-CN"/>
              </w:rPr>
            </w:pPr>
            <w:r w:rsidRPr="005906F9">
              <w:rPr>
                <w:rFonts w:cs="Courier New"/>
                <w:color w:val="000000"/>
                <w:sz w:val="20"/>
                <w:szCs w:val="20"/>
                <w:lang w:eastAsia="zh-CN"/>
              </w:rPr>
              <w:t>Difference</w:t>
            </w:r>
          </w:p>
        </w:tc>
        <w:tc>
          <w:tcPr>
            <w:tcW w:w="0" w:type="auto"/>
            <w:noWrap/>
            <w:hideMark/>
          </w:tcPr>
          <w:p w14:paraId="7594A727"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color w:val="000000"/>
                <w:sz w:val="20"/>
                <w:szCs w:val="20"/>
                <w:lang w:eastAsia="zh-CN"/>
              </w:rPr>
            </w:pPr>
            <w:r w:rsidRPr="005906F9">
              <w:rPr>
                <w:rFonts w:cs="Courier New"/>
                <w:color w:val="000000"/>
                <w:sz w:val="20"/>
                <w:szCs w:val="20"/>
                <w:lang w:eastAsia="zh-CN"/>
              </w:rPr>
              <w:t>S.E.</w:t>
            </w:r>
          </w:p>
        </w:tc>
        <w:tc>
          <w:tcPr>
            <w:tcW w:w="0" w:type="auto"/>
            <w:noWrap/>
            <w:hideMark/>
          </w:tcPr>
          <w:p w14:paraId="62DD6F10" w14:textId="77777777" w:rsidR="0068525B" w:rsidRPr="005906F9" w:rsidRDefault="0068525B" w:rsidP="009964C1">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color w:val="000000"/>
                <w:sz w:val="20"/>
                <w:szCs w:val="20"/>
                <w:lang w:eastAsia="zh-CN"/>
              </w:rPr>
            </w:pPr>
            <w:proofErr w:type="spellStart"/>
            <w:r w:rsidRPr="005906F9">
              <w:rPr>
                <w:rFonts w:cs="Courier New"/>
                <w:color w:val="000000"/>
                <w:sz w:val="20"/>
                <w:szCs w:val="20"/>
                <w:lang w:eastAsia="zh-CN"/>
              </w:rPr>
              <w:t>Tstat</w:t>
            </w:r>
            <w:proofErr w:type="spellEnd"/>
          </w:p>
        </w:tc>
      </w:tr>
      <w:tr w:rsidR="0068525B" w:rsidRPr="005906F9" w14:paraId="5B417D2B"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14BD19" w14:textId="77777777" w:rsidR="0068525B" w:rsidRPr="005906F9" w:rsidRDefault="0068525B" w:rsidP="009964C1">
            <w:pPr>
              <w:spacing w:after="0" w:line="240" w:lineRule="auto"/>
              <w:rPr>
                <w:rFonts w:cs="Arial"/>
                <w:color w:val="000000"/>
                <w:sz w:val="20"/>
                <w:szCs w:val="20"/>
                <w:lang w:eastAsia="zh-CN"/>
              </w:rPr>
            </w:pPr>
            <w:r w:rsidRPr="005906F9">
              <w:rPr>
                <w:rFonts w:cs="Arial"/>
                <w:color w:val="000000"/>
                <w:sz w:val="20"/>
                <w:szCs w:val="20"/>
                <w:lang w:eastAsia="zh-CN"/>
              </w:rPr>
              <w:t xml:space="preserve">Death in </w:t>
            </w:r>
          </w:p>
        </w:tc>
        <w:tc>
          <w:tcPr>
            <w:tcW w:w="0" w:type="auto"/>
            <w:noWrap/>
            <w:hideMark/>
          </w:tcPr>
          <w:p w14:paraId="10A71D82"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2005/2006</w:t>
            </w:r>
          </w:p>
        </w:tc>
        <w:tc>
          <w:tcPr>
            <w:tcW w:w="0" w:type="auto"/>
            <w:noWrap/>
            <w:vAlign w:val="center"/>
            <w:hideMark/>
          </w:tcPr>
          <w:p w14:paraId="7623CB41"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17.89</w:t>
            </w:r>
          </w:p>
        </w:tc>
        <w:tc>
          <w:tcPr>
            <w:tcW w:w="0" w:type="auto"/>
            <w:noWrap/>
            <w:vAlign w:val="center"/>
            <w:hideMark/>
          </w:tcPr>
          <w:p w14:paraId="5639844F"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4.03</w:t>
            </w:r>
          </w:p>
        </w:tc>
        <w:tc>
          <w:tcPr>
            <w:tcW w:w="0" w:type="auto"/>
            <w:noWrap/>
            <w:vAlign w:val="center"/>
            <w:hideMark/>
          </w:tcPr>
          <w:p w14:paraId="7795A2BD"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13.87</w:t>
            </w:r>
          </w:p>
        </w:tc>
        <w:tc>
          <w:tcPr>
            <w:tcW w:w="0" w:type="auto"/>
            <w:noWrap/>
            <w:vAlign w:val="center"/>
            <w:hideMark/>
          </w:tcPr>
          <w:p w14:paraId="429116E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1.109</w:t>
            </w:r>
          </w:p>
        </w:tc>
        <w:tc>
          <w:tcPr>
            <w:tcW w:w="0" w:type="auto"/>
            <w:noWrap/>
            <w:vAlign w:val="center"/>
            <w:hideMark/>
          </w:tcPr>
          <w:p w14:paraId="5328B20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12.5</w:t>
            </w:r>
          </w:p>
        </w:tc>
      </w:tr>
      <w:tr w:rsidR="0068525B" w:rsidRPr="005906F9" w14:paraId="7FEF32A1"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A6BCC49" w14:textId="77777777" w:rsidR="0068525B" w:rsidRPr="005906F9" w:rsidRDefault="0068525B" w:rsidP="009964C1">
            <w:pPr>
              <w:spacing w:after="0" w:line="240" w:lineRule="auto"/>
              <w:rPr>
                <w:rFonts w:cs="Courier New"/>
                <w:color w:val="000000"/>
                <w:sz w:val="20"/>
                <w:szCs w:val="20"/>
                <w:lang w:eastAsia="zh-CN"/>
              </w:rPr>
            </w:pPr>
            <w:r w:rsidRPr="005906F9">
              <w:rPr>
                <w:rFonts w:cs="Arial"/>
                <w:color w:val="000000"/>
                <w:sz w:val="20"/>
                <w:szCs w:val="20"/>
                <w:lang w:eastAsia="zh-CN"/>
              </w:rPr>
              <w:t xml:space="preserve">low-mortality </w:t>
            </w:r>
          </w:p>
        </w:tc>
        <w:tc>
          <w:tcPr>
            <w:tcW w:w="0" w:type="auto"/>
            <w:noWrap/>
            <w:hideMark/>
          </w:tcPr>
          <w:p w14:paraId="1488FB6B"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2006/2007</w:t>
            </w:r>
          </w:p>
        </w:tc>
        <w:tc>
          <w:tcPr>
            <w:tcW w:w="0" w:type="auto"/>
            <w:noWrap/>
            <w:vAlign w:val="center"/>
            <w:hideMark/>
          </w:tcPr>
          <w:p w14:paraId="6621E4C0"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14.95</w:t>
            </w:r>
          </w:p>
        </w:tc>
        <w:tc>
          <w:tcPr>
            <w:tcW w:w="0" w:type="auto"/>
            <w:noWrap/>
            <w:vAlign w:val="center"/>
            <w:hideMark/>
          </w:tcPr>
          <w:p w14:paraId="3D519263"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3.07</w:t>
            </w:r>
          </w:p>
        </w:tc>
        <w:tc>
          <w:tcPr>
            <w:tcW w:w="0" w:type="auto"/>
            <w:noWrap/>
            <w:vAlign w:val="center"/>
            <w:hideMark/>
          </w:tcPr>
          <w:p w14:paraId="7D69A45F"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11.88</w:t>
            </w:r>
          </w:p>
        </w:tc>
        <w:tc>
          <w:tcPr>
            <w:tcW w:w="0" w:type="auto"/>
            <w:noWrap/>
            <w:vAlign w:val="center"/>
            <w:hideMark/>
          </w:tcPr>
          <w:p w14:paraId="58D3CA7E"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0.906</w:t>
            </w:r>
          </w:p>
        </w:tc>
        <w:tc>
          <w:tcPr>
            <w:tcW w:w="0" w:type="auto"/>
            <w:noWrap/>
            <w:vAlign w:val="center"/>
            <w:hideMark/>
          </w:tcPr>
          <w:p w14:paraId="500C38E3"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13.11</w:t>
            </w:r>
          </w:p>
        </w:tc>
      </w:tr>
      <w:tr w:rsidR="0068525B" w:rsidRPr="005906F9" w14:paraId="45CDC8D0"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6764659" w14:textId="77777777" w:rsidR="0068525B" w:rsidRPr="005906F9" w:rsidRDefault="0068525B" w:rsidP="009964C1">
            <w:pPr>
              <w:spacing w:after="0" w:line="240" w:lineRule="auto"/>
              <w:rPr>
                <w:rFonts w:cs="Courier New"/>
                <w:color w:val="000000"/>
                <w:sz w:val="20"/>
                <w:szCs w:val="20"/>
                <w:lang w:eastAsia="zh-CN"/>
              </w:rPr>
            </w:pPr>
            <w:r w:rsidRPr="005906F9">
              <w:rPr>
                <w:rFonts w:cs="Arial"/>
                <w:color w:val="000000"/>
                <w:sz w:val="20"/>
                <w:szCs w:val="20"/>
                <w:lang w:eastAsia="zh-CN"/>
              </w:rPr>
              <w:t>HRGs</w:t>
            </w:r>
          </w:p>
        </w:tc>
        <w:tc>
          <w:tcPr>
            <w:tcW w:w="0" w:type="auto"/>
            <w:noWrap/>
            <w:hideMark/>
          </w:tcPr>
          <w:p w14:paraId="5275818C"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2007/2008</w:t>
            </w:r>
          </w:p>
        </w:tc>
        <w:tc>
          <w:tcPr>
            <w:tcW w:w="0" w:type="auto"/>
            <w:noWrap/>
            <w:vAlign w:val="center"/>
            <w:hideMark/>
          </w:tcPr>
          <w:p w14:paraId="00F7C11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15.38</w:t>
            </w:r>
          </w:p>
        </w:tc>
        <w:tc>
          <w:tcPr>
            <w:tcW w:w="0" w:type="auto"/>
            <w:noWrap/>
            <w:vAlign w:val="center"/>
            <w:hideMark/>
          </w:tcPr>
          <w:p w14:paraId="3BB6373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2.9</w:t>
            </w:r>
          </w:p>
        </w:tc>
        <w:tc>
          <w:tcPr>
            <w:tcW w:w="0" w:type="auto"/>
            <w:noWrap/>
            <w:vAlign w:val="center"/>
            <w:hideMark/>
          </w:tcPr>
          <w:p w14:paraId="58700501"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12.49</w:t>
            </w:r>
          </w:p>
        </w:tc>
        <w:tc>
          <w:tcPr>
            <w:tcW w:w="0" w:type="auto"/>
            <w:noWrap/>
            <w:vAlign w:val="center"/>
            <w:hideMark/>
          </w:tcPr>
          <w:p w14:paraId="5C7CD12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1.14</w:t>
            </w:r>
          </w:p>
        </w:tc>
        <w:tc>
          <w:tcPr>
            <w:tcW w:w="0" w:type="auto"/>
            <w:noWrap/>
            <w:vAlign w:val="center"/>
            <w:hideMark/>
          </w:tcPr>
          <w:p w14:paraId="3B6FA9B1"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10.95</w:t>
            </w:r>
          </w:p>
        </w:tc>
      </w:tr>
      <w:tr w:rsidR="0068525B" w:rsidRPr="005906F9" w14:paraId="74F86270"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9DA16B"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74462EC7"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2008/2009</w:t>
            </w:r>
          </w:p>
        </w:tc>
        <w:tc>
          <w:tcPr>
            <w:tcW w:w="0" w:type="auto"/>
            <w:noWrap/>
            <w:vAlign w:val="center"/>
            <w:hideMark/>
          </w:tcPr>
          <w:p w14:paraId="437D8F3E"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14.61</w:t>
            </w:r>
          </w:p>
        </w:tc>
        <w:tc>
          <w:tcPr>
            <w:tcW w:w="0" w:type="auto"/>
            <w:noWrap/>
            <w:vAlign w:val="center"/>
            <w:hideMark/>
          </w:tcPr>
          <w:p w14:paraId="42ED0D2C"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2.21</w:t>
            </w:r>
          </w:p>
        </w:tc>
        <w:tc>
          <w:tcPr>
            <w:tcW w:w="0" w:type="auto"/>
            <w:noWrap/>
            <w:vAlign w:val="center"/>
            <w:hideMark/>
          </w:tcPr>
          <w:p w14:paraId="1B1F2E0C"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12.4</w:t>
            </w:r>
          </w:p>
        </w:tc>
        <w:tc>
          <w:tcPr>
            <w:tcW w:w="0" w:type="auto"/>
            <w:noWrap/>
            <w:vAlign w:val="center"/>
            <w:hideMark/>
          </w:tcPr>
          <w:p w14:paraId="16364CC4"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1.159</w:t>
            </w:r>
          </w:p>
        </w:tc>
        <w:tc>
          <w:tcPr>
            <w:tcW w:w="0" w:type="auto"/>
            <w:noWrap/>
            <w:vAlign w:val="center"/>
            <w:hideMark/>
          </w:tcPr>
          <w:p w14:paraId="3C2BBCD7"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10.7</w:t>
            </w:r>
          </w:p>
        </w:tc>
      </w:tr>
      <w:tr w:rsidR="0068525B" w:rsidRPr="005906F9" w14:paraId="78F9A8C7"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7E556D3"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3440CB7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2009/2010</w:t>
            </w:r>
          </w:p>
        </w:tc>
        <w:tc>
          <w:tcPr>
            <w:tcW w:w="0" w:type="auto"/>
            <w:noWrap/>
            <w:vAlign w:val="center"/>
            <w:hideMark/>
          </w:tcPr>
          <w:p w14:paraId="34CAAD4F"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13.28</w:t>
            </w:r>
          </w:p>
        </w:tc>
        <w:tc>
          <w:tcPr>
            <w:tcW w:w="0" w:type="auto"/>
            <w:noWrap/>
            <w:vAlign w:val="center"/>
            <w:hideMark/>
          </w:tcPr>
          <w:p w14:paraId="5E678D0F"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2.49</w:t>
            </w:r>
          </w:p>
        </w:tc>
        <w:tc>
          <w:tcPr>
            <w:tcW w:w="0" w:type="auto"/>
            <w:noWrap/>
            <w:vAlign w:val="center"/>
            <w:hideMark/>
          </w:tcPr>
          <w:p w14:paraId="459B5EBA"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10.79</w:t>
            </w:r>
          </w:p>
        </w:tc>
        <w:tc>
          <w:tcPr>
            <w:tcW w:w="0" w:type="auto"/>
            <w:noWrap/>
            <w:vAlign w:val="center"/>
            <w:hideMark/>
          </w:tcPr>
          <w:p w14:paraId="748DDD15"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1.09</w:t>
            </w:r>
          </w:p>
        </w:tc>
        <w:tc>
          <w:tcPr>
            <w:tcW w:w="0" w:type="auto"/>
            <w:noWrap/>
            <w:vAlign w:val="center"/>
            <w:hideMark/>
          </w:tcPr>
          <w:p w14:paraId="016774D4"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9.9</w:t>
            </w:r>
          </w:p>
        </w:tc>
      </w:tr>
      <w:tr w:rsidR="0068525B" w:rsidRPr="005906F9" w14:paraId="7C1EFD08"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CCCCA3D" w14:textId="77777777" w:rsidR="0068525B" w:rsidRPr="005906F9" w:rsidRDefault="0068525B" w:rsidP="009964C1">
            <w:pPr>
              <w:spacing w:after="0" w:line="240" w:lineRule="auto"/>
              <w:rPr>
                <w:rFonts w:cs="Arial"/>
                <w:color w:val="000000"/>
                <w:sz w:val="20"/>
                <w:szCs w:val="20"/>
                <w:lang w:eastAsia="zh-CN"/>
              </w:rPr>
            </w:pPr>
            <w:r w:rsidRPr="005906F9">
              <w:rPr>
                <w:rFonts w:cs="Arial"/>
                <w:color w:val="000000"/>
                <w:sz w:val="20"/>
                <w:szCs w:val="20"/>
                <w:lang w:eastAsia="zh-CN"/>
              </w:rPr>
              <w:t xml:space="preserve">Decubitus </w:t>
            </w:r>
          </w:p>
        </w:tc>
        <w:tc>
          <w:tcPr>
            <w:tcW w:w="0" w:type="auto"/>
            <w:noWrap/>
            <w:hideMark/>
          </w:tcPr>
          <w:p w14:paraId="77775368"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2005/2006</w:t>
            </w:r>
          </w:p>
        </w:tc>
        <w:tc>
          <w:tcPr>
            <w:tcW w:w="0" w:type="auto"/>
            <w:noWrap/>
            <w:vAlign w:val="center"/>
            <w:hideMark/>
          </w:tcPr>
          <w:p w14:paraId="37C7C76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40.24</w:t>
            </w:r>
          </w:p>
        </w:tc>
        <w:tc>
          <w:tcPr>
            <w:tcW w:w="0" w:type="auto"/>
            <w:noWrap/>
            <w:vAlign w:val="center"/>
            <w:hideMark/>
          </w:tcPr>
          <w:p w14:paraId="06396F65"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22.46</w:t>
            </w:r>
          </w:p>
        </w:tc>
        <w:tc>
          <w:tcPr>
            <w:tcW w:w="0" w:type="auto"/>
            <w:noWrap/>
            <w:vAlign w:val="center"/>
            <w:hideMark/>
          </w:tcPr>
          <w:p w14:paraId="6473394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17.78</w:t>
            </w:r>
          </w:p>
        </w:tc>
        <w:tc>
          <w:tcPr>
            <w:tcW w:w="0" w:type="auto"/>
            <w:noWrap/>
            <w:vAlign w:val="center"/>
            <w:hideMark/>
          </w:tcPr>
          <w:p w14:paraId="33692C7D"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0.455</w:t>
            </w:r>
          </w:p>
        </w:tc>
        <w:tc>
          <w:tcPr>
            <w:tcW w:w="0" w:type="auto"/>
            <w:noWrap/>
            <w:vAlign w:val="center"/>
            <w:hideMark/>
          </w:tcPr>
          <w:p w14:paraId="64DC8D20"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39.05</w:t>
            </w:r>
          </w:p>
        </w:tc>
      </w:tr>
      <w:tr w:rsidR="0068525B" w:rsidRPr="005906F9" w14:paraId="15E7BA69"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BDE1823" w14:textId="77777777" w:rsidR="0068525B" w:rsidRPr="005906F9" w:rsidRDefault="0068525B" w:rsidP="009964C1">
            <w:pPr>
              <w:spacing w:after="0" w:line="240" w:lineRule="auto"/>
              <w:rPr>
                <w:rFonts w:cs="Courier New"/>
                <w:color w:val="000000"/>
                <w:sz w:val="20"/>
                <w:szCs w:val="20"/>
                <w:lang w:eastAsia="zh-CN"/>
              </w:rPr>
            </w:pPr>
            <w:r w:rsidRPr="005906F9">
              <w:rPr>
                <w:rFonts w:cs="Arial"/>
                <w:color w:val="000000"/>
                <w:sz w:val="20"/>
                <w:szCs w:val="20"/>
                <w:lang w:eastAsia="zh-CN"/>
              </w:rPr>
              <w:t>Ulcer</w:t>
            </w:r>
          </w:p>
        </w:tc>
        <w:tc>
          <w:tcPr>
            <w:tcW w:w="0" w:type="auto"/>
            <w:noWrap/>
            <w:hideMark/>
          </w:tcPr>
          <w:p w14:paraId="2250D6DA"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2006/2007</w:t>
            </w:r>
          </w:p>
        </w:tc>
        <w:tc>
          <w:tcPr>
            <w:tcW w:w="0" w:type="auto"/>
            <w:noWrap/>
            <w:vAlign w:val="center"/>
            <w:hideMark/>
          </w:tcPr>
          <w:p w14:paraId="124F1E66"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38.07</w:t>
            </w:r>
          </w:p>
        </w:tc>
        <w:tc>
          <w:tcPr>
            <w:tcW w:w="0" w:type="auto"/>
            <w:noWrap/>
            <w:vAlign w:val="center"/>
            <w:hideMark/>
          </w:tcPr>
          <w:p w14:paraId="004DE13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21.45</w:t>
            </w:r>
          </w:p>
        </w:tc>
        <w:tc>
          <w:tcPr>
            <w:tcW w:w="0" w:type="auto"/>
            <w:noWrap/>
            <w:vAlign w:val="center"/>
            <w:hideMark/>
          </w:tcPr>
          <w:p w14:paraId="46C48F68"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16.62</w:t>
            </w:r>
          </w:p>
        </w:tc>
        <w:tc>
          <w:tcPr>
            <w:tcW w:w="0" w:type="auto"/>
            <w:noWrap/>
            <w:vAlign w:val="center"/>
            <w:hideMark/>
          </w:tcPr>
          <w:p w14:paraId="7DBE5F9F"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0.383</w:t>
            </w:r>
          </w:p>
        </w:tc>
        <w:tc>
          <w:tcPr>
            <w:tcW w:w="0" w:type="auto"/>
            <w:noWrap/>
            <w:vAlign w:val="center"/>
            <w:hideMark/>
          </w:tcPr>
          <w:p w14:paraId="0B6752FF"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43.4</w:t>
            </w:r>
          </w:p>
        </w:tc>
      </w:tr>
      <w:tr w:rsidR="0068525B" w:rsidRPr="005906F9" w14:paraId="1CB22C97"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5E70357"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3A781F7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2007/2008</w:t>
            </w:r>
          </w:p>
        </w:tc>
        <w:tc>
          <w:tcPr>
            <w:tcW w:w="0" w:type="auto"/>
            <w:noWrap/>
            <w:vAlign w:val="center"/>
            <w:hideMark/>
          </w:tcPr>
          <w:p w14:paraId="2D5BB94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36.34</w:t>
            </w:r>
          </w:p>
        </w:tc>
        <w:tc>
          <w:tcPr>
            <w:tcW w:w="0" w:type="auto"/>
            <w:noWrap/>
            <w:vAlign w:val="center"/>
            <w:hideMark/>
          </w:tcPr>
          <w:p w14:paraId="32DF903E"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20.82</w:t>
            </w:r>
          </w:p>
        </w:tc>
        <w:tc>
          <w:tcPr>
            <w:tcW w:w="0" w:type="auto"/>
            <w:noWrap/>
            <w:vAlign w:val="center"/>
            <w:hideMark/>
          </w:tcPr>
          <w:p w14:paraId="45AD5DE2"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15.52</w:t>
            </w:r>
          </w:p>
        </w:tc>
        <w:tc>
          <w:tcPr>
            <w:tcW w:w="0" w:type="auto"/>
            <w:noWrap/>
            <w:vAlign w:val="center"/>
            <w:hideMark/>
          </w:tcPr>
          <w:p w14:paraId="26F78C42"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0.336</w:t>
            </w:r>
          </w:p>
        </w:tc>
        <w:tc>
          <w:tcPr>
            <w:tcW w:w="0" w:type="auto"/>
            <w:noWrap/>
            <w:vAlign w:val="center"/>
            <w:hideMark/>
          </w:tcPr>
          <w:p w14:paraId="01CC7BB3"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46.15</w:t>
            </w:r>
          </w:p>
        </w:tc>
      </w:tr>
      <w:tr w:rsidR="0068525B" w:rsidRPr="005906F9" w14:paraId="0D7C8CD5" w14:textId="77777777" w:rsidTr="0089430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auto"/>
            <w:noWrap/>
            <w:hideMark/>
          </w:tcPr>
          <w:p w14:paraId="7A6556ED"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1CC4AA2D"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2008/2009</w:t>
            </w:r>
          </w:p>
        </w:tc>
        <w:tc>
          <w:tcPr>
            <w:tcW w:w="0" w:type="auto"/>
            <w:noWrap/>
            <w:vAlign w:val="center"/>
            <w:hideMark/>
          </w:tcPr>
          <w:p w14:paraId="3FC13F5D"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34.72</w:t>
            </w:r>
          </w:p>
        </w:tc>
        <w:tc>
          <w:tcPr>
            <w:tcW w:w="0" w:type="auto"/>
            <w:noWrap/>
            <w:vAlign w:val="center"/>
            <w:hideMark/>
          </w:tcPr>
          <w:p w14:paraId="73A8A368"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20.49</w:t>
            </w:r>
          </w:p>
        </w:tc>
        <w:tc>
          <w:tcPr>
            <w:tcW w:w="0" w:type="auto"/>
            <w:noWrap/>
            <w:vAlign w:val="center"/>
            <w:hideMark/>
          </w:tcPr>
          <w:p w14:paraId="2791B7B5"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14.23</w:t>
            </w:r>
          </w:p>
        </w:tc>
        <w:tc>
          <w:tcPr>
            <w:tcW w:w="0" w:type="auto"/>
            <w:noWrap/>
            <w:vAlign w:val="center"/>
            <w:hideMark/>
          </w:tcPr>
          <w:p w14:paraId="1C415606"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0.286</w:t>
            </w:r>
          </w:p>
        </w:tc>
        <w:tc>
          <w:tcPr>
            <w:tcW w:w="0" w:type="auto"/>
            <w:noWrap/>
            <w:vAlign w:val="center"/>
            <w:hideMark/>
          </w:tcPr>
          <w:p w14:paraId="118DF1A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49.72</w:t>
            </w:r>
          </w:p>
        </w:tc>
      </w:tr>
      <w:tr w:rsidR="0068525B" w:rsidRPr="005906F9" w14:paraId="45F8CD95" w14:textId="77777777" w:rsidTr="0089430E">
        <w:trPr>
          <w:trHeight w:val="332"/>
        </w:trPr>
        <w:tc>
          <w:tcPr>
            <w:cnfStyle w:val="001000000000" w:firstRow="0" w:lastRow="0" w:firstColumn="1" w:lastColumn="0" w:oddVBand="0" w:evenVBand="0" w:oddHBand="0" w:evenHBand="0" w:firstRowFirstColumn="0" w:firstRowLastColumn="0" w:lastRowFirstColumn="0" w:lastRowLastColumn="0"/>
            <w:tcW w:w="0" w:type="auto"/>
            <w:noWrap/>
          </w:tcPr>
          <w:p w14:paraId="7E336FD6"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tcPr>
          <w:p w14:paraId="1656683F" w14:textId="77777777" w:rsidR="0068525B" w:rsidRPr="00A91F1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color w:val="000000"/>
                <w:sz w:val="20"/>
                <w:szCs w:val="20"/>
                <w:lang w:eastAsia="zh-CN"/>
              </w:rPr>
            </w:pPr>
            <w:r w:rsidRPr="00A91F19">
              <w:rPr>
                <w:rFonts w:cs="Courier New"/>
                <w:b/>
                <w:color w:val="000000"/>
                <w:sz w:val="20"/>
                <w:szCs w:val="20"/>
                <w:lang w:eastAsia="zh-CN"/>
              </w:rPr>
              <w:t>2009/2010</w:t>
            </w:r>
          </w:p>
        </w:tc>
        <w:tc>
          <w:tcPr>
            <w:tcW w:w="0" w:type="auto"/>
            <w:noWrap/>
            <w:vAlign w:val="center"/>
          </w:tcPr>
          <w:p w14:paraId="0BE9E3F9" w14:textId="77777777" w:rsidR="0068525B" w:rsidRPr="00A91F1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color w:val="000000"/>
                <w:sz w:val="20"/>
                <w:szCs w:val="20"/>
                <w:lang w:eastAsia="zh-CN"/>
              </w:rPr>
            </w:pPr>
            <w:r w:rsidRPr="00A91F19">
              <w:rPr>
                <w:rFonts w:cs="Courier New"/>
                <w:color w:val="000000"/>
                <w:sz w:val="20"/>
                <w:szCs w:val="20"/>
                <w:lang w:eastAsia="zh-CN"/>
              </w:rPr>
              <w:t>33.7</w:t>
            </w:r>
          </w:p>
        </w:tc>
        <w:tc>
          <w:tcPr>
            <w:tcW w:w="0" w:type="auto"/>
            <w:noWrap/>
            <w:vAlign w:val="center"/>
          </w:tcPr>
          <w:p w14:paraId="26DB8BF1" w14:textId="77777777" w:rsidR="0068525B" w:rsidRPr="00A91F1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color w:val="000000"/>
                <w:sz w:val="20"/>
                <w:szCs w:val="20"/>
                <w:lang w:eastAsia="zh-CN"/>
              </w:rPr>
            </w:pPr>
            <w:r w:rsidRPr="00A91F19">
              <w:rPr>
                <w:rFonts w:cs="Courier New"/>
                <w:color w:val="000000"/>
                <w:sz w:val="20"/>
                <w:szCs w:val="20"/>
                <w:lang w:eastAsia="zh-CN"/>
              </w:rPr>
              <w:t>20.21</w:t>
            </w:r>
          </w:p>
        </w:tc>
        <w:tc>
          <w:tcPr>
            <w:tcW w:w="0" w:type="auto"/>
            <w:noWrap/>
            <w:vAlign w:val="center"/>
          </w:tcPr>
          <w:p w14:paraId="4F947723" w14:textId="77777777" w:rsidR="0068525B" w:rsidRPr="00A91F1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color w:val="000000"/>
                <w:sz w:val="20"/>
                <w:szCs w:val="20"/>
                <w:lang w:eastAsia="zh-CN"/>
              </w:rPr>
            </w:pPr>
            <w:r w:rsidRPr="00A91F19">
              <w:rPr>
                <w:rFonts w:cs="Courier New"/>
                <w:color w:val="000000"/>
                <w:sz w:val="20"/>
                <w:szCs w:val="20"/>
                <w:lang w:eastAsia="zh-CN"/>
              </w:rPr>
              <w:t>13.49</w:t>
            </w:r>
          </w:p>
        </w:tc>
        <w:tc>
          <w:tcPr>
            <w:tcW w:w="0" w:type="auto"/>
            <w:noWrap/>
            <w:vAlign w:val="center"/>
          </w:tcPr>
          <w:p w14:paraId="0DAB6AB6" w14:textId="77777777" w:rsidR="0068525B" w:rsidRPr="00A91F1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color w:val="000000"/>
                <w:sz w:val="20"/>
                <w:szCs w:val="20"/>
                <w:lang w:eastAsia="zh-CN"/>
              </w:rPr>
            </w:pPr>
            <w:r w:rsidRPr="00A91F19">
              <w:rPr>
                <w:rFonts w:cs="Courier New"/>
                <w:color w:val="000000"/>
                <w:sz w:val="20"/>
                <w:szCs w:val="20"/>
                <w:lang w:eastAsia="zh-CN"/>
              </w:rPr>
              <w:t>0.26</w:t>
            </w:r>
          </w:p>
        </w:tc>
        <w:tc>
          <w:tcPr>
            <w:tcW w:w="0" w:type="auto"/>
            <w:noWrap/>
            <w:vAlign w:val="center"/>
          </w:tcPr>
          <w:p w14:paraId="0429784D" w14:textId="77777777" w:rsidR="0068525B" w:rsidRPr="00A91F1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color w:val="000000"/>
                <w:sz w:val="20"/>
                <w:szCs w:val="20"/>
                <w:lang w:eastAsia="zh-CN"/>
              </w:rPr>
            </w:pPr>
            <w:r w:rsidRPr="00A91F19">
              <w:rPr>
                <w:rFonts w:cs="Courier New"/>
                <w:color w:val="000000"/>
                <w:sz w:val="20"/>
                <w:szCs w:val="20"/>
                <w:lang w:eastAsia="zh-CN"/>
              </w:rPr>
              <w:t>51.89</w:t>
            </w:r>
          </w:p>
        </w:tc>
      </w:tr>
      <w:tr w:rsidR="0068525B" w:rsidRPr="005906F9" w14:paraId="0782C8FB" w14:textId="77777777" w:rsidTr="008943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14:paraId="74F39C07" w14:textId="77777777" w:rsidR="0068525B" w:rsidRPr="005906F9" w:rsidRDefault="0068525B" w:rsidP="009964C1">
            <w:pPr>
              <w:spacing w:after="0" w:line="240" w:lineRule="auto"/>
              <w:rPr>
                <w:color w:val="000000"/>
                <w:sz w:val="20"/>
                <w:szCs w:val="20"/>
                <w:lang w:eastAsia="zh-CN"/>
              </w:rPr>
            </w:pPr>
            <w:r w:rsidRPr="005906F9">
              <w:rPr>
                <w:color w:val="000000"/>
                <w:sz w:val="20"/>
                <w:szCs w:val="20"/>
                <w:lang w:eastAsia="zh-CN"/>
              </w:rPr>
              <w:t xml:space="preserve">Central Line </w:t>
            </w:r>
          </w:p>
        </w:tc>
        <w:tc>
          <w:tcPr>
            <w:tcW w:w="0" w:type="auto"/>
            <w:noWrap/>
            <w:hideMark/>
          </w:tcPr>
          <w:p w14:paraId="40B59CA6"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2005/2006</w:t>
            </w:r>
          </w:p>
        </w:tc>
        <w:tc>
          <w:tcPr>
            <w:tcW w:w="0" w:type="auto"/>
            <w:noWrap/>
            <w:vAlign w:val="center"/>
            <w:hideMark/>
          </w:tcPr>
          <w:p w14:paraId="1247598F"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24.66</w:t>
            </w:r>
          </w:p>
        </w:tc>
        <w:tc>
          <w:tcPr>
            <w:tcW w:w="0" w:type="auto"/>
            <w:noWrap/>
            <w:vAlign w:val="center"/>
            <w:hideMark/>
          </w:tcPr>
          <w:p w14:paraId="564380D7"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15.99</w:t>
            </w:r>
          </w:p>
        </w:tc>
        <w:tc>
          <w:tcPr>
            <w:tcW w:w="0" w:type="auto"/>
            <w:noWrap/>
            <w:vAlign w:val="center"/>
            <w:hideMark/>
          </w:tcPr>
          <w:p w14:paraId="76B2934A"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8.68</w:t>
            </w:r>
          </w:p>
        </w:tc>
        <w:tc>
          <w:tcPr>
            <w:tcW w:w="0" w:type="auto"/>
            <w:noWrap/>
            <w:vAlign w:val="center"/>
            <w:hideMark/>
          </w:tcPr>
          <w:p w14:paraId="3BC98042"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1.445</w:t>
            </w:r>
          </w:p>
        </w:tc>
        <w:tc>
          <w:tcPr>
            <w:tcW w:w="0" w:type="auto"/>
            <w:noWrap/>
            <w:vAlign w:val="center"/>
            <w:hideMark/>
          </w:tcPr>
          <w:p w14:paraId="3C4A3FEA"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6</w:t>
            </w:r>
          </w:p>
        </w:tc>
      </w:tr>
      <w:tr w:rsidR="0068525B" w:rsidRPr="005906F9" w14:paraId="2CD80481"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F64F7E9" w14:textId="77777777" w:rsidR="0068525B" w:rsidRPr="005906F9" w:rsidRDefault="0068525B" w:rsidP="009964C1">
            <w:pPr>
              <w:spacing w:after="0" w:line="240" w:lineRule="auto"/>
              <w:rPr>
                <w:rFonts w:cs="Courier New"/>
                <w:color w:val="000000"/>
                <w:sz w:val="20"/>
                <w:szCs w:val="20"/>
                <w:lang w:eastAsia="zh-CN"/>
              </w:rPr>
            </w:pPr>
            <w:r w:rsidRPr="005906F9">
              <w:rPr>
                <w:color w:val="000000"/>
                <w:sz w:val="20"/>
                <w:szCs w:val="20"/>
                <w:lang w:eastAsia="zh-CN"/>
              </w:rPr>
              <w:t>Infections</w:t>
            </w:r>
          </w:p>
        </w:tc>
        <w:tc>
          <w:tcPr>
            <w:tcW w:w="0" w:type="auto"/>
            <w:noWrap/>
            <w:hideMark/>
          </w:tcPr>
          <w:p w14:paraId="1F877E5D"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2006/2007</w:t>
            </w:r>
          </w:p>
        </w:tc>
        <w:tc>
          <w:tcPr>
            <w:tcW w:w="0" w:type="auto"/>
            <w:noWrap/>
            <w:vAlign w:val="center"/>
            <w:hideMark/>
          </w:tcPr>
          <w:p w14:paraId="2C076BA9"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28.89</w:t>
            </w:r>
          </w:p>
        </w:tc>
        <w:tc>
          <w:tcPr>
            <w:tcW w:w="0" w:type="auto"/>
            <w:noWrap/>
            <w:vAlign w:val="center"/>
            <w:hideMark/>
          </w:tcPr>
          <w:p w14:paraId="33B9FCE0"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14.77</w:t>
            </w:r>
          </w:p>
        </w:tc>
        <w:tc>
          <w:tcPr>
            <w:tcW w:w="0" w:type="auto"/>
            <w:noWrap/>
            <w:vAlign w:val="center"/>
            <w:hideMark/>
          </w:tcPr>
          <w:p w14:paraId="0126E5FC"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14.13</w:t>
            </w:r>
          </w:p>
        </w:tc>
        <w:tc>
          <w:tcPr>
            <w:tcW w:w="0" w:type="auto"/>
            <w:noWrap/>
            <w:vAlign w:val="center"/>
            <w:hideMark/>
          </w:tcPr>
          <w:p w14:paraId="4C51A86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1.559</w:t>
            </w:r>
          </w:p>
        </w:tc>
        <w:tc>
          <w:tcPr>
            <w:tcW w:w="0" w:type="auto"/>
            <w:noWrap/>
            <w:vAlign w:val="center"/>
            <w:hideMark/>
          </w:tcPr>
          <w:p w14:paraId="73B61F34"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9.06</w:t>
            </w:r>
          </w:p>
        </w:tc>
      </w:tr>
      <w:tr w:rsidR="0068525B" w:rsidRPr="005906F9" w14:paraId="57D79806"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6319104"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66954395"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2007/2008</w:t>
            </w:r>
          </w:p>
        </w:tc>
        <w:tc>
          <w:tcPr>
            <w:tcW w:w="0" w:type="auto"/>
            <w:noWrap/>
            <w:vAlign w:val="center"/>
            <w:hideMark/>
          </w:tcPr>
          <w:p w14:paraId="074E922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26.31</w:t>
            </w:r>
          </w:p>
        </w:tc>
        <w:tc>
          <w:tcPr>
            <w:tcW w:w="0" w:type="auto"/>
            <w:noWrap/>
            <w:vAlign w:val="center"/>
            <w:hideMark/>
          </w:tcPr>
          <w:p w14:paraId="6C49D90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15.77</w:t>
            </w:r>
          </w:p>
        </w:tc>
        <w:tc>
          <w:tcPr>
            <w:tcW w:w="0" w:type="auto"/>
            <w:noWrap/>
            <w:vAlign w:val="center"/>
            <w:hideMark/>
          </w:tcPr>
          <w:p w14:paraId="6816D85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10.54</w:t>
            </w:r>
          </w:p>
        </w:tc>
        <w:tc>
          <w:tcPr>
            <w:tcW w:w="0" w:type="auto"/>
            <w:noWrap/>
            <w:vAlign w:val="center"/>
            <w:hideMark/>
          </w:tcPr>
          <w:p w14:paraId="4F76B835"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1.553</w:t>
            </w:r>
          </w:p>
        </w:tc>
        <w:tc>
          <w:tcPr>
            <w:tcW w:w="0" w:type="auto"/>
            <w:noWrap/>
            <w:vAlign w:val="center"/>
            <w:hideMark/>
          </w:tcPr>
          <w:p w14:paraId="188595FC"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6.79</w:t>
            </w:r>
          </w:p>
        </w:tc>
      </w:tr>
      <w:tr w:rsidR="0068525B" w:rsidRPr="005906F9" w14:paraId="28FC7033"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4EFEFDB"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03D15797"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2008/2009</w:t>
            </w:r>
          </w:p>
        </w:tc>
        <w:tc>
          <w:tcPr>
            <w:tcW w:w="0" w:type="auto"/>
            <w:noWrap/>
            <w:vAlign w:val="center"/>
            <w:hideMark/>
          </w:tcPr>
          <w:p w14:paraId="1119E3B8"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26.6</w:t>
            </w:r>
          </w:p>
        </w:tc>
        <w:tc>
          <w:tcPr>
            <w:tcW w:w="0" w:type="auto"/>
            <w:noWrap/>
            <w:vAlign w:val="center"/>
            <w:hideMark/>
          </w:tcPr>
          <w:p w14:paraId="2941D599"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14.2</w:t>
            </w:r>
          </w:p>
        </w:tc>
        <w:tc>
          <w:tcPr>
            <w:tcW w:w="0" w:type="auto"/>
            <w:noWrap/>
            <w:vAlign w:val="center"/>
            <w:hideMark/>
          </w:tcPr>
          <w:p w14:paraId="5DAC1A8F"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12.4</w:t>
            </w:r>
          </w:p>
        </w:tc>
        <w:tc>
          <w:tcPr>
            <w:tcW w:w="0" w:type="auto"/>
            <w:noWrap/>
            <w:vAlign w:val="center"/>
            <w:hideMark/>
          </w:tcPr>
          <w:p w14:paraId="2E83C0D5"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1.915</w:t>
            </w:r>
          </w:p>
        </w:tc>
        <w:tc>
          <w:tcPr>
            <w:tcW w:w="0" w:type="auto"/>
            <w:noWrap/>
            <w:vAlign w:val="center"/>
            <w:hideMark/>
          </w:tcPr>
          <w:p w14:paraId="0F897FE7"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6.47</w:t>
            </w:r>
          </w:p>
        </w:tc>
      </w:tr>
      <w:tr w:rsidR="0068525B" w:rsidRPr="005906F9" w14:paraId="4B7C9810"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7691F9A"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16EE574D"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2009/2010</w:t>
            </w:r>
          </w:p>
        </w:tc>
        <w:tc>
          <w:tcPr>
            <w:tcW w:w="0" w:type="auto"/>
            <w:noWrap/>
            <w:vAlign w:val="center"/>
            <w:hideMark/>
          </w:tcPr>
          <w:p w14:paraId="5097DE4B"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26.03</w:t>
            </w:r>
          </w:p>
        </w:tc>
        <w:tc>
          <w:tcPr>
            <w:tcW w:w="0" w:type="auto"/>
            <w:noWrap/>
            <w:vAlign w:val="center"/>
            <w:hideMark/>
          </w:tcPr>
          <w:p w14:paraId="6D37BB5C"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15.82</w:t>
            </w:r>
          </w:p>
        </w:tc>
        <w:tc>
          <w:tcPr>
            <w:tcW w:w="0" w:type="auto"/>
            <w:noWrap/>
            <w:vAlign w:val="center"/>
            <w:hideMark/>
          </w:tcPr>
          <w:p w14:paraId="0E1BA9A4"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10.2</w:t>
            </w:r>
          </w:p>
        </w:tc>
        <w:tc>
          <w:tcPr>
            <w:tcW w:w="0" w:type="auto"/>
            <w:noWrap/>
            <w:vAlign w:val="center"/>
            <w:hideMark/>
          </w:tcPr>
          <w:p w14:paraId="5647BDBC"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2.065</w:t>
            </w:r>
          </w:p>
        </w:tc>
        <w:tc>
          <w:tcPr>
            <w:tcW w:w="0" w:type="auto"/>
            <w:noWrap/>
            <w:vAlign w:val="center"/>
            <w:hideMark/>
          </w:tcPr>
          <w:p w14:paraId="1946C83D"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4.94</w:t>
            </w:r>
          </w:p>
        </w:tc>
      </w:tr>
      <w:tr w:rsidR="0068525B" w:rsidRPr="005906F9" w14:paraId="16003408"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5E277BB" w14:textId="77777777" w:rsidR="0068525B" w:rsidRPr="005906F9" w:rsidRDefault="0068525B" w:rsidP="009964C1">
            <w:pPr>
              <w:spacing w:after="0" w:line="240" w:lineRule="auto"/>
              <w:rPr>
                <w:color w:val="000000"/>
                <w:sz w:val="20"/>
                <w:szCs w:val="20"/>
                <w:lang w:eastAsia="zh-CN"/>
              </w:rPr>
            </w:pPr>
            <w:r w:rsidRPr="005906F9">
              <w:rPr>
                <w:color w:val="000000"/>
                <w:sz w:val="20"/>
                <w:szCs w:val="20"/>
                <w:lang w:eastAsia="zh-CN"/>
              </w:rPr>
              <w:t xml:space="preserve">Postoperative </w:t>
            </w:r>
          </w:p>
        </w:tc>
        <w:tc>
          <w:tcPr>
            <w:tcW w:w="0" w:type="auto"/>
            <w:noWrap/>
            <w:hideMark/>
          </w:tcPr>
          <w:p w14:paraId="5C17F33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2005/2006</w:t>
            </w:r>
          </w:p>
        </w:tc>
        <w:tc>
          <w:tcPr>
            <w:tcW w:w="0" w:type="auto"/>
            <w:noWrap/>
            <w:vAlign w:val="center"/>
            <w:hideMark/>
          </w:tcPr>
          <w:p w14:paraId="1DDA33E3"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31.22</w:t>
            </w:r>
          </w:p>
        </w:tc>
        <w:tc>
          <w:tcPr>
            <w:tcW w:w="0" w:type="auto"/>
            <w:noWrap/>
            <w:vAlign w:val="center"/>
            <w:hideMark/>
          </w:tcPr>
          <w:p w14:paraId="57055A10"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11.83</w:t>
            </w:r>
          </w:p>
        </w:tc>
        <w:tc>
          <w:tcPr>
            <w:tcW w:w="0" w:type="auto"/>
            <w:noWrap/>
            <w:vAlign w:val="center"/>
            <w:hideMark/>
          </w:tcPr>
          <w:p w14:paraId="035D0669"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19.39</w:t>
            </w:r>
          </w:p>
        </w:tc>
        <w:tc>
          <w:tcPr>
            <w:tcW w:w="0" w:type="auto"/>
            <w:noWrap/>
            <w:vAlign w:val="center"/>
            <w:hideMark/>
          </w:tcPr>
          <w:p w14:paraId="22CBA185"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2.972</w:t>
            </w:r>
          </w:p>
        </w:tc>
        <w:tc>
          <w:tcPr>
            <w:tcW w:w="0" w:type="auto"/>
            <w:noWrap/>
            <w:vAlign w:val="center"/>
            <w:hideMark/>
          </w:tcPr>
          <w:p w14:paraId="790027B5"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6.52</w:t>
            </w:r>
          </w:p>
        </w:tc>
      </w:tr>
      <w:tr w:rsidR="0068525B" w:rsidRPr="005906F9" w14:paraId="69AA9F4B"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D8D254" w14:textId="77777777" w:rsidR="0068525B" w:rsidRPr="005906F9" w:rsidRDefault="0068525B" w:rsidP="009964C1">
            <w:pPr>
              <w:spacing w:after="0" w:line="240" w:lineRule="auto"/>
              <w:rPr>
                <w:rFonts w:cs="Courier New"/>
                <w:color w:val="000000"/>
                <w:sz w:val="20"/>
                <w:szCs w:val="20"/>
                <w:lang w:eastAsia="zh-CN"/>
              </w:rPr>
            </w:pPr>
            <w:r w:rsidRPr="005906F9">
              <w:rPr>
                <w:color w:val="000000"/>
                <w:sz w:val="20"/>
                <w:szCs w:val="20"/>
                <w:lang w:eastAsia="zh-CN"/>
              </w:rPr>
              <w:t>Hip fracture</w:t>
            </w:r>
          </w:p>
        </w:tc>
        <w:tc>
          <w:tcPr>
            <w:tcW w:w="0" w:type="auto"/>
            <w:noWrap/>
            <w:hideMark/>
          </w:tcPr>
          <w:p w14:paraId="39099591"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2006/2007</w:t>
            </w:r>
          </w:p>
        </w:tc>
        <w:tc>
          <w:tcPr>
            <w:tcW w:w="0" w:type="auto"/>
            <w:noWrap/>
            <w:vAlign w:val="center"/>
            <w:hideMark/>
          </w:tcPr>
          <w:p w14:paraId="3FBBA63B"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33.79</w:t>
            </w:r>
          </w:p>
        </w:tc>
        <w:tc>
          <w:tcPr>
            <w:tcW w:w="0" w:type="auto"/>
            <w:noWrap/>
            <w:vAlign w:val="center"/>
            <w:hideMark/>
          </w:tcPr>
          <w:p w14:paraId="1CE4F503"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10.74</w:t>
            </w:r>
          </w:p>
        </w:tc>
        <w:tc>
          <w:tcPr>
            <w:tcW w:w="0" w:type="auto"/>
            <w:noWrap/>
            <w:vAlign w:val="center"/>
            <w:hideMark/>
          </w:tcPr>
          <w:p w14:paraId="169823D2"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23.04</w:t>
            </w:r>
          </w:p>
        </w:tc>
        <w:tc>
          <w:tcPr>
            <w:tcW w:w="0" w:type="auto"/>
            <w:noWrap/>
            <w:vAlign w:val="center"/>
            <w:hideMark/>
          </w:tcPr>
          <w:p w14:paraId="65A2FDD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2.609</w:t>
            </w:r>
          </w:p>
        </w:tc>
        <w:tc>
          <w:tcPr>
            <w:tcW w:w="0" w:type="auto"/>
            <w:noWrap/>
            <w:vAlign w:val="center"/>
            <w:hideMark/>
          </w:tcPr>
          <w:p w14:paraId="38EFFC3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8.83</w:t>
            </w:r>
          </w:p>
        </w:tc>
      </w:tr>
      <w:tr w:rsidR="0068525B" w:rsidRPr="005906F9" w14:paraId="333418A2"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1ADE2A0"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16DC00EC"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2007/2008</w:t>
            </w:r>
          </w:p>
        </w:tc>
        <w:tc>
          <w:tcPr>
            <w:tcW w:w="0" w:type="auto"/>
            <w:noWrap/>
            <w:vAlign w:val="center"/>
            <w:hideMark/>
          </w:tcPr>
          <w:p w14:paraId="111C2DB0"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34.6</w:t>
            </w:r>
          </w:p>
        </w:tc>
        <w:tc>
          <w:tcPr>
            <w:tcW w:w="0" w:type="auto"/>
            <w:noWrap/>
            <w:vAlign w:val="center"/>
            <w:hideMark/>
          </w:tcPr>
          <w:p w14:paraId="0111652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14.66</w:t>
            </w:r>
          </w:p>
        </w:tc>
        <w:tc>
          <w:tcPr>
            <w:tcW w:w="0" w:type="auto"/>
            <w:noWrap/>
            <w:vAlign w:val="center"/>
            <w:hideMark/>
          </w:tcPr>
          <w:p w14:paraId="13621CBA"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19.94</w:t>
            </w:r>
          </w:p>
        </w:tc>
        <w:tc>
          <w:tcPr>
            <w:tcW w:w="0" w:type="auto"/>
            <w:noWrap/>
            <w:vAlign w:val="center"/>
            <w:hideMark/>
          </w:tcPr>
          <w:p w14:paraId="35F4CEB5"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2.896</w:t>
            </w:r>
          </w:p>
        </w:tc>
        <w:tc>
          <w:tcPr>
            <w:tcW w:w="0" w:type="auto"/>
            <w:noWrap/>
            <w:vAlign w:val="center"/>
            <w:hideMark/>
          </w:tcPr>
          <w:p w14:paraId="0BAAD182"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6.88</w:t>
            </w:r>
          </w:p>
        </w:tc>
      </w:tr>
      <w:tr w:rsidR="0068525B" w:rsidRPr="005906F9" w14:paraId="1FE342EB"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A1BF5D"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08373BB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2008/2009</w:t>
            </w:r>
          </w:p>
        </w:tc>
        <w:tc>
          <w:tcPr>
            <w:tcW w:w="0" w:type="auto"/>
            <w:noWrap/>
            <w:vAlign w:val="center"/>
            <w:hideMark/>
          </w:tcPr>
          <w:p w14:paraId="49F98DCD"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34.16</w:t>
            </w:r>
          </w:p>
        </w:tc>
        <w:tc>
          <w:tcPr>
            <w:tcW w:w="0" w:type="auto"/>
            <w:noWrap/>
            <w:vAlign w:val="center"/>
            <w:hideMark/>
          </w:tcPr>
          <w:p w14:paraId="05C1DA87"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12.18</w:t>
            </w:r>
          </w:p>
        </w:tc>
        <w:tc>
          <w:tcPr>
            <w:tcW w:w="0" w:type="auto"/>
            <w:noWrap/>
            <w:vAlign w:val="center"/>
            <w:hideMark/>
          </w:tcPr>
          <w:p w14:paraId="78E9137A"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21.98</w:t>
            </w:r>
          </w:p>
        </w:tc>
        <w:tc>
          <w:tcPr>
            <w:tcW w:w="0" w:type="auto"/>
            <w:noWrap/>
            <w:vAlign w:val="center"/>
            <w:hideMark/>
          </w:tcPr>
          <w:p w14:paraId="209D367E"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2.893</w:t>
            </w:r>
          </w:p>
        </w:tc>
        <w:tc>
          <w:tcPr>
            <w:tcW w:w="0" w:type="auto"/>
            <w:noWrap/>
            <w:vAlign w:val="center"/>
            <w:hideMark/>
          </w:tcPr>
          <w:p w14:paraId="4A404D53"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7.6</w:t>
            </w:r>
          </w:p>
        </w:tc>
      </w:tr>
      <w:tr w:rsidR="0068525B" w:rsidRPr="005906F9" w14:paraId="306F505F"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8AFC12"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2AF5426A"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2009/2010</w:t>
            </w:r>
          </w:p>
        </w:tc>
        <w:tc>
          <w:tcPr>
            <w:tcW w:w="0" w:type="auto"/>
            <w:noWrap/>
            <w:vAlign w:val="center"/>
            <w:hideMark/>
          </w:tcPr>
          <w:p w14:paraId="1E01AA5C"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34.89</w:t>
            </w:r>
          </w:p>
        </w:tc>
        <w:tc>
          <w:tcPr>
            <w:tcW w:w="0" w:type="auto"/>
            <w:noWrap/>
            <w:vAlign w:val="center"/>
            <w:hideMark/>
          </w:tcPr>
          <w:p w14:paraId="40F15AB2"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13.39</w:t>
            </w:r>
          </w:p>
        </w:tc>
        <w:tc>
          <w:tcPr>
            <w:tcW w:w="0" w:type="auto"/>
            <w:noWrap/>
            <w:vAlign w:val="center"/>
            <w:hideMark/>
          </w:tcPr>
          <w:p w14:paraId="06313F40"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21.5</w:t>
            </w:r>
          </w:p>
        </w:tc>
        <w:tc>
          <w:tcPr>
            <w:tcW w:w="0" w:type="auto"/>
            <w:noWrap/>
            <w:vAlign w:val="center"/>
            <w:hideMark/>
          </w:tcPr>
          <w:p w14:paraId="2A5432E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2.674</w:t>
            </w:r>
          </w:p>
        </w:tc>
        <w:tc>
          <w:tcPr>
            <w:tcW w:w="0" w:type="auto"/>
            <w:noWrap/>
            <w:vAlign w:val="center"/>
            <w:hideMark/>
          </w:tcPr>
          <w:p w14:paraId="7B316151"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8.04</w:t>
            </w:r>
          </w:p>
        </w:tc>
      </w:tr>
      <w:tr w:rsidR="0068525B" w:rsidRPr="005906F9" w14:paraId="63F7F165"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96B0E60" w14:textId="77777777" w:rsidR="0068525B" w:rsidRPr="005906F9" w:rsidRDefault="0068525B" w:rsidP="009964C1">
            <w:pPr>
              <w:spacing w:after="0" w:line="240" w:lineRule="auto"/>
              <w:rPr>
                <w:color w:val="000000"/>
                <w:sz w:val="20"/>
                <w:szCs w:val="20"/>
                <w:lang w:eastAsia="zh-CN"/>
              </w:rPr>
            </w:pPr>
            <w:r w:rsidRPr="005906F9">
              <w:rPr>
                <w:color w:val="000000"/>
                <w:sz w:val="20"/>
                <w:szCs w:val="20"/>
                <w:lang w:eastAsia="zh-CN"/>
              </w:rPr>
              <w:t>DVT/PE</w:t>
            </w:r>
          </w:p>
        </w:tc>
        <w:tc>
          <w:tcPr>
            <w:tcW w:w="0" w:type="auto"/>
            <w:noWrap/>
            <w:hideMark/>
          </w:tcPr>
          <w:p w14:paraId="5B1345C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2005/2006</w:t>
            </w:r>
          </w:p>
        </w:tc>
        <w:tc>
          <w:tcPr>
            <w:tcW w:w="0" w:type="auto"/>
            <w:noWrap/>
            <w:vAlign w:val="center"/>
            <w:hideMark/>
          </w:tcPr>
          <w:p w14:paraId="0D67BE87"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26.86</w:t>
            </w:r>
          </w:p>
        </w:tc>
        <w:tc>
          <w:tcPr>
            <w:tcW w:w="0" w:type="auto"/>
            <w:noWrap/>
            <w:vAlign w:val="bottom"/>
            <w:hideMark/>
          </w:tcPr>
          <w:p w14:paraId="60050A7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9.12</w:t>
            </w:r>
          </w:p>
        </w:tc>
        <w:tc>
          <w:tcPr>
            <w:tcW w:w="0" w:type="auto"/>
            <w:noWrap/>
            <w:vAlign w:val="center"/>
            <w:hideMark/>
          </w:tcPr>
          <w:p w14:paraId="3C6F9E1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17.74</w:t>
            </w:r>
          </w:p>
        </w:tc>
        <w:tc>
          <w:tcPr>
            <w:tcW w:w="0" w:type="auto"/>
            <w:noWrap/>
            <w:vAlign w:val="center"/>
            <w:hideMark/>
          </w:tcPr>
          <w:p w14:paraId="2110EC44"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0.53</w:t>
            </w:r>
          </w:p>
        </w:tc>
        <w:tc>
          <w:tcPr>
            <w:tcW w:w="0" w:type="auto"/>
            <w:noWrap/>
            <w:vAlign w:val="center"/>
            <w:hideMark/>
          </w:tcPr>
          <w:p w14:paraId="2144B59C"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33.5</w:t>
            </w:r>
          </w:p>
        </w:tc>
      </w:tr>
      <w:tr w:rsidR="0068525B" w:rsidRPr="005906F9" w14:paraId="0465227A"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9F493B9"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76D3E67D"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2006/2007</w:t>
            </w:r>
          </w:p>
        </w:tc>
        <w:tc>
          <w:tcPr>
            <w:tcW w:w="0" w:type="auto"/>
            <w:noWrap/>
            <w:vAlign w:val="center"/>
            <w:hideMark/>
          </w:tcPr>
          <w:p w14:paraId="3A3E31C9"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26.89</w:t>
            </w:r>
          </w:p>
        </w:tc>
        <w:tc>
          <w:tcPr>
            <w:tcW w:w="0" w:type="auto"/>
            <w:noWrap/>
            <w:vAlign w:val="bottom"/>
            <w:hideMark/>
          </w:tcPr>
          <w:p w14:paraId="7F08C6E7"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9.13</w:t>
            </w:r>
          </w:p>
        </w:tc>
        <w:tc>
          <w:tcPr>
            <w:tcW w:w="0" w:type="auto"/>
            <w:noWrap/>
            <w:vAlign w:val="center"/>
            <w:hideMark/>
          </w:tcPr>
          <w:p w14:paraId="0EC398C9"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17.76</w:t>
            </w:r>
          </w:p>
        </w:tc>
        <w:tc>
          <w:tcPr>
            <w:tcW w:w="0" w:type="auto"/>
            <w:noWrap/>
            <w:vAlign w:val="center"/>
            <w:hideMark/>
          </w:tcPr>
          <w:p w14:paraId="00C91D15"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0.492</w:t>
            </w:r>
          </w:p>
        </w:tc>
        <w:tc>
          <w:tcPr>
            <w:tcW w:w="0" w:type="auto"/>
            <w:noWrap/>
            <w:vAlign w:val="center"/>
            <w:hideMark/>
          </w:tcPr>
          <w:p w14:paraId="3E6D5BBC"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36.09</w:t>
            </w:r>
          </w:p>
        </w:tc>
      </w:tr>
      <w:tr w:rsidR="0068525B" w:rsidRPr="005906F9" w14:paraId="4CDA2293"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6E865D5"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0C97691C"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2007/2008</w:t>
            </w:r>
          </w:p>
        </w:tc>
        <w:tc>
          <w:tcPr>
            <w:tcW w:w="0" w:type="auto"/>
            <w:noWrap/>
            <w:vAlign w:val="center"/>
            <w:hideMark/>
          </w:tcPr>
          <w:p w14:paraId="27A80AA6"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26.19</w:t>
            </w:r>
          </w:p>
        </w:tc>
        <w:tc>
          <w:tcPr>
            <w:tcW w:w="0" w:type="auto"/>
            <w:noWrap/>
            <w:vAlign w:val="bottom"/>
            <w:hideMark/>
          </w:tcPr>
          <w:p w14:paraId="74AD53F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8.73</w:t>
            </w:r>
          </w:p>
        </w:tc>
        <w:tc>
          <w:tcPr>
            <w:tcW w:w="0" w:type="auto"/>
            <w:noWrap/>
            <w:vAlign w:val="center"/>
            <w:hideMark/>
          </w:tcPr>
          <w:p w14:paraId="387B7736"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17.46</w:t>
            </w:r>
          </w:p>
        </w:tc>
        <w:tc>
          <w:tcPr>
            <w:tcW w:w="0" w:type="auto"/>
            <w:noWrap/>
            <w:vAlign w:val="center"/>
            <w:hideMark/>
          </w:tcPr>
          <w:p w14:paraId="739920EA"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0.461</w:t>
            </w:r>
          </w:p>
        </w:tc>
        <w:tc>
          <w:tcPr>
            <w:tcW w:w="0" w:type="auto"/>
            <w:noWrap/>
            <w:vAlign w:val="center"/>
            <w:hideMark/>
          </w:tcPr>
          <w:p w14:paraId="5490AA17"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37.9</w:t>
            </w:r>
          </w:p>
        </w:tc>
      </w:tr>
      <w:tr w:rsidR="0068525B" w:rsidRPr="005906F9" w14:paraId="1F3E0AE2"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76D42A8"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65A31E64"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2008/2009</w:t>
            </w:r>
          </w:p>
        </w:tc>
        <w:tc>
          <w:tcPr>
            <w:tcW w:w="0" w:type="auto"/>
            <w:noWrap/>
            <w:vAlign w:val="center"/>
            <w:hideMark/>
          </w:tcPr>
          <w:p w14:paraId="3DD1C9BB"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25.42</w:t>
            </w:r>
          </w:p>
        </w:tc>
        <w:tc>
          <w:tcPr>
            <w:tcW w:w="0" w:type="auto"/>
            <w:noWrap/>
            <w:vAlign w:val="bottom"/>
            <w:hideMark/>
          </w:tcPr>
          <w:p w14:paraId="3434D7E3"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8.76</w:t>
            </w:r>
          </w:p>
        </w:tc>
        <w:tc>
          <w:tcPr>
            <w:tcW w:w="0" w:type="auto"/>
            <w:noWrap/>
            <w:vAlign w:val="center"/>
            <w:hideMark/>
          </w:tcPr>
          <w:p w14:paraId="6A4AE7D8"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16.66</w:t>
            </w:r>
          </w:p>
        </w:tc>
        <w:tc>
          <w:tcPr>
            <w:tcW w:w="0" w:type="auto"/>
            <w:noWrap/>
            <w:vAlign w:val="center"/>
            <w:hideMark/>
          </w:tcPr>
          <w:p w14:paraId="56AD3524"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0.47</w:t>
            </w:r>
          </w:p>
        </w:tc>
        <w:tc>
          <w:tcPr>
            <w:tcW w:w="0" w:type="auto"/>
            <w:noWrap/>
            <w:vAlign w:val="center"/>
            <w:hideMark/>
          </w:tcPr>
          <w:p w14:paraId="4DDC8097"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35.48</w:t>
            </w:r>
          </w:p>
        </w:tc>
      </w:tr>
      <w:tr w:rsidR="0068525B" w:rsidRPr="005906F9" w14:paraId="23D26293"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A343467"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2FCB2504"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2009/2010</w:t>
            </w:r>
          </w:p>
        </w:tc>
        <w:tc>
          <w:tcPr>
            <w:tcW w:w="0" w:type="auto"/>
            <w:noWrap/>
            <w:vAlign w:val="center"/>
            <w:hideMark/>
          </w:tcPr>
          <w:p w14:paraId="1F57DCE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24.71</w:t>
            </w:r>
          </w:p>
        </w:tc>
        <w:tc>
          <w:tcPr>
            <w:tcW w:w="0" w:type="auto"/>
            <w:noWrap/>
            <w:vAlign w:val="bottom"/>
            <w:hideMark/>
          </w:tcPr>
          <w:p w14:paraId="08C14FBA"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8.95</w:t>
            </w:r>
          </w:p>
        </w:tc>
        <w:tc>
          <w:tcPr>
            <w:tcW w:w="0" w:type="auto"/>
            <w:noWrap/>
            <w:vAlign w:val="center"/>
            <w:hideMark/>
          </w:tcPr>
          <w:p w14:paraId="7B1C3795"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15.76</w:t>
            </w:r>
          </w:p>
        </w:tc>
        <w:tc>
          <w:tcPr>
            <w:tcW w:w="0" w:type="auto"/>
            <w:noWrap/>
            <w:vAlign w:val="center"/>
            <w:hideMark/>
          </w:tcPr>
          <w:p w14:paraId="048D44FF"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0.424</w:t>
            </w:r>
          </w:p>
        </w:tc>
        <w:tc>
          <w:tcPr>
            <w:tcW w:w="0" w:type="auto"/>
            <w:noWrap/>
            <w:vAlign w:val="center"/>
            <w:hideMark/>
          </w:tcPr>
          <w:p w14:paraId="3A9C937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37.2</w:t>
            </w:r>
          </w:p>
        </w:tc>
      </w:tr>
      <w:tr w:rsidR="0068525B" w:rsidRPr="005906F9" w14:paraId="3C8C5554"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91C5E2B" w14:textId="77777777" w:rsidR="0068525B" w:rsidRPr="005906F9" w:rsidRDefault="0068525B" w:rsidP="009964C1">
            <w:pPr>
              <w:spacing w:after="0" w:line="240" w:lineRule="auto"/>
              <w:rPr>
                <w:color w:val="000000"/>
                <w:sz w:val="20"/>
                <w:szCs w:val="20"/>
                <w:lang w:eastAsia="zh-CN"/>
              </w:rPr>
            </w:pPr>
            <w:r w:rsidRPr="005906F9">
              <w:rPr>
                <w:color w:val="000000"/>
                <w:sz w:val="20"/>
                <w:szCs w:val="20"/>
                <w:lang w:eastAsia="zh-CN"/>
              </w:rPr>
              <w:t>Sepsis</w:t>
            </w:r>
          </w:p>
        </w:tc>
        <w:tc>
          <w:tcPr>
            <w:tcW w:w="0" w:type="auto"/>
            <w:noWrap/>
            <w:hideMark/>
          </w:tcPr>
          <w:p w14:paraId="30557D60"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2005/2006</w:t>
            </w:r>
          </w:p>
        </w:tc>
        <w:tc>
          <w:tcPr>
            <w:tcW w:w="0" w:type="auto"/>
            <w:noWrap/>
            <w:vAlign w:val="center"/>
            <w:hideMark/>
          </w:tcPr>
          <w:p w14:paraId="5AB798FA"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32.25</w:t>
            </w:r>
          </w:p>
        </w:tc>
        <w:tc>
          <w:tcPr>
            <w:tcW w:w="0" w:type="auto"/>
            <w:noWrap/>
            <w:vAlign w:val="center"/>
            <w:hideMark/>
          </w:tcPr>
          <w:p w14:paraId="50748523"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12.21</w:t>
            </w:r>
          </w:p>
        </w:tc>
        <w:tc>
          <w:tcPr>
            <w:tcW w:w="0" w:type="auto"/>
            <w:noWrap/>
            <w:vAlign w:val="center"/>
            <w:hideMark/>
          </w:tcPr>
          <w:p w14:paraId="2124732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20.04</w:t>
            </w:r>
          </w:p>
        </w:tc>
        <w:tc>
          <w:tcPr>
            <w:tcW w:w="0" w:type="auto"/>
            <w:noWrap/>
            <w:vAlign w:val="center"/>
            <w:hideMark/>
          </w:tcPr>
          <w:p w14:paraId="0E622DB5"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0.959</w:t>
            </w:r>
          </w:p>
        </w:tc>
        <w:tc>
          <w:tcPr>
            <w:tcW w:w="0" w:type="auto"/>
            <w:noWrap/>
            <w:vAlign w:val="center"/>
            <w:hideMark/>
          </w:tcPr>
          <w:p w14:paraId="6780355E"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20.88</w:t>
            </w:r>
          </w:p>
        </w:tc>
      </w:tr>
      <w:tr w:rsidR="0068525B" w:rsidRPr="005906F9" w14:paraId="2F4BED4C"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EB24CDB"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493B697D"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2006/2007</w:t>
            </w:r>
          </w:p>
        </w:tc>
        <w:tc>
          <w:tcPr>
            <w:tcW w:w="0" w:type="auto"/>
            <w:noWrap/>
            <w:vAlign w:val="center"/>
            <w:hideMark/>
          </w:tcPr>
          <w:p w14:paraId="074ACB0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31.91</w:t>
            </w:r>
          </w:p>
        </w:tc>
        <w:tc>
          <w:tcPr>
            <w:tcW w:w="0" w:type="auto"/>
            <w:noWrap/>
            <w:vAlign w:val="center"/>
            <w:hideMark/>
          </w:tcPr>
          <w:p w14:paraId="5B5BDDF4"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12.68</w:t>
            </w:r>
          </w:p>
        </w:tc>
        <w:tc>
          <w:tcPr>
            <w:tcW w:w="0" w:type="auto"/>
            <w:noWrap/>
            <w:vAlign w:val="center"/>
            <w:hideMark/>
          </w:tcPr>
          <w:p w14:paraId="6E5EB0A1"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19.23</w:t>
            </w:r>
          </w:p>
        </w:tc>
        <w:tc>
          <w:tcPr>
            <w:tcW w:w="0" w:type="auto"/>
            <w:noWrap/>
            <w:vAlign w:val="center"/>
            <w:hideMark/>
          </w:tcPr>
          <w:p w14:paraId="41AB0C45"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0.767</w:t>
            </w:r>
          </w:p>
        </w:tc>
        <w:tc>
          <w:tcPr>
            <w:tcW w:w="0" w:type="auto"/>
            <w:noWrap/>
            <w:vAlign w:val="center"/>
            <w:hideMark/>
          </w:tcPr>
          <w:p w14:paraId="5A028F9A"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25.07</w:t>
            </w:r>
          </w:p>
        </w:tc>
      </w:tr>
      <w:tr w:rsidR="0068525B" w:rsidRPr="005906F9" w14:paraId="0230ECD6"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EDB5B19"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1042836F"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2007/2008</w:t>
            </w:r>
          </w:p>
        </w:tc>
        <w:tc>
          <w:tcPr>
            <w:tcW w:w="0" w:type="auto"/>
            <w:noWrap/>
            <w:vAlign w:val="center"/>
            <w:hideMark/>
          </w:tcPr>
          <w:p w14:paraId="62B8F963"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31.3</w:t>
            </w:r>
          </w:p>
        </w:tc>
        <w:tc>
          <w:tcPr>
            <w:tcW w:w="0" w:type="auto"/>
            <w:noWrap/>
            <w:vAlign w:val="center"/>
            <w:hideMark/>
          </w:tcPr>
          <w:p w14:paraId="6D44306A"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12.09</w:t>
            </w:r>
          </w:p>
        </w:tc>
        <w:tc>
          <w:tcPr>
            <w:tcW w:w="0" w:type="auto"/>
            <w:noWrap/>
            <w:vAlign w:val="center"/>
            <w:hideMark/>
          </w:tcPr>
          <w:p w14:paraId="6C025076"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19.2</w:t>
            </w:r>
          </w:p>
        </w:tc>
        <w:tc>
          <w:tcPr>
            <w:tcW w:w="0" w:type="auto"/>
            <w:noWrap/>
            <w:vAlign w:val="center"/>
            <w:hideMark/>
          </w:tcPr>
          <w:p w14:paraId="2FD5A5BF"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0.849</w:t>
            </w:r>
          </w:p>
        </w:tc>
        <w:tc>
          <w:tcPr>
            <w:tcW w:w="0" w:type="auto"/>
            <w:noWrap/>
            <w:vAlign w:val="center"/>
            <w:hideMark/>
          </w:tcPr>
          <w:p w14:paraId="32445300"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22.62</w:t>
            </w:r>
          </w:p>
        </w:tc>
      </w:tr>
      <w:tr w:rsidR="0068525B" w:rsidRPr="005906F9" w14:paraId="685B9419" w14:textId="77777777" w:rsidTr="008943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9FA8C4F"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0BE57FE2"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2008/2009</w:t>
            </w:r>
          </w:p>
        </w:tc>
        <w:tc>
          <w:tcPr>
            <w:tcW w:w="0" w:type="auto"/>
            <w:noWrap/>
            <w:vAlign w:val="center"/>
            <w:hideMark/>
          </w:tcPr>
          <w:p w14:paraId="7E67A8A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31.37</w:t>
            </w:r>
          </w:p>
        </w:tc>
        <w:tc>
          <w:tcPr>
            <w:tcW w:w="0" w:type="auto"/>
            <w:noWrap/>
            <w:vAlign w:val="center"/>
            <w:hideMark/>
          </w:tcPr>
          <w:p w14:paraId="69BE580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13.13</w:t>
            </w:r>
          </w:p>
        </w:tc>
        <w:tc>
          <w:tcPr>
            <w:tcW w:w="0" w:type="auto"/>
            <w:noWrap/>
            <w:vAlign w:val="center"/>
            <w:hideMark/>
          </w:tcPr>
          <w:p w14:paraId="4642D489"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18.24</w:t>
            </w:r>
          </w:p>
        </w:tc>
        <w:tc>
          <w:tcPr>
            <w:tcW w:w="0" w:type="auto"/>
            <w:noWrap/>
            <w:vAlign w:val="center"/>
            <w:hideMark/>
          </w:tcPr>
          <w:p w14:paraId="0CE0722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0.888</w:t>
            </w:r>
          </w:p>
        </w:tc>
        <w:tc>
          <w:tcPr>
            <w:tcW w:w="0" w:type="auto"/>
            <w:noWrap/>
            <w:vAlign w:val="center"/>
            <w:hideMark/>
          </w:tcPr>
          <w:p w14:paraId="1986EDC0" w14:textId="77777777" w:rsidR="0068525B" w:rsidRPr="005906F9" w:rsidRDefault="0068525B" w:rsidP="009964C1">
            <w:pPr>
              <w:spacing w:after="0" w:line="240" w:lineRule="auto"/>
              <w:cnfStyle w:val="000000100000" w:firstRow="0" w:lastRow="0" w:firstColumn="0" w:lastColumn="0" w:oddVBand="0" w:evenVBand="0" w:oddHBand="1"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20.53</w:t>
            </w:r>
          </w:p>
        </w:tc>
      </w:tr>
      <w:tr w:rsidR="0068525B" w:rsidRPr="005906F9" w14:paraId="103F1BED" w14:textId="77777777" w:rsidTr="0089430E">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C4D6983" w14:textId="77777777" w:rsidR="0068525B" w:rsidRPr="005906F9" w:rsidRDefault="0068525B" w:rsidP="009964C1">
            <w:pPr>
              <w:spacing w:after="0" w:line="240" w:lineRule="auto"/>
              <w:jc w:val="right"/>
              <w:rPr>
                <w:rFonts w:cs="Courier New"/>
                <w:color w:val="000000"/>
                <w:sz w:val="20"/>
                <w:szCs w:val="20"/>
                <w:lang w:eastAsia="zh-CN"/>
              </w:rPr>
            </w:pPr>
          </w:p>
        </w:tc>
        <w:tc>
          <w:tcPr>
            <w:tcW w:w="0" w:type="auto"/>
            <w:noWrap/>
            <w:hideMark/>
          </w:tcPr>
          <w:p w14:paraId="60D585AE"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
                <w:bCs/>
                <w:color w:val="000000"/>
                <w:sz w:val="20"/>
                <w:szCs w:val="20"/>
                <w:lang w:eastAsia="zh-CN"/>
              </w:rPr>
            </w:pPr>
            <w:r w:rsidRPr="005906F9">
              <w:rPr>
                <w:rFonts w:cs="Courier New"/>
                <w:b/>
                <w:bCs/>
                <w:color w:val="000000"/>
                <w:sz w:val="20"/>
                <w:szCs w:val="20"/>
                <w:lang w:eastAsia="zh-CN"/>
              </w:rPr>
              <w:t>2009/2010</w:t>
            </w:r>
          </w:p>
        </w:tc>
        <w:tc>
          <w:tcPr>
            <w:tcW w:w="0" w:type="auto"/>
            <w:noWrap/>
            <w:vAlign w:val="center"/>
            <w:hideMark/>
          </w:tcPr>
          <w:p w14:paraId="7A763BCD"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30.36</w:t>
            </w:r>
          </w:p>
        </w:tc>
        <w:tc>
          <w:tcPr>
            <w:tcW w:w="0" w:type="auto"/>
            <w:noWrap/>
            <w:vAlign w:val="center"/>
            <w:hideMark/>
          </w:tcPr>
          <w:p w14:paraId="24E10E47"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12.92</w:t>
            </w:r>
          </w:p>
        </w:tc>
        <w:tc>
          <w:tcPr>
            <w:tcW w:w="0" w:type="auto"/>
            <w:noWrap/>
            <w:vAlign w:val="center"/>
            <w:hideMark/>
          </w:tcPr>
          <w:p w14:paraId="68ED755C"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17.44</w:t>
            </w:r>
          </w:p>
        </w:tc>
        <w:tc>
          <w:tcPr>
            <w:tcW w:w="0" w:type="auto"/>
            <w:noWrap/>
            <w:vAlign w:val="center"/>
            <w:hideMark/>
          </w:tcPr>
          <w:p w14:paraId="78BC33C5"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0.798</w:t>
            </w:r>
          </w:p>
        </w:tc>
        <w:tc>
          <w:tcPr>
            <w:tcW w:w="0" w:type="auto"/>
            <w:noWrap/>
            <w:vAlign w:val="center"/>
            <w:hideMark/>
          </w:tcPr>
          <w:p w14:paraId="671AF53D" w14:textId="77777777" w:rsidR="0068525B" w:rsidRPr="005906F9" w:rsidRDefault="0068525B" w:rsidP="009964C1">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bCs/>
                <w:color w:val="000000"/>
                <w:sz w:val="20"/>
                <w:szCs w:val="20"/>
                <w:lang w:eastAsia="zh-CN"/>
              </w:rPr>
            </w:pPr>
            <w:r w:rsidRPr="005906F9">
              <w:rPr>
                <w:rFonts w:cs="Courier New"/>
                <w:bCs/>
                <w:color w:val="000000"/>
                <w:sz w:val="20"/>
                <w:szCs w:val="20"/>
                <w:lang w:eastAsia="zh-CN"/>
              </w:rPr>
              <w:t>21.87</w:t>
            </w:r>
          </w:p>
        </w:tc>
      </w:tr>
    </w:tbl>
    <w:p w14:paraId="1627E766" w14:textId="555C61EF" w:rsidR="000757CA" w:rsidRPr="00616F4F" w:rsidRDefault="000757CA" w:rsidP="009964C1">
      <w:pPr>
        <w:spacing w:line="240" w:lineRule="auto"/>
        <w:rPr>
          <w:rFonts w:cs="Times New Roman"/>
          <w:sz w:val="18"/>
          <w:szCs w:val="18"/>
        </w:rPr>
      </w:pPr>
    </w:p>
    <w:p w14:paraId="43740411" w14:textId="77777777" w:rsidR="0068525B" w:rsidRDefault="0068525B">
      <w:pPr>
        <w:spacing w:after="160" w:line="259" w:lineRule="auto"/>
        <w:rPr>
          <w:rFonts w:eastAsiaTheme="majorEastAsia" w:cs="Arial"/>
          <w:color w:val="2E74B5" w:themeColor="accent1" w:themeShade="BF"/>
        </w:rPr>
      </w:pPr>
      <w:r>
        <w:rPr>
          <w:rFonts w:cs="Arial"/>
        </w:rPr>
        <w:br w:type="page"/>
      </w:r>
    </w:p>
    <w:p w14:paraId="13E4E343" w14:textId="7E407EF4" w:rsidR="006A7335" w:rsidRPr="00616F4F" w:rsidRDefault="006A7335" w:rsidP="00ED1C1F">
      <w:pPr>
        <w:pStyle w:val="Heading2"/>
        <w:rPr>
          <w:rFonts w:asciiTheme="minorHAnsi" w:hAnsiTheme="minorHAnsi" w:cs="Arial"/>
          <w:sz w:val="22"/>
          <w:szCs w:val="22"/>
        </w:rPr>
      </w:pPr>
      <w:bookmarkStart w:id="24" w:name="_Toc457312921"/>
      <w:r w:rsidRPr="00616F4F">
        <w:rPr>
          <w:rFonts w:asciiTheme="minorHAnsi" w:hAnsiTheme="minorHAnsi" w:cs="Arial"/>
          <w:sz w:val="22"/>
          <w:szCs w:val="22"/>
        </w:rPr>
        <w:lastRenderedPageBreak/>
        <w:t xml:space="preserve">Table </w:t>
      </w:r>
      <w:r w:rsidR="00635E43" w:rsidRPr="00616F4F">
        <w:rPr>
          <w:rFonts w:asciiTheme="minorHAnsi" w:hAnsiTheme="minorHAnsi" w:cs="Arial"/>
          <w:sz w:val="22"/>
          <w:szCs w:val="22"/>
        </w:rPr>
        <w:t>S</w:t>
      </w:r>
      <w:r w:rsidR="00635E43">
        <w:rPr>
          <w:rFonts w:asciiTheme="minorHAnsi" w:hAnsiTheme="minorHAnsi" w:cs="Arial"/>
          <w:sz w:val="22"/>
          <w:szCs w:val="22"/>
        </w:rPr>
        <w:t>DC</w:t>
      </w:r>
      <w:r w:rsidR="00892AA4">
        <w:rPr>
          <w:rFonts w:asciiTheme="minorHAnsi" w:hAnsiTheme="minorHAnsi" w:cs="Arial"/>
          <w:sz w:val="22"/>
          <w:szCs w:val="22"/>
        </w:rPr>
        <w:t>7</w:t>
      </w:r>
      <w:r w:rsidRPr="00616F4F">
        <w:rPr>
          <w:rFonts w:asciiTheme="minorHAnsi" w:hAnsiTheme="minorHAnsi" w:cs="Arial"/>
          <w:sz w:val="22"/>
          <w:szCs w:val="22"/>
        </w:rPr>
        <w:t xml:space="preserve">: </w:t>
      </w:r>
      <w:r w:rsidR="00EA4944">
        <w:rPr>
          <w:rFonts w:asciiTheme="minorHAnsi" w:hAnsiTheme="minorHAnsi" w:cs="Arial"/>
          <w:sz w:val="22"/>
          <w:szCs w:val="22"/>
        </w:rPr>
        <w:t>Population QALY weights</w:t>
      </w:r>
      <w:bookmarkEnd w:id="24"/>
      <w:r w:rsidRPr="00616F4F">
        <w:rPr>
          <w:rFonts w:asciiTheme="minorHAnsi" w:hAnsiTheme="minorHAnsi" w:cs="Arial"/>
          <w:sz w:val="22"/>
          <w:szCs w:val="22"/>
        </w:rPr>
        <w:t xml:space="preserve"> </w:t>
      </w:r>
    </w:p>
    <w:tbl>
      <w:tblPr>
        <w:tblStyle w:val="GridTable4-Accent12"/>
        <w:tblpPr w:leftFromText="180" w:rightFromText="180" w:vertAnchor="text" w:horzAnchor="margin" w:tblpY="542"/>
        <w:tblW w:w="1963" w:type="pct"/>
        <w:tblLayout w:type="fixed"/>
        <w:tblLook w:val="04A0" w:firstRow="1" w:lastRow="0" w:firstColumn="1" w:lastColumn="0" w:noHBand="0" w:noVBand="1"/>
      </w:tblPr>
      <w:tblGrid>
        <w:gridCol w:w="281"/>
        <w:gridCol w:w="1417"/>
        <w:gridCol w:w="1842"/>
      </w:tblGrid>
      <w:tr w:rsidR="00EA4944" w:rsidRPr="00616F4F" w14:paraId="5B555BCC" w14:textId="77777777" w:rsidTr="009964C1">
        <w:trPr>
          <w:cnfStyle w:val="100000000000" w:firstRow="1" w:lastRow="0" w:firstColumn="0" w:lastColumn="0" w:oddVBand="0" w:evenVBand="0" w:oddHBand="0" w:evenHBand="0" w:firstRowFirstColumn="0" w:firstRowLastColumn="0" w:lastRowFirstColumn="0" w:lastRowLastColumn="0"/>
          <w:trHeight w:hRule="exact" w:val="1009"/>
        </w:trPr>
        <w:tc>
          <w:tcPr>
            <w:cnfStyle w:val="001000000000" w:firstRow="0" w:lastRow="0" w:firstColumn="1" w:lastColumn="0" w:oddVBand="0" w:evenVBand="0" w:oddHBand="0" w:evenHBand="0" w:firstRowFirstColumn="0" w:firstRowLastColumn="0" w:lastRowFirstColumn="0" w:lastRowLastColumn="0"/>
            <w:tcW w:w="396" w:type="pct"/>
          </w:tcPr>
          <w:p w14:paraId="4EEF4573" w14:textId="62DC9501" w:rsidR="00EA4944" w:rsidRPr="00616F4F" w:rsidRDefault="00EA4944" w:rsidP="00E23FFA">
            <w:pPr>
              <w:widowControl w:val="0"/>
              <w:autoSpaceDE w:val="0"/>
              <w:autoSpaceDN w:val="0"/>
              <w:adjustRightInd w:val="0"/>
              <w:spacing w:line="360" w:lineRule="auto"/>
              <w:jc w:val="both"/>
              <w:rPr>
                <w:rFonts w:cs="Arial"/>
                <w:sz w:val="18"/>
                <w:szCs w:val="18"/>
              </w:rPr>
            </w:pPr>
          </w:p>
        </w:tc>
        <w:tc>
          <w:tcPr>
            <w:tcW w:w="2002" w:type="pct"/>
          </w:tcPr>
          <w:p w14:paraId="4C482AE3" w14:textId="77777777" w:rsidR="00EA4944" w:rsidRPr="00616F4F" w:rsidRDefault="00EA4944" w:rsidP="00E23FFA">
            <w:pPr>
              <w:widowControl w:val="0"/>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cs="Arial"/>
                <w:sz w:val="18"/>
                <w:szCs w:val="18"/>
              </w:rPr>
            </w:pPr>
          </w:p>
        </w:tc>
        <w:tc>
          <w:tcPr>
            <w:tcW w:w="2602" w:type="pct"/>
            <w:vAlign w:val="center"/>
          </w:tcPr>
          <w:p w14:paraId="07A225B4" w14:textId="7F05A946" w:rsidR="00EA4944" w:rsidRPr="00616F4F" w:rsidRDefault="00EA4944" w:rsidP="00B71E70">
            <w:pPr>
              <w:widowControl w:val="0"/>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 xml:space="preserve">QALY values </w:t>
            </w:r>
            <w:r w:rsidRPr="00616F4F">
              <w:rPr>
                <w:rFonts w:cs="Arial"/>
                <w:i/>
                <w:sz w:val="18"/>
                <w:szCs w:val="18"/>
              </w:rPr>
              <w:t>(</w:t>
            </w:r>
            <m:oMath>
              <m:sSub>
                <m:sSubPr>
                  <m:ctrlPr>
                    <w:rPr>
                      <w:rFonts w:ascii="Cambria Math" w:hAnsi="Cambria Math" w:cs="Arial"/>
                      <w:i/>
                      <w:sz w:val="18"/>
                      <w:szCs w:val="18"/>
                    </w:rPr>
                  </m:ctrlPr>
                </m:sSubPr>
                <m:e>
                  <m:r>
                    <m:rPr>
                      <m:sty m:val="bi"/>
                    </m:rPr>
                    <w:rPr>
                      <w:rFonts w:ascii="Cambria Math" w:hAnsi="Cambria Math" w:cs="Arial"/>
                      <w:sz w:val="18"/>
                      <w:szCs w:val="18"/>
                    </w:rPr>
                    <m:t>q</m:t>
                  </m:r>
                </m:e>
                <m:sub>
                  <m:r>
                    <m:rPr>
                      <m:sty m:val="bi"/>
                    </m:rPr>
                    <w:rPr>
                      <w:rFonts w:ascii="Cambria Math" w:hAnsi="Cambria Math" w:cs="Arial"/>
                      <w:sz w:val="18"/>
                      <w:szCs w:val="18"/>
                    </w:rPr>
                    <m:t>b</m:t>
                  </m:r>
                </m:sub>
              </m:sSub>
            </m:oMath>
            <w:r w:rsidRPr="00616F4F">
              <w:rPr>
                <w:rFonts w:cs="Arial"/>
                <w:i/>
                <w:sz w:val="18"/>
                <w:szCs w:val="18"/>
              </w:rPr>
              <w:t>)</w:t>
            </w:r>
            <w:r w:rsidRPr="00616F4F">
              <w:rPr>
                <w:rFonts w:cs="Arial"/>
                <w:sz w:val="18"/>
                <w:szCs w:val="18"/>
              </w:rPr>
              <w:t xml:space="preserve"> </w:t>
            </w:r>
          </w:p>
        </w:tc>
      </w:tr>
      <w:tr w:rsidR="00EA4944" w:rsidRPr="00616F4F" w14:paraId="2B3E2191" w14:textId="77777777" w:rsidTr="009964C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96" w:type="pct"/>
            <w:vMerge w:val="restart"/>
          </w:tcPr>
          <w:p w14:paraId="0C3A6060" w14:textId="634E8F2A" w:rsidR="00EA4944" w:rsidRPr="00616F4F" w:rsidRDefault="00EA4944" w:rsidP="00E23FFA">
            <w:pPr>
              <w:spacing w:line="360" w:lineRule="auto"/>
              <w:rPr>
                <w:rFonts w:cs="Arial"/>
                <w:b w:val="0"/>
                <w:bCs w:val="0"/>
                <w:color w:val="000000"/>
                <w:sz w:val="18"/>
                <w:szCs w:val="18"/>
              </w:rPr>
            </w:pPr>
          </w:p>
        </w:tc>
        <w:tc>
          <w:tcPr>
            <w:tcW w:w="2002" w:type="pct"/>
          </w:tcPr>
          <w:p w14:paraId="368FEB43" w14:textId="77777777" w:rsidR="00EA4944" w:rsidRPr="00616F4F" w:rsidRDefault="00EA4944" w:rsidP="00E23FFA">
            <w:pPr>
              <w:spacing w:line="360" w:lineRule="auto"/>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616F4F">
              <w:rPr>
                <w:rFonts w:cs="Arial"/>
                <w:bCs/>
                <w:color w:val="000000"/>
                <w:sz w:val="18"/>
                <w:szCs w:val="18"/>
              </w:rPr>
              <w:t xml:space="preserve">       Age 17-29</w:t>
            </w:r>
          </w:p>
        </w:tc>
        <w:tc>
          <w:tcPr>
            <w:tcW w:w="2602" w:type="pct"/>
          </w:tcPr>
          <w:p w14:paraId="4A413F82" w14:textId="77777777" w:rsidR="00EA4944" w:rsidRPr="00616F4F" w:rsidRDefault="00EA4944" w:rsidP="00E23FF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16F4F">
              <w:rPr>
                <w:rFonts w:cs="Arial"/>
                <w:color w:val="000000"/>
                <w:sz w:val="18"/>
                <w:szCs w:val="18"/>
              </w:rPr>
              <w:t>0.905</w:t>
            </w:r>
          </w:p>
        </w:tc>
      </w:tr>
      <w:tr w:rsidR="00EA4944" w:rsidRPr="00616F4F" w14:paraId="564A2EB6" w14:textId="77777777" w:rsidTr="009964C1">
        <w:trPr>
          <w:trHeight w:hRule="exact" w:val="284"/>
        </w:trPr>
        <w:tc>
          <w:tcPr>
            <w:cnfStyle w:val="001000000000" w:firstRow="0" w:lastRow="0" w:firstColumn="1" w:lastColumn="0" w:oddVBand="0" w:evenVBand="0" w:oddHBand="0" w:evenHBand="0" w:firstRowFirstColumn="0" w:firstRowLastColumn="0" w:lastRowFirstColumn="0" w:lastRowLastColumn="0"/>
            <w:tcW w:w="396" w:type="pct"/>
            <w:vMerge/>
          </w:tcPr>
          <w:p w14:paraId="099A702D" w14:textId="77777777" w:rsidR="00EA4944" w:rsidRPr="00616F4F" w:rsidRDefault="00EA4944" w:rsidP="00E23FFA">
            <w:pPr>
              <w:spacing w:line="360" w:lineRule="auto"/>
              <w:rPr>
                <w:rFonts w:cs="Arial"/>
                <w:b w:val="0"/>
                <w:bCs w:val="0"/>
                <w:color w:val="000000"/>
                <w:sz w:val="18"/>
                <w:szCs w:val="18"/>
              </w:rPr>
            </w:pPr>
          </w:p>
        </w:tc>
        <w:tc>
          <w:tcPr>
            <w:tcW w:w="2002" w:type="pct"/>
          </w:tcPr>
          <w:p w14:paraId="04CE202E" w14:textId="77777777" w:rsidR="00EA4944" w:rsidRPr="00616F4F" w:rsidRDefault="00EA4944" w:rsidP="00E23FFA">
            <w:pPr>
              <w:spacing w:line="360" w:lineRule="auto"/>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sidRPr="00616F4F">
              <w:rPr>
                <w:rFonts w:cs="Arial"/>
                <w:bCs/>
                <w:color w:val="000000"/>
                <w:sz w:val="18"/>
                <w:szCs w:val="18"/>
              </w:rPr>
              <w:t xml:space="preserve">       Age 30-39</w:t>
            </w:r>
          </w:p>
        </w:tc>
        <w:tc>
          <w:tcPr>
            <w:tcW w:w="2602" w:type="pct"/>
          </w:tcPr>
          <w:p w14:paraId="72B5302B" w14:textId="77777777" w:rsidR="00EA4944" w:rsidRPr="00616F4F" w:rsidRDefault="00EA4944" w:rsidP="00E23FF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16F4F">
              <w:rPr>
                <w:rFonts w:cs="Arial"/>
                <w:color w:val="000000"/>
                <w:sz w:val="18"/>
                <w:szCs w:val="18"/>
              </w:rPr>
              <w:t>0.879</w:t>
            </w:r>
          </w:p>
        </w:tc>
      </w:tr>
      <w:tr w:rsidR="00EA4944" w:rsidRPr="00616F4F" w14:paraId="6DA36020" w14:textId="77777777" w:rsidTr="009964C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96" w:type="pct"/>
            <w:vMerge/>
          </w:tcPr>
          <w:p w14:paraId="76EEE371" w14:textId="77777777" w:rsidR="00EA4944" w:rsidRPr="00616F4F" w:rsidRDefault="00EA4944" w:rsidP="00E23FFA">
            <w:pPr>
              <w:spacing w:line="360" w:lineRule="auto"/>
              <w:rPr>
                <w:rFonts w:cs="Arial"/>
                <w:b w:val="0"/>
                <w:bCs w:val="0"/>
                <w:color w:val="000000"/>
                <w:sz w:val="18"/>
                <w:szCs w:val="18"/>
              </w:rPr>
            </w:pPr>
          </w:p>
        </w:tc>
        <w:tc>
          <w:tcPr>
            <w:tcW w:w="2002" w:type="pct"/>
          </w:tcPr>
          <w:p w14:paraId="45985266" w14:textId="77777777" w:rsidR="00EA4944" w:rsidRPr="00616F4F" w:rsidRDefault="00EA4944" w:rsidP="00E23FFA">
            <w:pPr>
              <w:spacing w:line="360" w:lineRule="auto"/>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616F4F">
              <w:rPr>
                <w:rFonts w:cs="Arial"/>
                <w:bCs/>
                <w:color w:val="000000"/>
                <w:sz w:val="18"/>
                <w:szCs w:val="18"/>
              </w:rPr>
              <w:t xml:space="preserve">       Age 40-49</w:t>
            </w:r>
          </w:p>
        </w:tc>
        <w:tc>
          <w:tcPr>
            <w:tcW w:w="2602" w:type="pct"/>
          </w:tcPr>
          <w:p w14:paraId="7F9DDFB4" w14:textId="77777777" w:rsidR="00EA4944" w:rsidRPr="00616F4F" w:rsidRDefault="00EA4944" w:rsidP="00E23FF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16F4F">
              <w:rPr>
                <w:rFonts w:cs="Arial"/>
                <w:color w:val="000000"/>
                <w:sz w:val="18"/>
                <w:szCs w:val="18"/>
              </w:rPr>
              <w:t>0.837</w:t>
            </w:r>
          </w:p>
        </w:tc>
      </w:tr>
      <w:tr w:rsidR="00EA4944" w:rsidRPr="00616F4F" w14:paraId="0F2075E9" w14:textId="77777777" w:rsidTr="009964C1">
        <w:trPr>
          <w:trHeight w:hRule="exact" w:val="284"/>
        </w:trPr>
        <w:tc>
          <w:tcPr>
            <w:cnfStyle w:val="001000000000" w:firstRow="0" w:lastRow="0" w:firstColumn="1" w:lastColumn="0" w:oddVBand="0" w:evenVBand="0" w:oddHBand="0" w:evenHBand="0" w:firstRowFirstColumn="0" w:firstRowLastColumn="0" w:lastRowFirstColumn="0" w:lastRowLastColumn="0"/>
            <w:tcW w:w="396" w:type="pct"/>
            <w:vMerge/>
          </w:tcPr>
          <w:p w14:paraId="2FAB9B7F" w14:textId="77777777" w:rsidR="00EA4944" w:rsidRPr="00616F4F" w:rsidRDefault="00EA4944" w:rsidP="00E23FFA">
            <w:pPr>
              <w:spacing w:line="360" w:lineRule="auto"/>
              <w:rPr>
                <w:rFonts w:cs="Arial"/>
                <w:b w:val="0"/>
                <w:bCs w:val="0"/>
                <w:color w:val="000000"/>
                <w:sz w:val="18"/>
                <w:szCs w:val="18"/>
              </w:rPr>
            </w:pPr>
          </w:p>
        </w:tc>
        <w:tc>
          <w:tcPr>
            <w:tcW w:w="2002" w:type="pct"/>
          </w:tcPr>
          <w:p w14:paraId="657911F4" w14:textId="77777777" w:rsidR="00EA4944" w:rsidRPr="00616F4F" w:rsidRDefault="00EA4944" w:rsidP="00E23FFA">
            <w:pPr>
              <w:spacing w:line="360" w:lineRule="auto"/>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sidRPr="00616F4F">
              <w:rPr>
                <w:rFonts w:cs="Arial"/>
                <w:bCs/>
                <w:color w:val="000000"/>
                <w:sz w:val="18"/>
                <w:szCs w:val="18"/>
              </w:rPr>
              <w:t xml:space="preserve">       Age 50-59</w:t>
            </w:r>
          </w:p>
        </w:tc>
        <w:tc>
          <w:tcPr>
            <w:tcW w:w="2602" w:type="pct"/>
          </w:tcPr>
          <w:p w14:paraId="70B2AE08" w14:textId="77777777" w:rsidR="00EA4944" w:rsidRPr="00616F4F" w:rsidRDefault="00EA4944" w:rsidP="00E23FF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16F4F">
              <w:rPr>
                <w:rFonts w:cs="Arial"/>
                <w:color w:val="000000"/>
                <w:sz w:val="18"/>
                <w:szCs w:val="18"/>
              </w:rPr>
              <w:t>0.798</w:t>
            </w:r>
          </w:p>
        </w:tc>
      </w:tr>
      <w:tr w:rsidR="00EA4944" w:rsidRPr="00616F4F" w14:paraId="354B6BC2" w14:textId="77777777" w:rsidTr="009964C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96" w:type="pct"/>
            <w:vMerge/>
          </w:tcPr>
          <w:p w14:paraId="6B581B12" w14:textId="77777777" w:rsidR="00EA4944" w:rsidRPr="00616F4F" w:rsidRDefault="00EA4944" w:rsidP="00E23FFA">
            <w:pPr>
              <w:spacing w:line="360" w:lineRule="auto"/>
              <w:rPr>
                <w:rFonts w:cs="Arial"/>
                <w:b w:val="0"/>
                <w:bCs w:val="0"/>
                <w:color w:val="000000"/>
                <w:sz w:val="18"/>
                <w:szCs w:val="18"/>
              </w:rPr>
            </w:pPr>
          </w:p>
        </w:tc>
        <w:tc>
          <w:tcPr>
            <w:tcW w:w="2002" w:type="pct"/>
          </w:tcPr>
          <w:p w14:paraId="2E1380EB" w14:textId="77777777" w:rsidR="00EA4944" w:rsidRPr="00616F4F" w:rsidRDefault="00EA4944" w:rsidP="00E23FFA">
            <w:pPr>
              <w:spacing w:line="360" w:lineRule="auto"/>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616F4F">
              <w:rPr>
                <w:rFonts w:cs="Arial"/>
                <w:bCs/>
                <w:color w:val="000000"/>
                <w:sz w:val="18"/>
                <w:szCs w:val="18"/>
              </w:rPr>
              <w:t xml:space="preserve">       Age 60-69</w:t>
            </w:r>
          </w:p>
        </w:tc>
        <w:tc>
          <w:tcPr>
            <w:tcW w:w="2602" w:type="pct"/>
          </w:tcPr>
          <w:p w14:paraId="3D45891E" w14:textId="77777777" w:rsidR="00EA4944" w:rsidRPr="00616F4F" w:rsidRDefault="00EA4944" w:rsidP="00E23FF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16F4F">
              <w:rPr>
                <w:rFonts w:cs="Arial"/>
                <w:color w:val="000000"/>
                <w:sz w:val="18"/>
                <w:szCs w:val="18"/>
              </w:rPr>
              <w:t>0.774</w:t>
            </w:r>
          </w:p>
        </w:tc>
      </w:tr>
      <w:tr w:rsidR="00EA4944" w:rsidRPr="00616F4F" w14:paraId="726608C5" w14:textId="77777777" w:rsidTr="009964C1">
        <w:trPr>
          <w:trHeight w:hRule="exact" w:val="284"/>
        </w:trPr>
        <w:tc>
          <w:tcPr>
            <w:cnfStyle w:val="001000000000" w:firstRow="0" w:lastRow="0" w:firstColumn="1" w:lastColumn="0" w:oddVBand="0" w:evenVBand="0" w:oddHBand="0" w:evenHBand="0" w:firstRowFirstColumn="0" w:firstRowLastColumn="0" w:lastRowFirstColumn="0" w:lastRowLastColumn="0"/>
            <w:tcW w:w="396" w:type="pct"/>
            <w:vMerge/>
          </w:tcPr>
          <w:p w14:paraId="2971B9EF" w14:textId="77777777" w:rsidR="00EA4944" w:rsidRPr="00616F4F" w:rsidRDefault="00EA4944" w:rsidP="00E23FFA">
            <w:pPr>
              <w:spacing w:line="360" w:lineRule="auto"/>
              <w:rPr>
                <w:rFonts w:cs="Arial"/>
                <w:b w:val="0"/>
                <w:bCs w:val="0"/>
                <w:color w:val="000000"/>
                <w:sz w:val="18"/>
                <w:szCs w:val="18"/>
              </w:rPr>
            </w:pPr>
          </w:p>
        </w:tc>
        <w:tc>
          <w:tcPr>
            <w:tcW w:w="2002" w:type="pct"/>
          </w:tcPr>
          <w:p w14:paraId="0AF6D21B" w14:textId="77777777" w:rsidR="00EA4944" w:rsidRPr="00616F4F" w:rsidRDefault="00EA4944" w:rsidP="00E23FFA">
            <w:pPr>
              <w:spacing w:line="360" w:lineRule="auto"/>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sidRPr="00616F4F">
              <w:rPr>
                <w:rFonts w:cs="Arial"/>
                <w:bCs/>
                <w:color w:val="000000"/>
                <w:sz w:val="18"/>
                <w:szCs w:val="18"/>
              </w:rPr>
              <w:t xml:space="preserve">       Age 70-79</w:t>
            </w:r>
          </w:p>
        </w:tc>
        <w:tc>
          <w:tcPr>
            <w:tcW w:w="2602" w:type="pct"/>
          </w:tcPr>
          <w:p w14:paraId="39E705D7" w14:textId="77777777" w:rsidR="00EA4944" w:rsidRPr="00616F4F" w:rsidRDefault="00EA4944" w:rsidP="00E23FF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16F4F">
              <w:rPr>
                <w:rFonts w:cs="Arial"/>
                <w:color w:val="000000"/>
                <w:sz w:val="18"/>
                <w:szCs w:val="18"/>
              </w:rPr>
              <w:t>0.723</w:t>
            </w:r>
          </w:p>
        </w:tc>
      </w:tr>
      <w:tr w:rsidR="00EA4944" w:rsidRPr="00616F4F" w14:paraId="562EC637" w14:textId="77777777" w:rsidTr="009964C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96" w:type="pct"/>
            <w:vMerge/>
          </w:tcPr>
          <w:p w14:paraId="4F6B6F31" w14:textId="77777777" w:rsidR="00EA4944" w:rsidRPr="00616F4F" w:rsidRDefault="00EA4944" w:rsidP="00E23FFA">
            <w:pPr>
              <w:spacing w:line="360" w:lineRule="auto"/>
              <w:rPr>
                <w:rFonts w:cs="Arial"/>
                <w:b w:val="0"/>
                <w:bCs w:val="0"/>
                <w:color w:val="000000"/>
                <w:sz w:val="18"/>
                <w:szCs w:val="18"/>
              </w:rPr>
            </w:pPr>
          </w:p>
        </w:tc>
        <w:tc>
          <w:tcPr>
            <w:tcW w:w="2002" w:type="pct"/>
          </w:tcPr>
          <w:p w14:paraId="67958DEE" w14:textId="77777777" w:rsidR="00EA4944" w:rsidRPr="00616F4F" w:rsidRDefault="00EA4944" w:rsidP="00E23FFA">
            <w:pPr>
              <w:spacing w:line="360" w:lineRule="auto"/>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616F4F">
              <w:rPr>
                <w:rFonts w:cs="Arial"/>
                <w:bCs/>
                <w:color w:val="000000"/>
                <w:sz w:val="18"/>
                <w:szCs w:val="18"/>
              </w:rPr>
              <w:t xml:space="preserve">       Age 80+</w:t>
            </w:r>
          </w:p>
        </w:tc>
        <w:tc>
          <w:tcPr>
            <w:tcW w:w="2602" w:type="pct"/>
          </w:tcPr>
          <w:p w14:paraId="6F72C936" w14:textId="77777777" w:rsidR="00EA4944" w:rsidRPr="00616F4F" w:rsidRDefault="00EA4944" w:rsidP="00E23FF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16F4F">
              <w:rPr>
                <w:rFonts w:cs="Arial"/>
                <w:color w:val="000000"/>
                <w:sz w:val="18"/>
                <w:szCs w:val="18"/>
              </w:rPr>
              <w:t>0.657</w:t>
            </w:r>
          </w:p>
        </w:tc>
      </w:tr>
    </w:tbl>
    <w:p w14:paraId="15294A8A" w14:textId="77777777" w:rsidR="006A7335" w:rsidRPr="00616F4F" w:rsidRDefault="006A7335">
      <w:pPr>
        <w:spacing w:after="160" w:line="259" w:lineRule="auto"/>
        <w:rPr>
          <w:rFonts w:cs="Times New Roman"/>
          <w:sz w:val="18"/>
          <w:szCs w:val="18"/>
        </w:rPr>
      </w:pPr>
    </w:p>
    <w:p w14:paraId="471A639A" w14:textId="77777777" w:rsidR="00E23FFA" w:rsidRDefault="00E23FFA">
      <w:pPr>
        <w:spacing w:after="160" w:line="259" w:lineRule="auto"/>
        <w:rPr>
          <w:rFonts w:cs="Arial"/>
          <w:sz w:val="18"/>
          <w:szCs w:val="18"/>
        </w:rPr>
      </w:pPr>
    </w:p>
    <w:p w14:paraId="401466A1" w14:textId="0BBB118B" w:rsidR="00B71E70" w:rsidRDefault="00B71E70">
      <w:pPr>
        <w:spacing w:after="160" w:line="259" w:lineRule="auto"/>
        <w:rPr>
          <w:rFonts w:cs="Arial"/>
          <w:sz w:val="18"/>
          <w:szCs w:val="18"/>
        </w:rPr>
      </w:pPr>
    </w:p>
    <w:p w14:paraId="6E353EE7" w14:textId="77777777" w:rsidR="00B71E70" w:rsidRDefault="00B71E70">
      <w:pPr>
        <w:spacing w:after="160" w:line="259" w:lineRule="auto"/>
        <w:rPr>
          <w:rFonts w:cs="Arial"/>
          <w:sz w:val="18"/>
          <w:szCs w:val="18"/>
        </w:rPr>
      </w:pPr>
    </w:p>
    <w:p w14:paraId="1280F1C7" w14:textId="77777777" w:rsidR="00B71E70" w:rsidRDefault="00B71E70">
      <w:pPr>
        <w:spacing w:after="160" w:line="259" w:lineRule="auto"/>
        <w:rPr>
          <w:rFonts w:cs="Arial"/>
          <w:sz w:val="18"/>
          <w:szCs w:val="18"/>
        </w:rPr>
      </w:pPr>
    </w:p>
    <w:p w14:paraId="23A1DC82" w14:textId="77777777" w:rsidR="00B71E70" w:rsidRDefault="00B71E70">
      <w:pPr>
        <w:spacing w:after="160" w:line="259" w:lineRule="auto"/>
        <w:rPr>
          <w:rFonts w:cs="Arial"/>
          <w:sz w:val="18"/>
          <w:szCs w:val="18"/>
        </w:rPr>
      </w:pPr>
    </w:p>
    <w:p w14:paraId="192E2F27" w14:textId="77777777" w:rsidR="00B71E70" w:rsidRDefault="00B71E70">
      <w:pPr>
        <w:spacing w:after="160" w:line="259" w:lineRule="auto"/>
        <w:rPr>
          <w:rFonts w:cs="Arial"/>
          <w:sz w:val="18"/>
          <w:szCs w:val="18"/>
        </w:rPr>
      </w:pPr>
    </w:p>
    <w:p w14:paraId="1A212770" w14:textId="77777777" w:rsidR="00B71E70" w:rsidRDefault="00B71E70">
      <w:pPr>
        <w:spacing w:after="160" w:line="259" w:lineRule="auto"/>
        <w:rPr>
          <w:rFonts w:cs="Arial"/>
          <w:sz w:val="18"/>
          <w:szCs w:val="18"/>
        </w:rPr>
      </w:pPr>
    </w:p>
    <w:p w14:paraId="6CBD766A" w14:textId="77777777" w:rsidR="00B71E70" w:rsidRDefault="00B71E70">
      <w:pPr>
        <w:spacing w:after="160" w:line="259" w:lineRule="auto"/>
        <w:rPr>
          <w:rFonts w:cs="Arial"/>
          <w:sz w:val="18"/>
          <w:szCs w:val="18"/>
        </w:rPr>
      </w:pPr>
    </w:p>
    <w:p w14:paraId="3099A6A4" w14:textId="77777777" w:rsidR="00B71E70" w:rsidRDefault="00B71E70">
      <w:pPr>
        <w:spacing w:after="160" w:line="259" w:lineRule="auto"/>
        <w:rPr>
          <w:rFonts w:cs="Arial"/>
          <w:sz w:val="18"/>
          <w:szCs w:val="18"/>
        </w:rPr>
      </w:pPr>
    </w:p>
    <w:p w14:paraId="6C1D4EC5" w14:textId="71051E23" w:rsidR="006A7335" w:rsidRPr="00616F4F" w:rsidRDefault="006A7335">
      <w:pPr>
        <w:spacing w:after="160" w:line="259" w:lineRule="auto"/>
        <w:rPr>
          <w:rFonts w:cs="Arial"/>
          <w:sz w:val="18"/>
          <w:szCs w:val="18"/>
        </w:rPr>
      </w:pPr>
      <w:r w:rsidRPr="00616F4F">
        <w:rPr>
          <w:rFonts w:cs="Arial"/>
          <w:sz w:val="18"/>
          <w:szCs w:val="18"/>
        </w:rPr>
        <w:t>Note: The table shows the population QALY values used in the calculation of loss of health due to mortality</w:t>
      </w:r>
      <w:r w:rsidR="00EA4944">
        <w:rPr>
          <w:rFonts w:cs="Arial"/>
          <w:sz w:val="18"/>
          <w:szCs w:val="18"/>
        </w:rPr>
        <w:t xml:space="preserve"> </w:t>
      </w:r>
      <w:r w:rsidR="004853CC">
        <w:rPr>
          <w:rFonts w:cs="Arial"/>
          <w:sz w:val="18"/>
          <w:szCs w:val="18"/>
        </w:rPr>
        <w:t xml:space="preserve">from </w:t>
      </w:r>
      <w:r w:rsidR="00EA4944" w:rsidRPr="00616F4F">
        <w:rPr>
          <w:rFonts w:cs="Arial"/>
          <w:bCs/>
          <w:color w:val="000000"/>
          <w:sz w:val="18"/>
          <w:szCs w:val="18"/>
        </w:rPr>
        <w:t>Sullivan et al (2011)</w:t>
      </w:r>
      <w:r w:rsidR="004853CC">
        <w:rPr>
          <w:rFonts w:cs="Arial"/>
          <w:bCs/>
          <w:color w:val="000000"/>
          <w:sz w:val="18"/>
          <w:szCs w:val="18"/>
        </w:rPr>
        <w:t>.</w:t>
      </w:r>
      <w:r w:rsidRPr="00616F4F">
        <w:rPr>
          <w:rFonts w:cs="Arial"/>
          <w:sz w:val="18"/>
          <w:szCs w:val="18"/>
        </w:rPr>
        <w:t xml:space="preserve"> </w:t>
      </w:r>
    </w:p>
    <w:p w14:paraId="3B63D613" w14:textId="77777777" w:rsidR="00864863" w:rsidRPr="00616F4F" w:rsidRDefault="00864863">
      <w:pPr>
        <w:spacing w:after="160" w:line="259" w:lineRule="auto"/>
        <w:rPr>
          <w:rFonts w:cs="Times New Roman"/>
          <w:sz w:val="18"/>
          <w:szCs w:val="18"/>
        </w:rPr>
      </w:pPr>
    </w:p>
    <w:p w14:paraId="00187025" w14:textId="3653171E" w:rsidR="00B64822" w:rsidRPr="00616F4F" w:rsidRDefault="00B64822">
      <w:pPr>
        <w:spacing w:after="160" w:line="259" w:lineRule="auto"/>
        <w:rPr>
          <w:sz w:val="18"/>
          <w:szCs w:val="18"/>
        </w:rPr>
      </w:pPr>
      <w:r w:rsidRPr="00616F4F">
        <w:rPr>
          <w:sz w:val="18"/>
          <w:szCs w:val="18"/>
        </w:rPr>
        <w:br w:type="page"/>
      </w:r>
    </w:p>
    <w:p w14:paraId="4492FBBB" w14:textId="6B27F6B6" w:rsidR="00864863" w:rsidRPr="00616F4F" w:rsidRDefault="00864863" w:rsidP="00864863">
      <w:pPr>
        <w:pStyle w:val="Heading2"/>
        <w:rPr>
          <w:rFonts w:asciiTheme="minorHAnsi" w:hAnsiTheme="minorHAnsi" w:cs="Arial"/>
          <w:sz w:val="22"/>
          <w:szCs w:val="22"/>
        </w:rPr>
      </w:pPr>
      <w:bookmarkStart w:id="25" w:name="_Toc420865622"/>
      <w:bookmarkStart w:id="26" w:name="_Toc457312922"/>
      <w:r w:rsidRPr="00616F4F">
        <w:rPr>
          <w:rFonts w:asciiTheme="minorHAnsi" w:hAnsiTheme="minorHAnsi" w:cs="Arial"/>
          <w:sz w:val="22"/>
          <w:szCs w:val="22"/>
        </w:rPr>
        <w:lastRenderedPageBreak/>
        <w:t xml:space="preserve">Table </w:t>
      </w:r>
      <w:r w:rsidR="00635E43" w:rsidRPr="00616F4F">
        <w:rPr>
          <w:rFonts w:asciiTheme="minorHAnsi" w:hAnsiTheme="minorHAnsi" w:cs="Arial"/>
          <w:sz w:val="22"/>
          <w:szCs w:val="22"/>
        </w:rPr>
        <w:t>S</w:t>
      </w:r>
      <w:r w:rsidR="00635E43">
        <w:rPr>
          <w:rFonts w:asciiTheme="minorHAnsi" w:hAnsiTheme="minorHAnsi" w:cs="Arial"/>
          <w:sz w:val="22"/>
          <w:szCs w:val="22"/>
        </w:rPr>
        <w:t>DC</w:t>
      </w:r>
      <w:r w:rsidR="00892AA4">
        <w:rPr>
          <w:rFonts w:asciiTheme="minorHAnsi" w:hAnsiTheme="minorHAnsi" w:cs="Arial"/>
          <w:sz w:val="22"/>
          <w:szCs w:val="22"/>
        </w:rPr>
        <w:t>8</w:t>
      </w:r>
      <w:r w:rsidRPr="00616F4F">
        <w:rPr>
          <w:rFonts w:asciiTheme="minorHAnsi" w:hAnsiTheme="minorHAnsi" w:cs="Arial"/>
          <w:sz w:val="22"/>
          <w:szCs w:val="22"/>
        </w:rPr>
        <w:t xml:space="preserve">: Reductions in quality-of-life associated with 240 comorbidities </w:t>
      </w:r>
      <w:bookmarkEnd w:id="25"/>
      <w:r w:rsidRPr="00616F4F">
        <w:rPr>
          <w:rFonts w:asciiTheme="minorHAnsi" w:hAnsiTheme="minorHAnsi" w:cs="Arial"/>
          <w:sz w:val="22"/>
          <w:szCs w:val="22"/>
        </w:rPr>
        <w:t>(Sullivan et al. 2011)</w:t>
      </w:r>
      <w:bookmarkEnd w:id="26"/>
    </w:p>
    <w:p w14:paraId="55D008EE" w14:textId="77777777" w:rsidR="00864863" w:rsidRPr="00616F4F" w:rsidRDefault="00864863">
      <w:pPr>
        <w:spacing w:after="160" w:line="259" w:lineRule="auto"/>
        <w:rPr>
          <w:sz w:val="18"/>
          <w:szCs w:val="18"/>
        </w:rPr>
      </w:pPr>
    </w:p>
    <w:tbl>
      <w:tblPr>
        <w:tblStyle w:val="GridTable4-Accent12"/>
        <w:tblW w:w="4950" w:type="pct"/>
        <w:tblLayout w:type="fixed"/>
        <w:tblLook w:val="04A0" w:firstRow="1" w:lastRow="0" w:firstColumn="1" w:lastColumn="0" w:noHBand="0" w:noVBand="1"/>
      </w:tblPr>
      <w:tblGrid>
        <w:gridCol w:w="3817"/>
        <w:gridCol w:w="1423"/>
        <w:gridCol w:w="1276"/>
        <w:gridCol w:w="1276"/>
        <w:gridCol w:w="1134"/>
      </w:tblGrid>
      <w:tr w:rsidR="00B64822" w:rsidRPr="006C491B" w14:paraId="00080ABA" w14:textId="77777777" w:rsidTr="006C491B">
        <w:trPr>
          <w:cnfStyle w:val="100000000000" w:firstRow="1" w:lastRow="0" w:firstColumn="0" w:lastColumn="0" w:oddVBand="0" w:evenVBand="0" w:oddHBand="0" w:evenHBand="0" w:firstRowFirstColumn="0" w:firstRowLastColumn="0" w:lastRowFirstColumn="0" w:lastRowLastColumn="0"/>
          <w:trHeight w:hRule="exact" w:val="785"/>
        </w:trPr>
        <w:tc>
          <w:tcPr>
            <w:cnfStyle w:val="001000000000" w:firstRow="0" w:lastRow="0" w:firstColumn="1" w:lastColumn="0" w:oddVBand="0" w:evenVBand="0" w:oddHBand="0" w:evenHBand="0" w:firstRowFirstColumn="0" w:firstRowLastColumn="0" w:lastRowFirstColumn="0" w:lastRowLastColumn="0"/>
            <w:tcW w:w="2138" w:type="pct"/>
            <w:noWrap/>
            <w:vAlign w:val="center"/>
            <w:hideMark/>
          </w:tcPr>
          <w:p w14:paraId="28F36B54" w14:textId="77777777" w:rsidR="00B64822" w:rsidRPr="006C491B" w:rsidRDefault="00B64822" w:rsidP="00864863">
            <w:pPr>
              <w:rPr>
                <w:rFonts w:cs="Arial"/>
                <w:sz w:val="18"/>
                <w:szCs w:val="18"/>
              </w:rPr>
            </w:pPr>
            <w:r w:rsidRPr="006C491B">
              <w:rPr>
                <w:rFonts w:cs="Arial"/>
                <w:sz w:val="18"/>
                <w:szCs w:val="18"/>
              </w:rPr>
              <w:t>Comorbidity</w:t>
            </w:r>
          </w:p>
        </w:tc>
        <w:tc>
          <w:tcPr>
            <w:tcW w:w="797" w:type="pct"/>
            <w:noWrap/>
            <w:vAlign w:val="center"/>
            <w:hideMark/>
          </w:tcPr>
          <w:p w14:paraId="1D693954" w14:textId="77777777" w:rsidR="00B64822" w:rsidRPr="006C491B" w:rsidRDefault="00B64822" w:rsidP="00864863">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QALY reduction (</w:t>
            </w:r>
            <w:proofErr w:type="spellStart"/>
            <w:r w:rsidRPr="006C491B">
              <w:rPr>
                <w:rFonts w:cs="Arial"/>
                <w:sz w:val="18"/>
                <w:szCs w:val="18"/>
              </w:rPr>
              <w:t>d</w:t>
            </w:r>
            <w:r w:rsidRPr="006C491B">
              <w:rPr>
                <w:rFonts w:cs="Arial"/>
                <w:sz w:val="18"/>
                <w:szCs w:val="18"/>
                <w:vertAlign w:val="subscript"/>
              </w:rPr>
              <w:t>ij</w:t>
            </w:r>
            <w:proofErr w:type="spellEnd"/>
            <w:r w:rsidRPr="006C491B">
              <w:rPr>
                <w:rFonts w:cs="Arial"/>
                <w:sz w:val="18"/>
                <w:szCs w:val="18"/>
              </w:rPr>
              <w:t>)</w:t>
            </w:r>
          </w:p>
        </w:tc>
        <w:tc>
          <w:tcPr>
            <w:tcW w:w="715" w:type="pct"/>
            <w:noWrap/>
            <w:vAlign w:val="center"/>
            <w:hideMark/>
          </w:tcPr>
          <w:p w14:paraId="68C90DC0" w14:textId="77777777" w:rsidR="00B64822" w:rsidRPr="006C491B" w:rsidRDefault="00B64822" w:rsidP="00864863">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Std. Err.</w:t>
            </w:r>
          </w:p>
        </w:tc>
        <w:tc>
          <w:tcPr>
            <w:tcW w:w="715" w:type="pct"/>
            <w:noWrap/>
            <w:vAlign w:val="center"/>
            <w:hideMark/>
          </w:tcPr>
          <w:p w14:paraId="04216E79" w14:textId="77777777" w:rsidR="00B64822" w:rsidRPr="006C491B" w:rsidRDefault="00B64822" w:rsidP="00864863">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z</w:t>
            </w:r>
          </w:p>
        </w:tc>
        <w:tc>
          <w:tcPr>
            <w:tcW w:w="635" w:type="pct"/>
            <w:noWrap/>
            <w:vAlign w:val="center"/>
            <w:hideMark/>
          </w:tcPr>
          <w:p w14:paraId="1197C4C4" w14:textId="77777777" w:rsidR="00B64822" w:rsidRPr="006C491B" w:rsidRDefault="00B64822" w:rsidP="00864863">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P&gt;|z|</w:t>
            </w:r>
          </w:p>
        </w:tc>
      </w:tr>
      <w:tr w:rsidR="00B64822" w:rsidRPr="00616F4F" w14:paraId="2EA79321"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F902D7A" w14:textId="77777777" w:rsidR="00B64822" w:rsidRPr="00616F4F" w:rsidRDefault="00B64822" w:rsidP="00864863">
            <w:pPr>
              <w:rPr>
                <w:rFonts w:cs="Arial"/>
                <w:b w:val="0"/>
                <w:sz w:val="18"/>
                <w:szCs w:val="18"/>
              </w:rPr>
            </w:pPr>
            <w:r w:rsidRPr="00616F4F">
              <w:rPr>
                <w:rFonts w:cs="Arial"/>
                <w:b w:val="0"/>
                <w:sz w:val="18"/>
                <w:szCs w:val="18"/>
              </w:rPr>
              <w:t>005 HIV Infection</w:t>
            </w:r>
          </w:p>
        </w:tc>
        <w:tc>
          <w:tcPr>
            <w:tcW w:w="797" w:type="pct"/>
            <w:noWrap/>
            <w:hideMark/>
          </w:tcPr>
          <w:p w14:paraId="692D8C1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-0.056</w:t>
            </w:r>
          </w:p>
        </w:tc>
        <w:tc>
          <w:tcPr>
            <w:tcW w:w="715" w:type="pct"/>
            <w:noWrap/>
            <w:hideMark/>
          </w:tcPr>
          <w:p w14:paraId="136455F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0.029</w:t>
            </w:r>
          </w:p>
        </w:tc>
        <w:tc>
          <w:tcPr>
            <w:tcW w:w="715" w:type="pct"/>
            <w:noWrap/>
            <w:hideMark/>
          </w:tcPr>
          <w:p w14:paraId="0B4328D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-1.930</w:t>
            </w:r>
          </w:p>
        </w:tc>
        <w:tc>
          <w:tcPr>
            <w:tcW w:w="635" w:type="pct"/>
            <w:noWrap/>
            <w:hideMark/>
          </w:tcPr>
          <w:p w14:paraId="2A81C154"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0.053</w:t>
            </w:r>
          </w:p>
        </w:tc>
      </w:tr>
      <w:tr w:rsidR="00B64822" w:rsidRPr="00616F4F" w14:paraId="30AB1C03"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DC43380" w14:textId="77777777" w:rsidR="00B64822" w:rsidRPr="00616F4F" w:rsidRDefault="00B64822" w:rsidP="00864863">
            <w:pPr>
              <w:rPr>
                <w:rFonts w:cs="Arial"/>
                <w:b w:val="0"/>
                <w:sz w:val="18"/>
                <w:szCs w:val="18"/>
              </w:rPr>
            </w:pPr>
            <w:r w:rsidRPr="00616F4F">
              <w:rPr>
                <w:rFonts w:cs="Arial"/>
                <w:b w:val="0"/>
                <w:sz w:val="18"/>
                <w:szCs w:val="18"/>
              </w:rPr>
              <w:t>006 Hepatitis</w:t>
            </w:r>
          </w:p>
        </w:tc>
        <w:tc>
          <w:tcPr>
            <w:tcW w:w="797" w:type="pct"/>
            <w:noWrap/>
            <w:hideMark/>
          </w:tcPr>
          <w:p w14:paraId="1AF89F8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-0.058</w:t>
            </w:r>
          </w:p>
        </w:tc>
        <w:tc>
          <w:tcPr>
            <w:tcW w:w="715" w:type="pct"/>
            <w:noWrap/>
            <w:hideMark/>
          </w:tcPr>
          <w:p w14:paraId="4F0CB26B"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0.019</w:t>
            </w:r>
          </w:p>
        </w:tc>
        <w:tc>
          <w:tcPr>
            <w:tcW w:w="715" w:type="pct"/>
            <w:noWrap/>
            <w:hideMark/>
          </w:tcPr>
          <w:p w14:paraId="35258B7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-3.140</w:t>
            </w:r>
          </w:p>
        </w:tc>
        <w:tc>
          <w:tcPr>
            <w:tcW w:w="635" w:type="pct"/>
            <w:noWrap/>
            <w:hideMark/>
          </w:tcPr>
          <w:p w14:paraId="7C6315F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0.002</w:t>
            </w:r>
          </w:p>
        </w:tc>
      </w:tr>
      <w:tr w:rsidR="00B64822" w:rsidRPr="00616F4F" w14:paraId="2B89873E"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F5E7E7A" w14:textId="77777777" w:rsidR="00B64822" w:rsidRPr="00616F4F" w:rsidRDefault="00B64822" w:rsidP="00864863">
            <w:pPr>
              <w:rPr>
                <w:rFonts w:cs="Arial"/>
                <w:b w:val="0"/>
                <w:sz w:val="18"/>
                <w:szCs w:val="18"/>
              </w:rPr>
            </w:pPr>
            <w:r w:rsidRPr="00616F4F">
              <w:rPr>
                <w:rFonts w:cs="Arial"/>
                <w:b w:val="0"/>
                <w:sz w:val="18"/>
                <w:szCs w:val="18"/>
              </w:rPr>
              <w:t>011 Cancer Of Head And Neck</w:t>
            </w:r>
          </w:p>
        </w:tc>
        <w:tc>
          <w:tcPr>
            <w:tcW w:w="797" w:type="pct"/>
            <w:noWrap/>
            <w:hideMark/>
          </w:tcPr>
          <w:p w14:paraId="5726CA9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-0.056</w:t>
            </w:r>
          </w:p>
        </w:tc>
        <w:tc>
          <w:tcPr>
            <w:tcW w:w="715" w:type="pct"/>
            <w:noWrap/>
            <w:hideMark/>
          </w:tcPr>
          <w:p w14:paraId="0635D1A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0.020</w:t>
            </w:r>
          </w:p>
        </w:tc>
        <w:tc>
          <w:tcPr>
            <w:tcW w:w="715" w:type="pct"/>
            <w:noWrap/>
            <w:hideMark/>
          </w:tcPr>
          <w:p w14:paraId="59B8B74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-2.870</w:t>
            </w:r>
          </w:p>
        </w:tc>
        <w:tc>
          <w:tcPr>
            <w:tcW w:w="635" w:type="pct"/>
            <w:noWrap/>
            <w:hideMark/>
          </w:tcPr>
          <w:p w14:paraId="1E5B0C5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0.004</w:t>
            </w:r>
          </w:p>
        </w:tc>
      </w:tr>
      <w:tr w:rsidR="00B64822" w:rsidRPr="00616F4F" w14:paraId="418B4E1A"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6160F24" w14:textId="77777777" w:rsidR="00B64822" w:rsidRPr="00616F4F" w:rsidRDefault="00B64822" w:rsidP="00864863">
            <w:pPr>
              <w:rPr>
                <w:rFonts w:cs="Arial"/>
                <w:b w:val="0"/>
                <w:sz w:val="18"/>
                <w:szCs w:val="18"/>
              </w:rPr>
            </w:pPr>
            <w:r w:rsidRPr="00616F4F">
              <w:rPr>
                <w:rFonts w:cs="Arial"/>
                <w:b w:val="0"/>
                <w:sz w:val="18"/>
                <w:szCs w:val="18"/>
              </w:rPr>
              <w:t>014 Cancer Of Colon</w:t>
            </w:r>
          </w:p>
        </w:tc>
        <w:tc>
          <w:tcPr>
            <w:tcW w:w="797" w:type="pct"/>
            <w:noWrap/>
            <w:hideMark/>
          </w:tcPr>
          <w:p w14:paraId="274FCC1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-0.038</w:t>
            </w:r>
          </w:p>
        </w:tc>
        <w:tc>
          <w:tcPr>
            <w:tcW w:w="715" w:type="pct"/>
            <w:noWrap/>
            <w:hideMark/>
          </w:tcPr>
          <w:p w14:paraId="3B5488E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0.018</w:t>
            </w:r>
          </w:p>
        </w:tc>
        <w:tc>
          <w:tcPr>
            <w:tcW w:w="715" w:type="pct"/>
            <w:noWrap/>
            <w:hideMark/>
          </w:tcPr>
          <w:p w14:paraId="3515193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-2.060</w:t>
            </w:r>
          </w:p>
        </w:tc>
        <w:tc>
          <w:tcPr>
            <w:tcW w:w="635" w:type="pct"/>
            <w:noWrap/>
            <w:hideMark/>
          </w:tcPr>
          <w:p w14:paraId="0575A3F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0.039</w:t>
            </w:r>
          </w:p>
        </w:tc>
      </w:tr>
      <w:tr w:rsidR="00B64822" w:rsidRPr="00616F4F" w14:paraId="510679BB"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84008D9" w14:textId="77777777" w:rsidR="00B64822" w:rsidRPr="00616F4F" w:rsidRDefault="00B64822" w:rsidP="00864863">
            <w:pPr>
              <w:rPr>
                <w:rFonts w:cs="Arial"/>
                <w:b w:val="0"/>
                <w:sz w:val="18"/>
                <w:szCs w:val="18"/>
              </w:rPr>
            </w:pPr>
            <w:r w:rsidRPr="00616F4F">
              <w:rPr>
                <w:rFonts w:cs="Arial"/>
                <w:b w:val="0"/>
                <w:sz w:val="18"/>
                <w:szCs w:val="18"/>
              </w:rPr>
              <w:t>019 Cancer Of Bronchus, Lung</w:t>
            </w:r>
          </w:p>
        </w:tc>
        <w:tc>
          <w:tcPr>
            <w:tcW w:w="797" w:type="pct"/>
            <w:noWrap/>
            <w:hideMark/>
          </w:tcPr>
          <w:p w14:paraId="6BA038A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-0.112</w:t>
            </w:r>
          </w:p>
        </w:tc>
        <w:tc>
          <w:tcPr>
            <w:tcW w:w="715" w:type="pct"/>
            <w:noWrap/>
            <w:hideMark/>
          </w:tcPr>
          <w:p w14:paraId="7CAA7E5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0.032</w:t>
            </w:r>
          </w:p>
        </w:tc>
        <w:tc>
          <w:tcPr>
            <w:tcW w:w="715" w:type="pct"/>
            <w:noWrap/>
            <w:hideMark/>
          </w:tcPr>
          <w:p w14:paraId="33BDAC7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-3.440</w:t>
            </w:r>
          </w:p>
        </w:tc>
        <w:tc>
          <w:tcPr>
            <w:tcW w:w="635" w:type="pct"/>
            <w:noWrap/>
            <w:hideMark/>
          </w:tcPr>
          <w:p w14:paraId="0E8D46FE"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0.001</w:t>
            </w:r>
          </w:p>
        </w:tc>
      </w:tr>
      <w:tr w:rsidR="00B64822" w:rsidRPr="00616F4F" w14:paraId="1E9927A6"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078D72D" w14:textId="77777777" w:rsidR="00B64822" w:rsidRPr="00616F4F" w:rsidRDefault="00B64822" w:rsidP="00864863">
            <w:pPr>
              <w:rPr>
                <w:rFonts w:cs="Arial"/>
                <w:b w:val="0"/>
                <w:sz w:val="18"/>
                <w:szCs w:val="18"/>
              </w:rPr>
            </w:pPr>
            <w:r w:rsidRPr="00616F4F">
              <w:rPr>
                <w:rFonts w:cs="Arial"/>
                <w:b w:val="0"/>
                <w:sz w:val="18"/>
                <w:szCs w:val="18"/>
              </w:rPr>
              <w:t>021 Cancer Of Bone And Connective Tissue</w:t>
            </w:r>
          </w:p>
        </w:tc>
        <w:tc>
          <w:tcPr>
            <w:tcW w:w="797" w:type="pct"/>
            <w:noWrap/>
            <w:hideMark/>
          </w:tcPr>
          <w:p w14:paraId="36E37D7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-0.090</w:t>
            </w:r>
          </w:p>
        </w:tc>
        <w:tc>
          <w:tcPr>
            <w:tcW w:w="715" w:type="pct"/>
            <w:noWrap/>
            <w:hideMark/>
          </w:tcPr>
          <w:p w14:paraId="505106D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0.065</w:t>
            </w:r>
          </w:p>
        </w:tc>
        <w:tc>
          <w:tcPr>
            <w:tcW w:w="715" w:type="pct"/>
            <w:noWrap/>
            <w:hideMark/>
          </w:tcPr>
          <w:p w14:paraId="4F80256B"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-1.390</w:t>
            </w:r>
          </w:p>
        </w:tc>
        <w:tc>
          <w:tcPr>
            <w:tcW w:w="635" w:type="pct"/>
            <w:noWrap/>
            <w:hideMark/>
          </w:tcPr>
          <w:p w14:paraId="0228665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0.163</w:t>
            </w:r>
          </w:p>
        </w:tc>
      </w:tr>
      <w:tr w:rsidR="00B64822" w:rsidRPr="00616F4F" w14:paraId="0AD2EA4C"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492D375" w14:textId="77777777" w:rsidR="00B64822" w:rsidRPr="00616F4F" w:rsidRDefault="00B64822" w:rsidP="00864863">
            <w:pPr>
              <w:rPr>
                <w:rFonts w:cs="Arial"/>
                <w:b w:val="0"/>
                <w:sz w:val="18"/>
                <w:szCs w:val="18"/>
              </w:rPr>
            </w:pPr>
            <w:r w:rsidRPr="00616F4F">
              <w:rPr>
                <w:rFonts w:cs="Arial"/>
                <w:b w:val="0"/>
                <w:sz w:val="18"/>
                <w:szCs w:val="18"/>
              </w:rPr>
              <w:t>022 Melanomas Of Skin</w:t>
            </w:r>
          </w:p>
        </w:tc>
        <w:tc>
          <w:tcPr>
            <w:tcW w:w="797" w:type="pct"/>
            <w:noWrap/>
            <w:hideMark/>
          </w:tcPr>
          <w:p w14:paraId="3FC72CA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-0.003</w:t>
            </w:r>
          </w:p>
        </w:tc>
        <w:tc>
          <w:tcPr>
            <w:tcW w:w="715" w:type="pct"/>
            <w:noWrap/>
            <w:hideMark/>
          </w:tcPr>
          <w:p w14:paraId="570829E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0.010</w:t>
            </w:r>
          </w:p>
        </w:tc>
        <w:tc>
          <w:tcPr>
            <w:tcW w:w="715" w:type="pct"/>
            <w:noWrap/>
            <w:hideMark/>
          </w:tcPr>
          <w:p w14:paraId="6F3B6D35"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-0.260</w:t>
            </w:r>
          </w:p>
        </w:tc>
        <w:tc>
          <w:tcPr>
            <w:tcW w:w="635" w:type="pct"/>
            <w:noWrap/>
            <w:hideMark/>
          </w:tcPr>
          <w:p w14:paraId="55D98D9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0.792</w:t>
            </w:r>
          </w:p>
        </w:tc>
      </w:tr>
      <w:tr w:rsidR="00B64822" w:rsidRPr="00616F4F" w14:paraId="3EBEB5CC"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87310EB" w14:textId="77777777" w:rsidR="00B64822" w:rsidRPr="00616F4F" w:rsidRDefault="00B64822" w:rsidP="00864863">
            <w:pPr>
              <w:rPr>
                <w:rFonts w:cs="Arial"/>
                <w:b w:val="0"/>
                <w:sz w:val="18"/>
                <w:szCs w:val="18"/>
              </w:rPr>
            </w:pPr>
            <w:r w:rsidRPr="00616F4F">
              <w:rPr>
                <w:rFonts w:cs="Arial"/>
                <w:b w:val="0"/>
                <w:sz w:val="18"/>
                <w:szCs w:val="18"/>
              </w:rPr>
              <w:t>023 Other Non-Epithelial Cancer Of Skin</w:t>
            </w:r>
          </w:p>
        </w:tc>
        <w:tc>
          <w:tcPr>
            <w:tcW w:w="797" w:type="pct"/>
            <w:noWrap/>
            <w:hideMark/>
          </w:tcPr>
          <w:p w14:paraId="515CE0C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-0.002</w:t>
            </w:r>
          </w:p>
        </w:tc>
        <w:tc>
          <w:tcPr>
            <w:tcW w:w="715" w:type="pct"/>
            <w:noWrap/>
            <w:hideMark/>
          </w:tcPr>
          <w:p w14:paraId="7327671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0.007</w:t>
            </w:r>
          </w:p>
        </w:tc>
        <w:tc>
          <w:tcPr>
            <w:tcW w:w="715" w:type="pct"/>
            <w:noWrap/>
            <w:hideMark/>
          </w:tcPr>
          <w:p w14:paraId="49A9C2E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-0.220</w:t>
            </w:r>
          </w:p>
        </w:tc>
        <w:tc>
          <w:tcPr>
            <w:tcW w:w="635" w:type="pct"/>
            <w:noWrap/>
            <w:hideMark/>
          </w:tcPr>
          <w:p w14:paraId="10A7F08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0.824</w:t>
            </w:r>
          </w:p>
        </w:tc>
      </w:tr>
      <w:tr w:rsidR="00B64822" w:rsidRPr="00616F4F" w14:paraId="2007091B"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5511AAB" w14:textId="77777777" w:rsidR="00B64822" w:rsidRPr="00616F4F" w:rsidRDefault="00B64822" w:rsidP="00864863">
            <w:pPr>
              <w:rPr>
                <w:rFonts w:cs="Arial"/>
                <w:b w:val="0"/>
                <w:sz w:val="18"/>
                <w:szCs w:val="18"/>
              </w:rPr>
            </w:pPr>
            <w:r w:rsidRPr="00616F4F">
              <w:rPr>
                <w:rFonts w:cs="Arial"/>
                <w:b w:val="0"/>
                <w:sz w:val="18"/>
                <w:szCs w:val="18"/>
              </w:rPr>
              <w:t>024 Cancer Of Breast</w:t>
            </w:r>
          </w:p>
        </w:tc>
        <w:tc>
          <w:tcPr>
            <w:tcW w:w="797" w:type="pct"/>
            <w:noWrap/>
            <w:hideMark/>
          </w:tcPr>
          <w:p w14:paraId="0378D78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-0.023</w:t>
            </w:r>
          </w:p>
        </w:tc>
        <w:tc>
          <w:tcPr>
            <w:tcW w:w="715" w:type="pct"/>
            <w:noWrap/>
            <w:hideMark/>
          </w:tcPr>
          <w:p w14:paraId="4DF0515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0.012</w:t>
            </w:r>
          </w:p>
        </w:tc>
        <w:tc>
          <w:tcPr>
            <w:tcW w:w="715" w:type="pct"/>
            <w:noWrap/>
            <w:hideMark/>
          </w:tcPr>
          <w:p w14:paraId="176D82E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-1.940</w:t>
            </w:r>
          </w:p>
        </w:tc>
        <w:tc>
          <w:tcPr>
            <w:tcW w:w="635" w:type="pct"/>
            <w:noWrap/>
            <w:hideMark/>
          </w:tcPr>
          <w:p w14:paraId="5F42800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0.052</w:t>
            </w:r>
          </w:p>
        </w:tc>
      </w:tr>
      <w:tr w:rsidR="00B64822" w:rsidRPr="00616F4F" w14:paraId="6FA4833F"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8F50A94" w14:textId="77777777" w:rsidR="00B64822" w:rsidRPr="00616F4F" w:rsidRDefault="00B64822" w:rsidP="00864863">
            <w:pPr>
              <w:rPr>
                <w:rFonts w:cs="Arial"/>
                <w:b w:val="0"/>
                <w:sz w:val="18"/>
                <w:szCs w:val="18"/>
              </w:rPr>
            </w:pPr>
            <w:r w:rsidRPr="00616F4F">
              <w:rPr>
                <w:rFonts w:cs="Arial"/>
                <w:b w:val="0"/>
                <w:sz w:val="18"/>
                <w:szCs w:val="18"/>
              </w:rPr>
              <w:t>025 Cancer Of Uterus</w:t>
            </w:r>
          </w:p>
        </w:tc>
        <w:tc>
          <w:tcPr>
            <w:tcW w:w="797" w:type="pct"/>
            <w:noWrap/>
            <w:hideMark/>
          </w:tcPr>
          <w:p w14:paraId="7BA3AB5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-0.163</w:t>
            </w:r>
          </w:p>
        </w:tc>
        <w:tc>
          <w:tcPr>
            <w:tcW w:w="715" w:type="pct"/>
            <w:noWrap/>
            <w:hideMark/>
          </w:tcPr>
          <w:p w14:paraId="50F08E0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0.038</w:t>
            </w:r>
          </w:p>
        </w:tc>
        <w:tc>
          <w:tcPr>
            <w:tcW w:w="715" w:type="pct"/>
            <w:noWrap/>
            <w:hideMark/>
          </w:tcPr>
          <w:p w14:paraId="3784AA2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-4.330</w:t>
            </w:r>
          </w:p>
        </w:tc>
        <w:tc>
          <w:tcPr>
            <w:tcW w:w="635" w:type="pct"/>
            <w:noWrap/>
            <w:hideMark/>
          </w:tcPr>
          <w:p w14:paraId="777FB82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005FB9D6"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54C0206" w14:textId="77777777" w:rsidR="00B64822" w:rsidRPr="00616F4F" w:rsidRDefault="00B64822" w:rsidP="00864863">
            <w:pPr>
              <w:rPr>
                <w:rFonts w:cs="Arial"/>
                <w:b w:val="0"/>
                <w:sz w:val="18"/>
                <w:szCs w:val="18"/>
              </w:rPr>
            </w:pPr>
            <w:r w:rsidRPr="00616F4F">
              <w:rPr>
                <w:rFonts w:cs="Arial"/>
                <w:b w:val="0"/>
                <w:sz w:val="18"/>
                <w:szCs w:val="18"/>
              </w:rPr>
              <w:t>026 Cancer Of Cervix</w:t>
            </w:r>
          </w:p>
        </w:tc>
        <w:tc>
          <w:tcPr>
            <w:tcW w:w="797" w:type="pct"/>
            <w:noWrap/>
            <w:hideMark/>
          </w:tcPr>
          <w:p w14:paraId="1FF656A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-0.003</w:t>
            </w:r>
          </w:p>
        </w:tc>
        <w:tc>
          <w:tcPr>
            <w:tcW w:w="715" w:type="pct"/>
            <w:noWrap/>
            <w:hideMark/>
          </w:tcPr>
          <w:p w14:paraId="4867208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0.021</w:t>
            </w:r>
          </w:p>
        </w:tc>
        <w:tc>
          <w:tcPr>
            <w:tcW w:w="715" w:type="pct"/>
            <w:noWrap/>
            <w:hideMark/>
          </w:tcPr>
          <w:p w14:paraId="3757CF6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-0.160</w:t>
            </w:r>
          </w:p>
        </w:tc>
        <w:tc>
          <w:tcPr>
            <w:tcW w:w="635" w:type="pct"/>
            <w:noWrap/>
            <w:hideMark/>
          </w:tcPr>
          <w:p w14:paraId="3EBCA5FE"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0.876</w:t>
            </w:r>
          </w:p>
        </w:tc>
      </w:tr>
      <w:tr w:rsidR="00B64822" w:rsidRPr="00616F4F" w14:paraId="1B3F2DA1"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368E71C" w14:textId="77777777" w:rsidR="00B64822" w:rsidRPr="00616F4F" w:rsidRDefault="00B64822" w:rsidP="00864863">
            <w:pPr>
              <w:rPr>
                <w:rFonts w:cs="Arial"/>
                <w:b w:val="0"/>
                <w:sz w:val="18"/>
                <w:szCs w:val="18"/>
              </w:rPr>
            </w:pPr>
            <w:r w:rsidRPr="00616F4F">
              <w:rPr>
                <w:rFonts w:cs="Arial"/>
                <w:b w:val="0"/>
                <w:sz w:val="18"/>
                <w:szCs w:val="18"/>
              </w:rPr>
              <w:t>029 Cancer Of Prostate</w:t>
            </w:r>
          </w:p>
        </w:tc>
        <w:tc>
          <w:tcPr>
            <w:tcW w:w="797" w:type="pct"/>
            <w:noWrap/>
            <w:hideMark/>
          </w:tcPr>
          <w:p w14:paraId="1A7708F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-0.049</w:t>
            </w:r>
          </w:p>
        </w:tc>
        <w:tc>
          <w:tcPr>
            <w:tcW w:w="715" w:type="pct"/>
            <w:noWrap/>
            <w:hideMark/>
          </w:tcPr>
          <w:p w14:paraId="63A0EF2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0.012</w:t>
            </w:r>
          </w:p>
        </w:tc>
        <w:tc>
          <w:tcPr>
            <w:tcW w:w="715" w:type="pct"/>
            <w:noWrap/>
            <w:hideMark/>
          </w:tcPr>
          <w:p w14:paraId="3004C208"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-4.020</w:t>
            </w:r>
          </w:p>
        </w:tc>
        <w:tc>
          <w:tcPr>
            <w:tcW w:w="635" w:type="pct"/>
            <w:noWrap/>
            <w:hideMark/>
          </w:tcPr>
          <w:p w14:paraId="41946C3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304E7D71"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1C638E0" w14:textId="77777777" w:rsidR="00B64822" w:rsidRPr="00616F4F" w:rsidRDefault="00B64822" w:rsidP="00864863">
            <w:pPr>
              <w:rPr>
                <w:rFonts w:cs="Arial"/>
                <w:b w:val="0"/>
                <w:sz w:val="18"/>
                <w:szCs w:val="18"/>
              </w:rPr>
            </w:pPr>
            <w:r w:rsidRPr="00616F4F">
              <w:rPr>
                <w:rFonts w:cs="Arial"/>
                <w:b w:val="0"/>
                <w:sz w:val="18"/>
                <w:szCs w:val="18"/>
              </w:rPr>
              <w:t>032 Cancer Of Bladder</w:t>
            </w:r>
          </w:p>
        </w:tc>
        <w:tc>
          <w:tcPr>
            <w:tcW w:w="797" w:type="pct"/>
            <w:noWrap/>
            <w:hideMark/>
          </w:tcPr>
          <w:p w14:paraId="0C80DCD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-0.041</w:t>
            </w:r>
          </w:p>
        </w:tc>
        <w:tc>
          <w:tcPr>
            <w:tcW w:w="715" w:type="pct"/>
            <w:noWrap/>
            <w:hideMark/>
          </w:tcPr>
          <w:p w14:paraId="46A4FA6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0.027</w:t>
            </w:r>
          </w:p>
        </w:tc>
        <w:tc>
          <w:tcPr>
            <w:tcW w:w="715" w:type="pct"/>
            <w:noWrap/>
            <w:hideMark/>
          </w:tcPr>
          <w:p w14:paraId="4227E4A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-1.540</w:t>
            </w:r>
          </w:p>
        </w:tc>
        <w:tc>
          <w:tcPr>
            <w:tcW w:w="635" w:type="pct"/>
            <w:noWrap/>
            <w:hideMark/>
          </w:tcPr>
          <w:p w14:paraId="0F7C290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0.124</w:t>
            </w:r>
          </w:p>
        </w:tc>
      </w:tr>
      <w:tr w:rsidR="00B64822" w:rsidRPr="00616F4F" w14:paraId="083B4EBF"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E2F2D9E" w14:textId="77777777" w:rsidR="00B64822" w:rsidRPr="00616F4F" w:rsidRDefault="00B64822" w:rsidP="00864863">
            <w:pPr>
              <w:rPr>
                <w:rFonts w:cs="Arial"/>
                <w:b w:val="0"/>
                <w:sz w:val="18"/>
                <w:szCs w:val="18"/>
              </w:rPr>
            </w:pPr>
            <w:r w:rsidRPr="00616F4F">
              <w:rPr>
                <w:rFonts w:cs="Arial"/>
                <w:b w:val="0"/>
                <w:sz w:val="18"/>
                <w:szCs w:val="18"/>
              </w:rPr>
              <w:t>038 Non-Hodgkin's Lymphoma</w:t>
            </w:r>
          </w:p>
        </w:tc>
        <w:tc>
          <w:tcPr>
            <w:tcW w:w="797" w:type="pct"/>
            <w:noWrap/>
            <w:hideMark/>
          </w:tcPr>
          <w:p w14:paraId="02F5F0E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0.002</w:t>
            </w:r>
          </w:p>
        </w:tc>
        <w:tc>
          <w:tcPr>
            <w:tcW w:w="715" w:type="pct"/>
            <w:noWrap/>
            <w:hideMark/>
          </w:tcPr>
          <w:p w14:paraId="3026791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0.016</w:t>
            </w:r>
          </w:p>
        </w:tc>
        <w:tc>
          <w:tcPr>
            <w:tcW w:w="715" w:type="pct"/>
            <w:noWrap/>
            <w:hideMark/>
          </w:tcPr>
          <w:p w14:paraId="4F01797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0.130</w:t>
            </w:r>
          </w:p>
        </w:tc>
        <w:tc>
          <w:tcPr>
            <w:tcW w:w="635" w:type="pct"/>
            <w:noWrap/>
            <w:hideMark/>
          </w:tcPr>
          <w:p w14:paraId="069EE8D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0.895</w:t>
            </w:r>
          </w:p>
        </w:tc>
      </w:tr>
      <w:tr w:rsidR="00B64822" w:rsidRPr="00616F4F" w14:paraId="3CC5ECFE"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648A09E" w14:textId="77777777" w:rsidR="00B64822" w:rsidRPr="00616F4F" w:rsidRDefault="00B64822" w:rsidP="00864863">
            <w:pPr>
              <w:rPr>
                <w:rFonts w:cs="Arial"/>
                <w:b w:val="0"/>
                <w:sz w:val="18"/>
                <w:szCs w:val="18"/>
              </w:rPr>
            </w:pPr>
            <w:r w:rsidRPr="00616F4F">
              <w:rPr>
                <w:rFonts w:cs="Arial"/>
                <w:b w:val="0"/>
                <w:sz w:val="18"/>
                <w:szCs w:val="18"/>
              </w:rPr>
              <w:t xml:space="preserve">039 </w:t>
            </w:r>
            <w:proofErr w:type="spellStart"/>
            <w:r w:rsidRPr="00616F4F">
              <w:rPr>
                <w:rFonts w:cs="Arial"/>
                <w:b w:val="0"/>
                <w:sz w:val="18"/>
                <w:szCs w:val="18"/>
              </w:rPr>
              <w:t>Leukemias</w:t>
            </w:r>
            <w:proofErr w:type="spellEnd"/>
          </w:p>
        </w:tc>
        <w:tc>
          <w:tcPr>
            <w:tcW w:w="797" w:type="pct"/>
            <w:noWrap/>
            <w:hideMark/>
          </w:tcPr>
          <w:p w14:paraId="0B46C63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-0.037</w:t>
            </w:r>
          </w:p>
        </w:tc>
        <w:tc>
          <w:tcPr>
            <w:tcW w:w="715" w:type="pct"/>
            <w:noWrap/>
            <w:hideMark/>
          </w:tcPr>
          <w:p w14:paraId="352DCB6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0.025</w:t>
            </w:r>
          </w:p>
        </w:tc>
        <w:tc>
          <w:tcPr>
            <w:tcW w:w="715" w:type="pct"/>
            <w:noWrap/>
            <w:hideMark/>
          </w:tcPr>
          <w:p w14:paraId="38E1B99D"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-1.510</w:t>
            </w:r>
          </w:p>
        </w:tc>
        <w:tc>
          <w:tcPr>
            <w:tcW w:w="635" w:type="pct"/>
            <w:noWrap/>
            <w:hideMark/>
          </w:tcPr>
          <w:p w14:paraId="469A8B8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0.131</w:t>
            </w:r>
          </w:p>
        </w:tc>
      </w:tr>
      <w:tr w:rsidR="00B64822" w:rsidRPr="00616F4F" w14:paraId="70849E4F"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021B1A8" w14:textId="77777777" w:rsidR="00B64822" w:rsidRPr="00616F4F" w:rsidRDefault="00B64822" w:rsidP="00864863">
            <w:pPr>
              <w:rPr>
                <w:rFonts w:cs="Arial"/>
                <w:b w:val="0"/>
                <w:sz w:val="18"/>
                <w:szCs w:val="18"/>
              </w:rPr>
            </w:pPr>
            <w:r w:rsidRPr="00616F4F">
              <w:rPr>
                <w:rFonts w:cs="Arial"/>
                <w:b w:val="0"/>
                <w:sz w:val="18"/>
                <w:szCs w:val="18"/>
              </w:rPr>
              <w:t xml:space="preserve">041 Cancer, Other And Unspecified </w:t>
            </w:r>
            <w:proofErr w:type="spellStart"/>
            <w:r w:rsidRPr="00616F4F">
              <w:rPr>
                <w:rFonts w:cs="Arial"/>
                <w:b w:val="0"/>
                <w:sz w:val="18"/>
                <w:szCs w:val="18"/>
              </w:rPr>
              <w:t>Primar</w:t>
            </w:r>
            <w:proofErr w:type="spellEnd"/>
          </w:p>
        </w:tc>
        <w:tc>
          <w:tcPr>
            <w:tcW w:w="797" w:type="pct"/>
            <w:noWrap/>
            <w:hideMark/>
          </w:tcPr>
          <w:p w14:paraId="77A9244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-0.003</w:t>
            </w:r>
          </w:p>
        </w:tc>
        <w:tc>
          <w:tcPr>
            <w:tcW w:w="715" w:type="pct"/>
            <w:noWrap/>
            <w:hideMark/>
          </w:tcPr>
          <w:p w14:paraId="2EE215C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0.009</w:t>
            </w:r>
          </w:p>
        </w:tc>
        <w:tc>
          <w:tcPr>
            <w:tcW w:w="715" w:type="pct"/>
            <w:noWrap/>
            <w:hideMark/>
          </w:tcPr>
          <w:p w14:paraId="326B6178"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-0.300</w:t>
            </w:r>
          </w:p>
        </w:tc>
        <w:tc>
          <w:tcPr>
            <w:tcW w:w="635" w:type="pct"/>
            <w:noWrap/>
            <w:hideMark/>
          </w:tcPr>
          <w:p w14:paraId="5C87061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0.766</w:t>
            </w:r>
          </w:p>
        </w:tc>
      </w:tr>
      <w:tr w:rsidR="00B64822" w:rsidRPr="00616F4F" w14:paraId="1AC0A15B"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ABA3470" w14:textId="77777777" w:rsidR="00B64822" w:rsidRPr="00616F4F" w:rsidRDefault="00B64822" w:rsidP="00864863">
            <w:pPr>
              <w:rPr>
                <w:rFonts w:cs="Arial"/>
                <w:b w:val="0"/>
                <w:sz w:val="18"/>
                <w:szCs w:val="18"/>
              </w:rPr>
            </w:pPr>
            <w:r w:rsidRPr="00616F4F">
              <w:rPr>
                <w:rFonts w:cs="Arial"/>
                <w:b w:val="0"/>
                <w:sz w:val="18"/>
                <w:szCs w:val="18"/>
              </w:rPr>
              <w:t xml:space="preserve">043 Malignant Neoplasm Without </w:t>
            </w:r>
            <w:proofErr w:type="spellStart"/>
            <w:r w:rsidRPr="00616F4F">
              <w:rPr>
                <w:rFonts w:cs="Arial"/>
                <w:b w:val="0"/>
                <w:sz w:val="18"/>
                <w:szCs w:val="18"/>
              </w:rPr>
              <w:t>Specifica</w:t>
            </w:r>
            <w:proofErr w:type="spellEnd"/>
          </w:p>
        </w:tc>
        <w:tc>
          <w:tcPr>
            <w:tcW w:w="797" w:type="pct"/>
            <w:noWrap/>
            <w:hideMark/>
          </w:tcPr>
          <w:p w14:paraId="447A6A5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-0.009</w:t>
            </w:r>
          </w:p>
        </w:tc>
        <w:tc>
          <w:tcPr>
            <w:tcW w:w="715" w:type="pct"/>
            <w:noWrap/>
            <w:hideMark/>
          </w:tcPr>
          <w:p w14:paraId="274EEB5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0.013</w:t>
            </w:r>
          </w:p>
        </w:tc>
        <w:tc>
          <w:tcPr>
            <w:tcW w:w="715" w:type="pct"/>
            <w:noWrap/>
            <w:hideMark/>
          </w:tcPr>
          <w:p w14:paraId="19A750F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-0.660</w:t>
            </w:r>
          </w:p>
        </w:tc>
        <w:tc>
          <w:tcPr>
            <w:tcW w:w="635" w:type="pct"/>
            <w:noWrap/>
            <w:hideMark/>
          </w:tcPr>
          <w:p w14:paraId="42DA87F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0.510</w:t>
            </w:r>
          </w:p>
        </w:tc>
      </w:tr>
      <w:tr w:rsidR="00B64822" w:rsidRPr="00616F4F" w14:paraId="0510ADA9"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AFAE464" w14:textId="77777777" w:rsidR="00B64822" w:rsidRPr="00616F4F" w:rsidRDefault="00B64822" w:rsidP="00864863">
            <w:pPr>
              <w:rPr>
                <w:rFonts w:cs="Arial"/>
                <w:b w:val="0"/>
                <w:sz w:val="18"/>
                <w:szCs w:val="18"/>
              </w:rPr>
            </w:pPr>
            <w:r w:rsidRPr="00616F4F">
              <w:rPr>
                <w:rFonts w:cs="Arial"/>
                <w:b w:val="0"/>
                <w:sz w:val="18"/>
                <w:szCs w:val="18"/>
              </w:rPr>
              <w:t>046 Benign Neoplasm Of Uterus</w:t>
            </w:r>
          </w:p>
        </w:tc>
        <w:tc>
          <w:tcPr>
            <w:tcW w:w="797" w:type="pct"/>
            <w:noWrap/>
            <w:hideMark/>
          </w:tcPr>
          <w:p w14:paraId="3618C358"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0.056</w:t>
            </w:r>
          </w:p>
        </w:tc>
        <w:tc>
          <w:tcPr>
            <w:tcW w:w="715" w:type="pct"/>
            <w:noWrap/>
            <w:hideMark/>
          </w:tcPr>
          <w:p w14:paraId="6F0AD9E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0.030</w:t>
            </w:r>
          </w:p>
        </w:tc>
        <w:tc>
          <w:tcPr>
            <w:tcW w:w="715" w:type="pct"/>
            <w:noWrap/>
            <w:hideMark/>
          </w:tcPr>
          <w:p w14:paraId="0E56C2C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1.850</w:t>
            </w:r>
          </w:p>
        </w:tc>
        <w:tc>
          <w:tcPr>
            <w:tcW w:w="635" w:type="pct"/>
            <w:noWrap/>
            <w:hideMark/>
          </w:tcPr>
          <w:p w14:paraId="317AD49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0.064</w:t>
            </w:r>
          </w:p>
        </w:tc>
      </w:tr>
      <w:tr w:rsidR="00B64822" w:rsidRPr="00616F4F" w14:paraId="11218043"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BE2CCFC" w14:textId="77777777" w:rsidR="00B64822" w:rsidRPr="00616F4F" w:rsidRDefault="00B64822" w:rsidP="00864863">
            <w:pPr>
              <w:rPr>
                <w:rFonts w:cs="Arial"/>
                <w:b w:val="0"/>
                <w:sz w:val="18"/>
                <w:szCs w:val="18"/>
              </w:rPr>
            </w:pPr>
            <w:r w:rsidRPr="00616F4F">
              <w:rPr>
                <w:rFonts w:cs="Arial"/>
                <w:b w:val="0"/>
                <w:sz w:val="18"/>
                <w:szCs w:val="18"/>
              </w:rPr>
              <w:t xml:space="preserve">047 Other And Unspecified Benign </w:t>
            </w:r>
            <w:proofErr w:type="spellStart"/>
            <w:r w:rsidRPr="00616F4F">
              <w:rPr>
                <w:rFonts w:cs="Arial"/>
                <w:b w:val="0"/>
                <w:sz w:val="18"/>
                <w:szCs w:val="18"/>
              </w:rPr>
              <w:t>Neoplas</w:t>
            </w:r>
            <w:proofErr w:type="spellEnd"/>
          </w:p>
        </w:tc>
        <w:tc>
          <w:tcPr>
            <w:tcW w:w="797" w:type="pct"/>
            <w:noWrap/>
            <w:hideMark/>
          </w:tcPr>
          <w:p w14:paraId="76DEE045"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c>
          <w:tcPr>
            <w:tcW w:w="715" w:type="pct"/>
            <w:noWrap/>
            <w:hideMark/>
          </w:tcPr>
          <w:p w14:paraId="5F4EB9A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0.001</w:t>
            </w:r>
          </w:p>
        </w:tc>
        <w:tc>
          <w:tcPr>
            <w:tcW w:w="715" w:type="pct"/>
            <w:noWrap/>
            <w:hideMark/>
          </w:tcPr>
          <w:p w14:paraId="6A359FA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0.350</w:t>
            </w:r>
          </w:p>
        </w:tc>
        <w:tc>
          <w:tcPr>
            <w:tcW w:w="635" w:type="pct"/>
            <w:noWrap/>
            <w:hideMark/>
          </w:tcPr>
          <w:p w14:paraId="263B7F6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0.727</w:t>
            </w:r>
          </w:p>
        </w:tc>
      </w:tr>
      <w:tr w:rsidR="00B64822" w:rsidRPr="00616F4F" w14:paraId="2213E07F"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D4245E8" w14:textId="77777777" w:rsidR="00B64822" w:rsidRPr="00616F4F" w:rsidRDefault="00B64822" w:rsidP="00864863">
            <w:pPr>
              <w:rPr>
                <w:rFonts w:cs="Arial"/>
                <w:b w:val="0"/>
                <w:sz w:val="18"/>
                <w:szCs w:val="18"/>
              </w:rPr>
            </w:pPr>
            <w:r w:rsidRPr="00616F4F">
              <w:rPr>
                <w:rFonts w:cs="Arial"/>
                <w:b w:val="0"/>
                <w:sz w:val="18"/>
                <w:szCs w:val="18"/>
              </w:rPr>
              <w:t>048 Thyroid Disorders</w:t>
            </w:r>
          </w:p>
        </w:tc>
        <w:tc>
          <w:tcPr>
            <w:tcW w:w="797" w:type="pct"/>
            <w:noWrap/>
            <w:hideMark/>
          </w:tcPr>
          <w:p w14:paraId="0280BEA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-0.020</w:t>
            </w:r>
          </w:p>
        </w:tc>
        <w:tc>
          <w:tcPr>
            <w:tcW w:w="715" w:type="pct"/>
            <w:noWrap/>
            <w:hideMark/>
          </w:tcPr>
          <w:p w14:paraId="201E0F2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0.005</w:t>
            </w:r>
          </w:p>
        </w:tc>
        <w:tc>
          <w:tcPr>
            <w:tcW w:w="715" w:type="pct"/>
            <w:noWrap/>
            <w:hideMark/>
          </w:tcPr>
          <w:p w14:paraId="3C388E9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-4.200</w:t>
            </w:r>
          </w:p>
        </w:tc>
        <w:tc>
          <w:tcPr>
            <w:tcW w:w="635" w:type="pct"/>
            <w:noWrap/>
            <w:hideMark/>
          </w:tcPr>
          <w:p w14:paraId="60C2D02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3FD6D7D1"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F98354F" w14:textId="77777777" w:rsidR="00B64822" w:rsidRPr="00616F4F" w:rsidRDefault="00B64822" w:rsidP="00864863">
            <w:pPr>
              <w:rPr>
                <w:rFonts w:cs="Arial"/>
                <w:b w:val="0"/>
                <w:sz w:val="18"/>
                <w:szCs w:val="18"/>
              </w:rPr>
            </w:pPr>
            <w:r w:rsidRPr="00616F4F">
              <w:rPr>
                <w:rFonts w:cs="Arial"/>
                <w:b w:val="0"/>
                <w:sz w:val="18"/>
                <w:szCs w:val="18"/>
              </w:rPr>
              <w:t xml:space="preserve">049 Diabetes Mellitus Without </w:t>
            </w:r>
            <w:proofErr w:type="spellStart"/>
            <w:r w:rsidRPr="00616F4F">
              <w:rPr>
                <w:rFonts w:cs="Arial"/>
                <w:b w:val="0"/>
                <w:sz w:val="18"/>
                <w:szCs w:val="18"/>
              </w:rPr>
              <w:t>Complicati</w:t>
            </w:r>
            <w:proofErr w:type="spellEnd"/>
          </w:p>
        </w:tc>
        <w:tc>
          <w:tcPr>
            <w:tcW w:w="797" w:type="pct"/>
            <w:noWrap/>
            <w:hideMark/>
          </w:tcPr>
          <w:p w14:paraId="3D421B5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-0.062</w:t>
            </w:r>
          </w:p>
        </w:tc>
        <w:tc>
          <w:tcPr>
            <w:tcW w:w="715" w:type="pct"/>
            <w:noWrap/>
            <w:hideMark/>
          </w:tcPr>
          <w:p w14:paraId="2C2004B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0.004</w:t>
            </w:r>
          </w:p>
        </w:tc>
        <w:tc>
          <w:tcPr>
            <w:tcW w:w="715" w:type="pct"/>
            <w:noWrap/>
            <w:hideMark/>
          </w:tcPr>
          <w:p w14:paraId="6361C31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-16.190</w:t>
            </w:r>
          </w:p>
        </w:tc>
        <w:tc>
          <w:tcPr>
            <w:tcW w:w="635" w:type="pct"/>
            <w:noWrap/>
            <w:hideMark/>
          </w:tcPr>
          <w:p w14:paraId="3885FE55"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2838377C"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0223EF9" w14:textId="77777777" w:rsidR="00B64822" w:rsidRPr="00616F4F" w:rsidRDefault="00B64822" w:rsidP="00864863">
            <w:pPr>
              <w:rPr>
                <w:rFonts w:cs="Arial"/>
                <w:b w:val="0"/>
                <w:sz w:val="18"/>
                <w:szCs w:val="18"/>
              </w:rPr>
            </w:pPr>
            <w:r w:rsidRPr="00616F4F">
              <w:rPr>
                <w:rFonts w:cs="Arial"/>
                <w:b w:val="0"/>
                <w:sz w:val="18"/>
                <w:szCs w:val="18"/>
              </w:rPr>
              <w:t>050 Diabetes Mellitus With Complications</w:t>
            </w:r>
          </w:p>
        </w:tc>
        <w:tc>
          <w:tcPr>
            <w:tcW w:w="797" w:type="pct"/>
            <w:noWrap/>
            <w:hideMark/>
          </w:tcPr>
          <w:p w14:paraId="2CD6AC5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-0.057</w:t>
            </w:r>
          </w:p>
        </w:tc>
        <w:tc>
          <w:tcPr>
            <w:tcW w:w="715" w:type="pct"/>
            <w:noWrap/>
            <w:hideMark/>
          </w:tcPr>
          <w:p w14:paraId="429DCC2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0.018</w:t>
            </w:r>
          </w:p>
        </w:tc>
        <w:tc>
          <w:tcPr>
            <w:tcW w:w="715" w:type="pct"/>
            <w:noWrap/>
            <w:hideMark/>
          </w:tcPr>
          <w:p w14:paraId="3AAD285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-3.120</w:t>
            </w:r>
          </w:p>
        </w:tc>
        <w:tc>
          <w:tcPr>
            <w:tcW w:w="635" w:type="pct"/>
            <w:noWrap/>
            <w:hideMark/>
          </w:tcPr>
          <w:p w14:paraId="1FF1725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0.002</w:t>
            </w:r>
          </w:p>
        </w:tc>
      </w:tr>
      <w:tr w:rsidR="00B64822" w:rsidRPr="00616F4F" w14:paraId="60CC53E8"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FB54AB8" w14:textId="77777777" w:rsidR="00B64822" w:rsidRPr="00616F4F" w:rsidRDefault="00B64822" w:rsidP="00864863">
            <w:pPr>
              <w:rPr>
                <w:rFonts w:cs="Arial"/>
                <w:b w:val="0"/>
                <w:sz w:val="18"/>
                <w:szCs w:val="18"/>
              </w:rPr>
            </w:pPr>
            <w:r w:rsidRPr="00616F4F">
              <w:rPr>
                <w:rFonts w:cs="Arial"/>
                <w:b w:val="0"/>
                <w:sz w:val="18"/>
                <w:szCs w:val="18"/>
              </w:rPr>
              <w:t>051 Other Endocrine Disorders</w:t>
            </w:r>
          </w:p>
        </w:tc>
        <w:tc>
          <w:tcPr>
            <w:tcW w:w="797" w:type="pct"/>
            <w:noWrap/>
            <w:hideMark/>
          </w:tcPr>
          <w:p w14:paraId="390030F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-0.012</w:t>
            </w:r>
          </w:p>
        </w:tc>
        <w:tc>
          <w:tcPr>
            <w:tcW w:w="715" w:type="pct"/>
            <w:noWrap/>
            <w:hideMark/>
          </w:tcPr>
          <w:p w14:paraId="5762349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0.007</w:t>
            </w:r>
          </w:p>
        </w:tc>
        <w:tc>
          <w:tcPr>
            <w:tcW w:w="715" w:type="pct"/>
            <w:noWrap/>
            <w:hideMark/>
          </w:tcPr>
          <w:p w14:paraId="6D8850AE"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-1.690</w:t>
            </w:r>
          </w:p>
        </w:tc>
        <w:tc>
          <w:tcPr>
            <w:tcW w:w="635" w:type="pct"/>
            <w:noWrap/>
            <w:hideMark/>
          </w:tcPr>
          <w:p w14:paraId="218C1C8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0.091</w:t>
            </w:r>
          </w:p>
        </w:tc>
      </w:tr>
      <w:tr w:rsidR="00B64822" w:rsidRPr="00616F4F" w14:paraId="6B7CFC7C"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9BBC892" w14:textId="77777777" w:rsidR="00B64822" w:rsidRPr="00616F4F" w:rsidRDefault="00B64822" w:rsidP="00864863">
            <w:pPr>
              <w:rPr>
                <w:rFonts w:cs="Arial"/>
                <w:b w:val="0"/>
                <w:sz w:val="18"/>
                <w:szCs w:val="18"/>
              </w:rPr>
            </w:pPr>
            <w:r w:rsidRPr="00616F4F">
              <w:rPr>
                <w:rFonts w:cs="Arial"/>
                <w:b w:val="0"/>
                <w:sz w:val="18"/>
                <w:szCs w:val="18"/>
              </w:rPr>
              <w:t>052 Nutritional Deficiencies</w:t>
            </w:r>
          </w:p>
        </w:tc>
        <w:tc>
          <w:tcPr>
            <w:tcW w:w="797" w:type="pct"/>
            <w:noWrap/>
            <w:hideMark/>
          </w:tcPr>
          <w:p w14:paraId="540A41F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-0.084</w:t>
            </w:r>
          </w:p>
        </w:tc>
        <w:tc>
          <w:tcPr>
            <w:tcW w:w="715" w:type="pct"/>
            <w:noWrap/>
            <w:hideMark/>
          </w:tcPr>
          <w:p w14:paraId="28923C3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0.018</w:t>
            </w:r>
          </w:p>
        </w:tc>
        <w:tc>
          <w:tcPr>
            <w:tcW w:w="715" w:type="pct"/>
            <w:noWrap/>
            <w:hideMark/>
          </w:tcPr>
          <w:p w14:paraId="0D1BB68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-4.730</w:t>
            </w:r>
          </w:p>
        </w:tc>
        <w:tc>
          <w:tcPr>
            <w:tcW w:w="635" w:type="pct"/>
            <w:noWrap/>
            <w:hideMark/>
          </w:tcPr>
          <w:p w14:paraId="7B3668F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2571FDF6"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4EF0F91" w14:textId="77777777" w:rsidR="00B64822" w:rsidRPr="00616F4F" w:rsidRDefault="00B64822" w:rsidP="00864863">
            <w:pPr>
              <w:rPr>
                <w:rFonts w:cs="Arial"/>
                <w:b w:val="0"/>
                <w:sz w:val="18"/>
                <w:szCs w:val="18"/>
              </w:rPr>
            </w:pPr>
            <w:r w:rsidRPr="00616F4F">
              <w:rPr>
                <w:rFonts w:cs="Arial"/>
                <w:b w:val="0"/>
                <w:sz w:val="18"/>
                <w:szCs w:val="18"/>
              </w:rPr>
              <w:t>053 Disorders Of Lipid Metabolism</w:t>
            </w:r>
          </w:p>
        </w:tc>
        <w:tc>
          <w:tcPr>
            <w:tcW w:w="797" w:type="pct"/>
            <w:noWrap/>
            <w:hideMark/>
          </w:tcPr>
          <w:p w14:paraId="52350484"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-0.003</w:t>
            </w:r>
          </w:p>
        </w:tc>
        <w:tc>
          <w:tcPr>
            <w:tcW w:w="715" w:type="pct"/>
            <w:noWrap/>
            <w:hideMark/>
          </w:tcPr>
          <w:p w14:paraId="56FB29C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0.003</w:t>
            </w:r>
          </w:p>
        </w:tc>
        <w:tc>
          <w:tcPr>
            <w:tcW w:w="715" w:type="pct"/>
            <w:noWrap/>
            <w:hideMark/>
          </w:tcPr>
          <w:p w14:paraId="7C7F5BE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-1.140</w:t>
            </w:r>
          </w:p>
        </w:tc>
        <w:tc>
          <w:tcPr>
            <w:tcW w:w="635" w:type="pct"/>
            <w:noWrap/>
            <w:hideMark/>
          </w:tcPr>
          <w:p w14:paraId="3CF4F91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0.254</w:t>
            </w:r>
          </w:p>
        </w:tc>
      </w:tr>
      <w:tr w:rsidR="00B64822" w:rsidRPr="00616F4F" w14:paraId="35C72870"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1288250" w14:textId="77777777" w:rsidR="00B64822" w:rsidRPr="00616F4F" w:rsidRDefault="00B64822" w:rsidP="00864863">
            <w:pPr>
              <w:rPr>
                <w:rFonts w:cs="Arial"/>
                <w:b w:val="0"/>
                <w:sz w:val="18"/>
                <w:szCs w:val="18"/>
              </w:rPr>
            </w:pPr>
            <w:r w:rsidRPr="00616F4F">
              <w:rPr>
                <w:rFonts w:cs="Arial"/>
                <w:b w:val="0"/>
                <w:sz w:val="18"/>
                <w:szCs w:val="18"/>
              </w:rPr>
              <w:t xml:space="preserve">054 Gout And Other Crystal </w:t>
            </w:r>
            <w:proofErr w:type="spellStart"/>
            <w:r w:rsidRPr="00616F4F">
              <w:rPr>
                <w:rFonts w:cs="Arial"/>
                <w:b w:val="0"/>
                <w:sz w:val="18"/>
                <w:szCs w:val="18"/>
              </w:rPr>
              <w:t>Arthropathies</w:t>
            </w:r>
            <w:proofErr w:type="spellEnd"/>
          </w:p>
        </w:tc>
        <w:tc>
          <w:tcPr>
            <w:tcW w:w="797" w:type="pct"/>
            <w:noWrap/>
            <w:hideMark/>
          </w:tcPr>
          <w:p w14:paraId="2A1BF68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-0.034</w:t>
            </w:r>
          </w:p>
        </w:tc>
        <w:tc>
          <w:tcPr>
            <w:tcW w:w="715" w:type="pct"/>
            <w:noWrap/>
            <w:hideMark/>
          </w:tcPr>
          <w:p w14:paraId="0DCD6D1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0.007</w:t>
            </w:r>
          </w:p>
        </w:tc>
        <w:tc>
          <w:tcPr>
            <w:tcW w:w="715" w:type="pct"/>
            <w:noWrap/>
            <w:hideMark/>
          </w:tcPr>
          <w:p w14:paraId="1CDFC3B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-4.970</w:t>
            </w:r>
          </w:p>
        </w:tc>
        <w:tc>
          <w:tcPr>
            <w:tcW w:w="635" w:type="pct"/>
            <w:noWrap/>
            <w:hideMark/>
          </w:tcPr>
          <w:p w14:paraId="4F64C0B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70840E1A"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467146C" w14:textId="77777777" w:rsidR="00B64822" w:rsidRPr="00616F4F" w:rsidRDefault="00B64822" w:rsidP="00864863">
            <w:pPr>
              <w:rPr>
                <w:rFonts w:cs="Arial"/>
                <w:b w:val="0"/>
                <w:sz w:val="18"/>
                <w:szCs w:val="18"/>
              </w:rPr>
            </w:pPr>
            <w:r w:rsidRPr="00616F4F">
              <w:rPr>
                <w:rFonts w:cs="Arial"/>
                <w:b w:val="0"/>
                <w:sz w:val="18"/>
                <w:szCs w:val="18"/>
              </w:rPr>
              <w:t>058 Other Nutritional, Endocrine, And Me</w:t>
            </w:r>
          </w:p>
        </w:tc>
        <w:tc>
          <w:tcPr>
            <w:tcW w:w="797" w:type="pct"/>
            <w:noWrap/>
            <w:hideMark/>
          </w:tcPr>
          <w:p w14:paraId="718754DD"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-0.034</w:t>
            </w:r>
          </w:p>
        </w:tc>
        <w:tc>
          <w:tcPr>
            <w:tcW w:w="715" w:type="pct"/>
            <w:noWrap/>
            <w:hideMark/>
          </w:tcPr>
          <w:p w14:paraId="6FCF961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0.009</w:t>
            </w:r>
          </w:p>
        </w:tc>
        <w:tc>
          <w:tcPr>
            <w:tcW w:w="715" w:type="pct"/>
            <w:noWrap/>
            <w:hideMark/>
          </w:tcPr>
          <w:p w14:paraId="09BF1C9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-3.850</w:t>
            </w:r>
          </w:p>
        </w:tc>
        <w:tc>
          <w:tcPr>
            <w:tcW w:w="635" w:type="pct"/>
            <w:noWrap/>
            <w:hideMark/>
          </w:tcPr>
          <w:p w14:paraId="03B7E9E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603599FE"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51DFA27" w14:textId="77777777" w:rsidR="00B64822" w:rsidRPr="00616F4F" w:rsidRDefault="00B64822" w:rsidP="00864863">
            <w:pPr>
              <w:rPr>
                <w:rFonts w:cs="Arial"/>
                <w:b w:val="0"/>
                <w:sz w:val="18"/>
                <w:szCs w:val="18"/>
              </w:rPr>
            </w:pPr>
            <w:r w:rsidRPr="00616F4F">
              <w:rPr>
                <w:rFonts w:cs="Arial"/>
                <w:b w:val="0"/>
                <w:sz w:val="18"/>
                <w:szCs w:val="18"/>
              </w:rPr>
              <w:t xml:space="preserve">059 Deficiency And Other </w:t>
            </w:r>
            <w:proofErr w:type="spellStart"/>
            <w:r w:rsidRPr="00616F4F">
              <w:rPr>
                <w:rFonts w:cs="Arial"/>
                <w:b w:val="0"/>
                <w:sz w:val="18"/>
                <w:szCs w:val="18"/>
              </w:rPr>
              <w:t>Anemia</w:t>
            </w:r>
            <w:proofErr w:type="spellEnd"/>
          </w:p>
        </w:tc>
        <w:tc>
          <w:tcPr>
            <w:tcW w:w="797" w:type="pct"/>
            <w:noWrap/>
            <w:hideMark/>
          </w:tcPr>
          <w:p w14:paraId="3A1263A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-0.020</w:t>
            </w:r>
          </w:p>
        </w:tc>
        <w:tc>
          <w:tcPr>
            <w:tcW w:w="715" w:type="pct"/>
            <w:noWrap/>
            <w:hideMark/>
          </w:tcPr>
          <w:p w14:paraId="6E854A4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0.009</w:t>
            </w:r>
          </w:p>
        </w:tc>
        <w:tc>
          <w:tcPr>
            <w:tcW w:w="715" w:type="pct"/>
            <w:noWrap/>
            <w:hideMark/>
          </w:tcPr>
          <w:p w14:paraId="0A7EFBA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-2.210</w:t>
            </w:r>
          </w:p>
        </w:tc>
        <w:tc>
          <w:tcPr>
            <w:tcW w:w="635" w:type="pct"/>
            <w:noWrap/>
            <w:hideMark/>
          </w:tcPr>
          <w:p w14:paraId="448A081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0.027</w:t>
            </w:r>
          </w:p>
        </w:tc>
      </w:tr>
      <w:tr w:rsidR="00B64822" w:rsidRPr="00616F4F" w14:paraId="4EF2EFA3"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3618808" w14:textId="77777777" w:rsidR="00B64822" w:rsidRPr="00616F4F" w:rsidRDefault="00B64822" w:rsidP="00864863">
            <w:pPr>
              <w:rPr>
                <w:rFonts w:cs="Arial"/>
                <w:b w:val="0"/>
                <w:sz w:val="18"/>
                <w:szCs w:val="18"/>
              </w:rPr>
            </w:pPr>
            <w:r w:rsidRPr="00616F4F">
              <w:rPr>
                <w:rFonts w:cs="Arial"/>
                <w:b w:val="0"/>
                <w:sz w:val="18"/>
                <w:szCs w:val="18"/>
              </w:rPr>
              <w:t xml:space="preserve">062 Coagulation And </w:t>
            </w:r>
            <w:proofErr w:type="spellStart"/>
            <w:r w:rsidRPr="00616F4F">
              <w:rPr>
                <w:rFonts w:cs="Arial"/>
                <w:b w:val="0"/>
                <w:sz w:val="18"/>
                <w:szCs w:val="18"/>
              </w:rPr>
              <w:t>Hemorrhagic</w:t>
            </w:r>
            <w:proofErr w:type="spellEnd"/>
            <w:r w:rsidRPr="00616F4F">
              <w:rPr>
                <w:rFonts w:cs="Arial"/>
                <w:b w:val="0"/>
                <w:sz w:val="18"/>
                <w:szCs w:val="18"/>
              </w:rPr>
              <w:t xml:space="preserve"> Disorder</w:t>
            </w:r>
          </w:p>
        </w:tc>
        <w:tc>
          <w:tcPr>
            <w:tcW w:w="797" w:type="pct"/>
            <w:noWrap/>
            <w:hideMark/>
          </w:tcPr>
          <w:p w14:paraId="4FAC5DD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-0.045</w:t>
            </w:r>
          </w:p>
        </w:tc>
        <w:tc>
          <w:tcPr>
            <w:tcW w:w="715" w:type="pct"/>
            <w:noWrap/>
            <w:hideMark/>
          </w:tcPr>
          <w:p w14:paraId="2297FCA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0.028</w:t>
            </w:r>
          </w:p>
        </w:tc>
        <w:tc>
          <w:tcPr>
            <w:tcW w:w="715" w:type="pct"/>
            <w:noWrap/>
            <w:hideMark/>
          </w:tcPr>
          <w:p w14:paraId="3BC3A74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-1.620</w:t>
            </w:r>
          </w:p>
        </w:tc>
        <w:tc>
          <w:tcPr>
            <w:tcW w:w="635" w:type="pct"/>
            <w:noWrap/>
            <w:hideMark/>
          </w:tcPr>
          <w:p w14:paraId="5BF5DD4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0.105</w:t>
            </w:r>
          </w:p>
        </w:tc>
      </w:tr>
      <w:tr w:rsidR="00B64822" w:rsidRPr="00616F4F" w14:paraId="1B243093"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8E0169B" w14:textId="77777777" w:rsidR="00B64822" w:rsidRPr="00616F4F" w:rsidRDefault="00B64822" w:rsidP="00864863">
            <w:pPr>
              <w:rPr>
                <w:rFonts w:cs="Arial"/>
                <w:b w:val="0"/>
                <w:sz w:val="18"/>
                <w:szCs w:val="18"/>
              </w:rPr>
            </w:pPr>
            <w:r w:rsidRPr="00616F4F">
              <w:rPr>
                <w:rFonts w:cs="Arial"/>
                <w:b w:val="0"/>
                <w:sz w:val="18"/>
                <w:szCs w:val="18"/>
              </w:rPr>
              <w:t>064 Other Hematologic Conditions</w:t>
            </w:r>
          </w:p>
        </w:tc>
        <w:tc>
          <w:tcPr>
            <w:tcW w:w="797" w:type="pct"/>
            <w:noWrap/>
            <w:hideMark/>
          </w:tcPr>
          <w:p w14:paraId="27D022B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-0.072</w:t>
            </w:r>
          </w:p>
        </w:tc>
        <w:tc>
          <w:tcPr>
            <w:tcW w:w="715" w:type="pct"/>
            <w:noWrap/>
            <w:hideMark/>
          </w:tcPr>
          <w:p w14:paraId="76D050E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0.012</w:t>
            </w:r>
          </w:p>
        </w:tc>
        <w:tc>
          <w:tcPr>
            <w:tcW w:w="715" w:type="pct"/>
            <w:noWrap/>
            <w:hideMark/>
          </w:tcPr>
          <w:p w14:paraId="30BC448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-5.900</w:t>
            </w:r>
          </w:p>
        </w:tc>
        <w:tc>
          <w:tcPr>
            <w:tcW w:w="635" w:type="pct"/>
            <w:noWrap/>
            <w:hideMark/>
          </w:tcPr>
          <w:p w14:paraId="419E834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400EB41E"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6683B23" w14:textId="77777777" w:rsidR="00B64822" w:rsidRPr="00616F4F" w:rsidRDefault="00B64822" w:rsidP="00864863">
            <w:pPr>
              <w:rPr>
                <w:rFonts w:cs="Arial"/>
                <w:b w:val="0"/>
                <w:sz w:val="18"/>
                <w:szCs w:val="18"/>
              </w:rPr>
            </w:pPr>
            <w:r w:rsidRPr="00616F4F">
              <w:rPr>
                <w:rFonts w:cs="Arial"/>
                <w:b w:val="0"/>
                <w:sz w:val="18"/>
                <w:szCs w:val="18"/>
              </w:rPr>
              <w:t>065 Mental Retardation</w:t>
            </w:r>
          </w:p>
        </w:tc>
        <w:tc>
          <w:tcPr>
            <w:tcW w:w="797" w:type="pct"/>
            <w:noWrap/>
            <w:hideMark/>
          </w:tcPr>
          <w:p w14:paraId="77B18F5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-0.146</w:t>
            </w:r>
          </w:p>
        </w:tc>
        <w:tc>
          <w:tcPr>
            <w:tcW w:w="715" w:type="pct"/>
            <w:noWrap/>
            <w:hideMark/>
          </w:tcPr>
          <w:p w14:paraId="71D516CE"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0.063</w:t>
            </w:r>
          </w:p>
        </w:tc>
        <w:tc>
          <w:tcPr>
            <w:tcW w:w="715" w:type="pct"/>
            <w:noWrap/>
            <w:hideMark/>
          </w:tcPr>
          <w:p w14:paraId="16D8D62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-2.310</w:t>
            </w:r>
          </w:p>
        </w:tc>
        <w:tc>
          <w:tcPr>
            <w:tcW w:w="635" w:type="pct"/>
            <w:noWrap/>
            <w:hideMark/>
          </w:tcPr>
          <w:p w14:paraId="179C264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0.021</w:t>
            </w:r>
          </w:p>
        </w:tc>
      </w:tr>
      <w:tr w:rsidR="00B64822" w:rsidRPr="00616F4F" w14:paraId="7EC550F7"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F20BB3E" w14:textId="77777777" w:rsidR="00B64822" w:rsidRPr="00616F4F" w:rsidRDefault="00B64822" w:rsidP="00864863">
            <w:pPr>
              <w:rPr>
                <w:rFonts w:cs="Arial"/>
                <w:b w:val="0"/>
                <w:sz w:val="18"/>
                <w:szCs w:val="18"/>
              </w:rPr>
            </w:pPr>
            <w:r w:rsidRPr="00616F4F">
              <w:rPr>
                <w:rFonts w:cs="Arial"/>
                <w:b w:val="0"/>
                <w:sz w:val="18"/>
                <w:szCs w:val="18"/>
              </w:rPr>
              <w:t>066 Alcohol-Related Mental Disorders</w:t>
            </w:r>
          </w:p>
        </w:tc>
        <w:tc>
          <w:tcPr>
            <w:tcW w:w="797" w:type="pct"/>
            <w:noWrap/>
            <w:hideMark/>
          </w:tcPr>
          <w:p w14:paraId="75BBF2E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-0.003</w:t>
            </w:r>
          </w:p>
        </w:tc>
        <w:tc>
          <w:tcPr>
            <w:tcW w:w="715" w:type="pct"/>
            <w:noWrap/>
            <w:hideMark/>
          </w:tcPr>
          <w:p w14:paraId="4663007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0.022</w:t>
            </w:r>
          </w:p>
        </w:tc>
        <w:tc>
          <w:tcPr>
            <w:tcW w:w="715" w:type="pct"/>
            <w:noWrap/>
            <w:hideMark/>
          </w:tcPr>
          <w:p w14:paraId="5F154F4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-0.140</w:t>
            </w:r>
          </w:p>
        </w:tc>
        <w:tc>
          <w:tcPr>
            <w:tcW w:w="635" w:type="pct"/>
            <w:noWrap/>
            <w:hideMark/>
          </w:tcPr>
          <w:p w14:paraId="4F907C7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0.893</w:t>
            </w:r>
          </w:p>
        </w:tc>
      </w:tr>
      <w:tr w:rsidR="00B64822" w:rsidRPr="00616F4F" w14:paraId="1DF769C3"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2BFFDFA" w14:textId="77777777" w:rsidR="00B64822" w:rsidRPr="00616F4F" w:rsidRDefault="00B64822" w:rsidP="00864863">
            <w:pPr>
              <w:rPr>
                <w:rFonts w:cs="Arial"/>
                <w:b w:val="0"/>
                <w:sz w:val="18"/>
                <w:szCs w:val="18"/>
              </w:rPr>
            </w:pPr>
            <w:r w:rsidRPr="00616F4F">
              <w:rPr>
                <w:rFonts w:cs="Arial"/>
                <w:b w:val="0"/>
                <w:sz w:val="18"/>
                <w:szCs w:val="18"/>
              </w:rPr>
              <w:t>067 Substance-Related Mental Disorders</w:t>
            </w:r>
          </w:p>
        </w:tc>
        <w:tc>
          <w:tcPr>
            <w:tcW w:w="797" w:type="pct"/>
            <w:noWrap/>
            <w:hideMark/>
          </w:tcPr>
          <w:p w14:paraId="4A7F4F8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-0.058</w:t>
            </w:r>
          </w:p>
        </w:tc>
        <w:tc>
          <w:tcPr>
            <w:tcW w:w="715" w:type="pct"/>
            <w:noWrap/>
            <w:hideMark/>
          </w:tcPr>
          <w:p w14:paraId="111B346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0.019</w:t>
            </w:r>
          </w:p>
        </w:tc>
        <w:tc>
          <w:tcPr>
            <w:tcW w:w="715" w:type="pct"/>
            <w:noWrap/>
            <w:hideMark/>
          </w:tcPr>
          <w:p w14:paraId="5BB53F8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-3.020</w:t>
            </w:r>
          </w:p>
        </w:tc>
        <w:tc>
          <w:tcPr>
            <w:tcW w:w="635" w:type="pct"/>
            <w:noWrap/>
            <w:hideMark/>
          </w:tcPr>
          <w:p w14:paraId="5352490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0.003</w:t>
            </w:r>
          </w:p>
        </w:tc>
      </w:tr>
      <w:tr w:rsidR="00B64822" w:rsidRPr="00616F4F" w14:paraId="5490C45B"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7A10D1F" w14:textId="77777777" w:rsidR="00B64822" w:rsidRPr="00616F4F" w:rsidRDefault="00B64822" w:rsidP="00864863">
            <w:pPr>
              <w:rPr>
                <w:rFonts w:cs="Arial"/>
                <w:b w:val="0"/>
                <w:sz w:val="18"/>
                <w:szCs w:val="18"/>
              </w:rPr>
            </w:pPr>
            <w:r w:rsidRPr="00616F4F">
              <w:rPr>
                <w:rFonts w:cs="Arial"/>
                <w:b w:val="0"/>
                <w:sz w:val="18"/>
                <w:szCs w:val="18"/>
              </w:rPr>
              <w:t>068 Senility And Organic Mental Disorder</w:t>
            </w:r>
          </w:p>
        </w:tc>
        <w:tc>
          <w:tcPr>
            <w:tcW w:w="797" w:type="pct"/>
            <w:noWrap/>
            <w:hideMark/>
          </w:tcPr>
          <w:p w14:paraId="3881295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-0.192</w:t>
            </w:r>
          </w:p>
        </w:tc>
        <w:tc>
          <w:tcPr>
            <w:tcW w:w="715" w:type="pct"/>
            <w:noWrap/>
            <w:hideMark/>
          </w:tcPr>
          <w:p w14:paraId="4E1BC898"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0.014</w:t>
            </w:r>
          </w:p>
        </w:tc>
        <w:tc>
          <w:tcPr>
            <w:tcW w:w="715" w:type="pct"/>
            <w:noWrap/>
            <w:hideMark/>
          </w:tcPr>
          <w:p w14:paraId="1AEB4ED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-13.610</w:t>
            </w:r>
          </w:p>
        </w:tc>
        <w:tc>
          <w:tcPr>
            <w:tcW w:w="635" w:type="pct"/>
            <w:noWrap/>
            <w:hideMark/>
          </w:tcPr>
          <w:p w14:paraId="503BEC2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282A5918"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0C9BBB0" w14:textId="77777777" w:rsidR="00B64822" w:rsidRPr="00616F4F" w:rsidRDefault="00B64822" w:rsidP="00864863">
            <w:pPr>
              <w:rPr>
                <w:rFonts w:cs="Arial"/>
                <w:b w:val="0"/>
                <w:sz w:val="18"/>
                <w:szCs w:val="18"/>
              </w:rPr>
            </w:pPr>
            <w:r w:rsidRPr="00616F4F">
              <w:rPr>
                <w:rFonts w:cs="Arial"/>
                <w:b w:val="0"/>
                <w:sz w:val="18"/>
                <w:szCs w:val="18"/>
              </w:rPr>
              <w:t>069 Affective Disorders</w:t>
            </w:r>
          </w:p>
        </w:tc>
        <w:tc>
          <w:tcPr>
            <w:tcW w:w="797" w:type="pct"/>
            <w:noWrap/>
            <w:hideMark/>
          </w:tcPr>
          <w:p w14:paraId="6632269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-0.130</w:t>
            </w:r>
          </w:p>
        </w:tc>
        <w:tc>
          <w:tcPr>
            <w:tcW w:w="715" w:type="pct"/>
            <w:noWrap/>
            <w:hideMark/>
          </w:tcPr>
          <w:p w14:paraId="2CFFCFB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0.011</w:t>
            </w:r>
          </w:p>
        </w:tc>
        <w:tc>
          <w:tcPr>
            <w:tcW w:w="715" w:type="pct"/>
            <w:noWrap/>
            <w:hideMark/>
          </w:tcPr>
          <w:p w14:paraId="6CD07D4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-12.310</w:t>
            </w:r>
          </w:p>
        </w:tc>
        <w:tc>
          <w:tcPr>
            <w:tcW w:w="635" w:type="pct"/>
            <w:noWrap/>
            <w:hideMark/>
          </w:tcPr>
          <w:p w14:paraId="1563699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309BE944"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BA8A829" w14:textId="77777777" w:rsidR="00B64822" w:rsidRPr="00616F4F" w:rsidRDefault="00B64822" w:rsidP="00864863">
            <w:pPr>
              <w:rPr>
                <w:rFonts w:cs="Arial"/>
                <w:b w:val="0"/>
                <w:sz w:val="18"/>
                <w:szCs w:val="18"/>
              </w:rPr>
            </w:pPr>
            <w:r w:rsidRPr="00616F4F">
              <w:rPr>
                <w:rFonts w:cs="Arial"/>
                <w:b w:val="0"/>
                <w:sz w:val="18"/>
                <w:szCs w:val="18"/>
              </w:rPr>
              <w:t>070 Schizophrenia And Related Disorders</w:t>
            </w:r>
          </w:p>
        </w:tc>
        <w:tc>
          <w:tcPr>
            <w:tcW w:w="797" w:type="pct"/>
            <w:noWrap/>
            <w:hideMark/>
          </w:tcPr>
          <w:p w14:paraId="104820D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-0.107</w:t>
            </w:r>
          </w:p>
        </w:tc>
        <w:tc>
          <w:tcPr>
            <w:tcW w:w="715" w:type="pct"/>
            <w:noWrap/>
            <w:hideMark/>
          </w:tcPr>
          <w:p w14:paraId="3A1F7F0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0.027</w:t>
            </w:r>
          </w:p>
        </w:tc>
        <w:tc>
          <w:tcPr>
            <w:tcW w:w="715" w:type="pct"/>
            <w:noWrap/>
            <w:hideMark/>
          </w:tcPr>
          <w:p w14:paraId="6559744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-4.000</w:t>
            </w:r>
          </w:p>
        </w:tc>
        <w:tc>
          <w:tcPr>
            <w:tcW w:w="635" w:type="pct"/>
            <w:noWrap/>
            <w:hideMark/>
          </w:tcPr>
          <w:p w14:paraId="33CFADB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518F4686"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8509038" w14:textId="77777777" w:rsidR="00B64822" w:rsidRPr="00616F4F" w:rsidRDefault="00B64822" w:rsidP="00864863">
            <w:pPr>
              <w:rPr>
                <w:rFonts w:cs="Arial"/>
                <w:b w:val="0"/>
                <w:sz w:val="18"/>
                <w:szCs w:val="18"/>
              </w:rPr>
            </w:pPr>
            <w:r w:rsidRPr="00616F4F">
              <w:rPr>
                <w:rFonts w:cs="Arial"/>
                <w:b w:val="0"/>
                <w:sz w:val="18"/>
                <w:szCs w:val="18"/>
              </w:rPr>
              <w:t>071 Other Psychoses</w:t>
            </w:r>
          </w:p>
        </w:tc>
        <w:tc>
          <w:tcPr>
            <w:tcW w:w="797" w:type="pct"/>
            <w:noWrap/>
            <w:hideMark/>
          </w:tcPr>
          <w:p w14:paraId="75B9AF3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-0.121</w:t>
            </w:r>
          </w:p>
        </w:tc>
        <w:tc>
          <w:tcPr>
            <w:tcW w:w="715" w:type="pct"/>
            <w:noWrap/>
            <w:hideMark/>
          </w:tcPr>
          <w:p w14:paraId="6F8419B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0.043</w:t>
            </w:r>
          </w:p>
        </w:tc>
        <w:tc>
          <w:tcPr>
            <w:tcW w:w="715" w:type="pct"/>
            <w:noWrap/>
            <w:hideMark/>
          </w:tcPr>
          <w:p w14:paraId="39DB4CA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-2.800</w:t>
            </w:r>
          </w:p>
        </w:tc>
        <w:tc>
          <w:tcPr>
            <w:tcW w:w="635" w:type="pct"/>
            <w:noWrap/>
            <w:hideMark/>
          </w:tcPr>
          <w:p w14:paraId="2D17C3E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0.005</w:t>
            </w:r>
          </w:p>
        </w:tc>
      </w:tr>
      <w:tr w:rsidR="00B64822" w:rsidRPr="00616F4F" w14:paraId="4D6B41B8"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09155A1" w14:textId="77777777" w:rsidR="00B64822" w:rsidRPr="00616F4F" w:rsidRDefault="00B64822" w:rsidP="00864863">
            <w:pPr>
              <w:rPr>
                <w:rFonts w:cs="Arial"/>
                <w:b w:val="0"/>
                <w:sz w:val="18"/>
                <w:szCs w:val="18"/>
              </w:rPr>
            </w:pPr>
            <w:r w:rsidRPr="00616F4F">
              <w:rPr>
                <w:rFonts w:cs="Arial"/>
                <w:b w:val="0"/>
                <w:sz w:val="18"/>
                <w:szCs w:val="18"/>
              </w:rPr>
              <w:t>072 Anxiety, Somatoform, Dissociative, A</w:t>
            </w:r>
          </w:p>
        </w:tc>
        <w:tc>
          <w:tcPr>
            <w:tcW w:w="797" w:type="pct"/>
            <w:noWrap/>
            <w:hideMark/>
          </w:tcPr>
          <w:p w14:paraId="628EB7E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-0.067</w:t>
            </w:r>
          </w:p>
        </w:tc>
        <w:tc>
          <w:tcPr>
            <w:tcW w:w="715" w:type="pct"/>
            <w:noWrap/>
            <w:hideMark/>
          </w:tcPr>
          <w:p w14:paraId="1831545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0.005</w:t>
            </w:r>
          </w:p>
        </w:tc>
        <w:tc>
          <w:tcPr>
            <w:tcW w:w="715" w:type="pct"/>
            <w:noWrap/>
            <w:hideMark/>
          </w:tcPr>
          <w:p w14:paraId="377E2B0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-13.440</w:t>
            </w:r>
          </w:p>
        </w:tc>
        <w:tc>
          <w:tcPr>
            <w:tcW w:w="635" w:type="pct"/>
            <w:noWrap/>
            <w:hideMark/>
          </w:tcPr>
          <w:p w14:paraId="7E44C08B"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0F0DAFE6"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6C4FD3F" w14:textId="77777777" w:rsidR="00B64822" w:rsidRPr="00616F4F" w:rsidRDefault="00B64822" w:rsidP="00864863">
            <w:pPr>
              <w:rPr>
                <w:rFonts w:cs="Arial"/>
                <w:b w:val="0"/>
                <w:sz w:val="18"/>
                <w:szCs w:val="18"/>
              </w:rPr>
            </w:pPr>
            <w:r w:rsidRPr="00616F4F">
              <w:rPr>
                <w:rFonts w:cs="Arial"/>
                <w:b w:val="0"/>
                <w:sz w:val="18"/>
                <w:szCs w:val="18"/>
              </w:rPr>
              <w:t xml:space="preserve">073 </w:t>
            </w:r>
            <w:proofErr w:type="spellStart"/>
            <w:r w:rsidRPr="00616F4F">
              <w:rPr>
                <w:rFonts w:cs="Arial"/>
                <w:b w:val="0"/>
                <w:sz w:val="18"/>
                <w:szCs w:val="18"/>
              </w:rPr>
              <w:t>Preadult</w:t>
            </w:r>
            <w:proofErr w:type="spellEnd"/>
            <w:r w:rsidRPr="00616F4F">
              <w:rPr>
                <w:rFonts w:cs="Arial"/>
                <w:b w:val="0"/>
                <w:sz w:val="18"/>
                <w:szCs w:val="18"/>
              </w:rPr>
              <w:t xml:space="preserve"> Disorders</w:t>
            </w:r>
          </w:p>
        </w:tc>
        <w:tc>
          <w:tcPr>
            <w:tcW w:w="797" w:type="pct"/>
            <w:noWrap/>
            <w:hideMark/>
          </w:tcPr>
          <w:p w14:paraId="6E3425B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-0.002</w:t>
            </w:r>
          </w:p>
        </w:tc>
        <w:tc>
          <w:tcPr>
            <w:tcW w:w="715" w:type="pct"/>
            <w:noWrap/>
            <w:hideMark/>
          </w:tcPr>
          <w:p w14:paraId="6197B06D"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1358227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-0.260</w:t>
            </w:r>
          </w:p>
        </w:tc>
        <w:tc>
          <w:tcPr>
            <w:tcW w:w="635" w:type="pct"/>
            <w:noWrap/>
            <w:hideMark/>
          </w:tcPr>
          <w:p w14:paraId="372DD83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0.797</w:t>
            </w:r>
          </w:p>
        </w:tc>
      </w:tr>
      <w:tr w:rsidR="00B64822" w:rsidRPr="00616F4F" w14:paraId="733278DB"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B21C3F4" w14:textId="77777777" w:rsidR="00B64822" w:rsidRPr="00616F4F" w:rsidRDefault="00B64822" w:rsidP="00864863">
            <w:pPr>
              <w:rPr>
                <w:rFonts w:cs="Arial"/>
                <w:b w:val="0"/>
                <w:sz w:val="18"/>
                <w:szCs w:val="18"/>
              </w:rPr>
            </w:pPr>
            <w:r w:rsidRPr="00616F4F">
              <w:rPr>
                <w:rFonts w:cs="Arial"/>
                <w:b w:val="0"/>
                <w:sz w:val="18"/>
                <w:szCs w:val="18"/>
              </w:rPr>
              <w:t>074 Other Mental Conditions</w:t>
            </w:r>
          </w:p>
        </w:tc>
        <w:tc>
          <w:tcPr>
            <w:tcW w:w="797" w:type="pct"/>
            <w:noWrap/>
            <w:hideMark/>
          </w:tcPr>
          <w:p w14:paraId="7967205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-0.101</w:t>
            </w:r>
          </w:p>
        </w:tc>
        <w:tc>
          <w:tcPr>
            <w:tcW w:w="715" w:type="pct"/>
            <w:noWrap/>
            <w:hideMark/>
          </w:tcPr>
          <w:p w14:paraId="0451568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0.005</w:t>
            </w:r>
          </w:p>
        </w:tc>
        <w:tc>
          <w:tcPr>
            <w:tcW w:w="715" w:type="pct"/>
            <w:noWrap/>
            <w:hideMark/>
          </w:tcPr>
          <w:p w14:paraId="3F70F1C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-21.230</w:t>
            </w:r>
          </w:p>
        </w:tc>
        <w:tc>
          <w:tcPr>
            <w:tcW w:w="635" w:type="pct"/>
            <w:noWrap/>
            <w:hideMark/>
          </w:tcPr>
          <w:p w14:paraId="6AF8216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02E053B2"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2535B5F" w14:textId="77777777" w:rsidR="00B64822" w:rsidRPr="00616F4F" w:rsidRDefault="00B64822" w:rsidP="00864863">
            <w:pPr>
              <w:rPr>
                <w:rFonts w:cs="Arial"/>
                <w:b w:val="0"/>
                <w:sz w:val="18"/>
                <w:szCs w:val="18"/>
              </w:rPr>
            </w:pPr>
            <w:r w:rsidRPr="00616F4F">
              <w:rPr>
                <w:rFonts w:cs="Arial"/>
                <w:b w:val="0"/>
                <w:sz w:val="18"/>
                <w:szCs w:val="18"/>
              </w:rPr>
              <w:t>075 Personal History Of Mental Disorder,</w:t>
            </w:r>
          </w:p>
        </w:tc>
        <w:tc>
          <w:tcPr>
            <w:tcW w:w="797" w:type="pct"/>
            <w:noWrap/>
            <w:hideMark/>
          </w:tcPr>
          <w:p w14:paraId="02E5486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-0.040</w:t>
            </w:r>
          </w:p>
        </w:tc>
        <w:tc>
          <w:tcPr>
            <w:tcW w:w="715" w:type="pct"/>
            <w:noWrap/>
            <w:hideMark/>
          </w:tcPr>
          <w:p w14:paraId="311802E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0.022</w:t>
            </w:r>
          </w:p>
        </w:tc>
        <w:tc>
          <w:tcPr>
            <w:tcW w:w="715" w:type="pct"/>
            <w:noWrap/>
            <w:hideMark/>
          </w:tcPr>
          <w:p w14:paraId="0134C73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-1.820</w:t>
            </w:r>
          </w:p>
        </w:tc>
        <w:tc>
          <w:tcPr>
            <w:tcW w:w="635" w:type="pct"/>
            <w:noWrap/>
            <w:hideMark/>
          </w:tcPr>
          <w:p w14:paraId="60CC6625"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0.069</w:t>
            </w:r>
          </w:p>
        </w:tc>
      </w:tr>
      <w:tr w:rsidR="00B64822" w:rsidRPr="00616F4F" w14:paraId="49EFE4C4"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2F77381" w14:textId="77777777" w:rsidR="00B64822" w:rsidRPr="00616F4F" w:rsidRDefault="00B64822" w:rsidP="00864863">
            <w:pPr>
              <w:rPr>
                <w:rFonts w:cs="Arial"/>
                <w:b w:val="0"/>
                <w:sz w:val="18"/>
                <w:szCs w:val="18"/>
              </w:rPr>
            </w:pPr>
            <w:r w:rsidRPr="00616F4F">
              <w:rPr>
                <w:rFonts w:cs="Arial"/>
                <w:b w:val="0"/>
                <w:sz w:val="18"/>
                <w:szCs w:val="18"/>
              </w:rPr>
              <w:t>079 Parkinson's Disease</w:t>
            </w:r>
          </w:p>
        </w:tc>
        <w:tc>
          <w:tcPr>
            <w:tcW w:w="797" w:type="pct"/>
            <w:noWrap/>
            <w:hideMark/>
          </w:tcPr>
          <w:p w14:paraId="1A1723A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-0.208</w:t>
            </w:r>
          </w:p>
        </w:tc>
        <w:tc>
          <w:tcPr>
            <w:tcW w:w="715" w:type="pct"/>
            <w:noWrap/>
            <w:hideMark/>
          </w:tcPr>
          <w:p w14:paraId="04BEF3D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0.025</w:t>
            </w:r>
          </w:p>
        </w:tc>
        <w:tc>
          <w:tcPr>
            <w:tcW w:w="715" w:type="pct"/>
            <w:noWrap/>
            <w:hideMark/>
          </w:tcPr>
          <w:p w14:paraId="2C9E425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-8.330</w:t>
            </w:r>
          </w:p>
        </w:tc>
        <w:tc>
          <w:tcPr>
            <w:tcW w:w="635" w:type="pct"/>
            <w:noWrap/>
            <w:hideMark/>
          </w:tcPr>
          <w:p w14:paraId="4E641AB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63DBA8E7"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328028E" w14:textId="77777777" w:rsidR="00B64822" w:rsidRPr="00616F4F" w:rsidRDefault="00B64822" w:rsidP="00864863">
            <w:pPr>
              <w:rPr>
                <w:rFonts w:cs="Arial"/>
                <w:b w:val="0"/>
                <w:sz w:val="18"/>
                <w:szCs w:val="18"/>
              </w:rPr>
            </w:pPr>
            <w:r w:rsidRPr="00616F4F">
              <w:rPr>
                <w:rFonts w:cs="Arial"/>
                <w:b w:val="0"/>
                <w:sz w:val="18"/>
                <w:szCs w:val="18"/>
              </w:rPr>
              <w:t>080 Multiple Sclerosis</w:t>
            </w:r>
          </w:p>
        </w:tc>
        <w:tc>
          <w:tcPr>
            <w:tcW w:w="797" w:type="pct"/>
            <w:noWrap/>
            <w:hideMark/>
          </w:tcPr>
          <w:p w14:paraId="00F6C2C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-0.227</w:t>
            </w:r>
          </w:p>
        </w:tc>
        <w:tc>
          <w:tcPr>
            <w:tcW w:w="715" w:type="pct"/>
            <w:noWrap/>
            <w:hideMark/>
          </w:tcPr>
          <w:p w14:paraId="159B00D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0.034</w:t>
            </w:r>
          </w:p>
        </w:tc>
        <w:tc>
          <w:tcPr>
            <w:tcW w:w="715" w:type="pct"/>
            <w:noWrap/>
            <w:hideMark/>
          </w:tcPr>
          <w:p w14:paraId="767B386D"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-6.600</w:t>
            </w:r>
          </w:p>
        </w:tc>
        <w:tc>
          <w:tcPr>
            <w:tcW w:w="635" w:type="pct"/>
            <w:noWrap/>
            <w:hideMark/>
          </w:tcPr>
          <w:p w14:paraId="7030A585"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05A9A870"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CEB9A21" w14:textId="77777777" w:rsidR="00B64822" w:rsidRPr="00616F4F" w:rsidRDefault="00B64822" w:rsidP="00864863">
            <w:pPr>
              <w:rPr>
                <w:rFonts w:cs="Arial"/>
                <w:b w:val="0"/>
                <w:sz w:val="18"/>
                <w:szCs w:val="18"/>
              </w:rPr>
            </w:pPr>
            <w:r w:rsidRPr="00616F4F">
              <w:rPr>
                <w:rFonts w:cs="Arial"/>
                <w:b w:val="0"/>
                <w:sz w:val="18"/>
                <w:szCs w:val="18"/>
              </w:rPr>
              <w:t>081 Other Hereditary And Degenerative Ne</w:t>
            </w:r>
          </w:p>
        </w:tc>
        <w:tc>
          <w:tcPr>
            <w:tcW w:w="797" w:type="pct"/>
            <w:noWrap/>
            <w:hideMark/>
          </w:tcPr>
          <w:p w14:paraId="7584D99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-0.097</w:t>
            </w:r>
          </w:p>
        </w:tc>
        <w:tc>
          <w:tcPr>
            <w:tcW w:w="715" w:type="pct"/>
            <w:noWrap/>
            <w:hideMark/>
          </w:tcPr>
          <w:p w14:paraId="049DAFD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0.019</w:t>
            </w:r>
          </w:p>
        </w:tc>
        <w:tc>
          <w:tcPr>
            <w:tcW w:w="715" w:type="pct"/>
            <w:noWrap/>
            <w:hideMark/>
          </w:tcPr>
          <w:p w14:paraId="3070519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-5.090</w:t>
            </w:r>
          </w:p>
        </w:tc>
        <w:tc>
          <w:tcPr>
            <w:tcW w:w="635" w:type="pct"/>
            <w:noWrap/>
            <w:hideMark/>
          </w:tcPr>
          <w:p w14:paraId="5FF67F9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35879D51"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8AF898F" w14:textId="77777777" w:rsidR="00B64822" w:rsidRPr="00616F4F" w:rsidRDefault="00B64822" w:rsidP="00864863">
            <w:pPr>
              <w:rPr>
                <w:rFonts w:cs="Arial"/>
                <w:b w:val="0"/>
                <w:sz w:val="18"/>
                <w:szCs w:val="18"/>
              </w:rPr>
            </w:pPr>
            <w:r w:rsidRPr="00616F4F">
              <w:rPr>
                <w:rFonts w:cs="Arial"/>
                <w:b w:val="0"/>
                <w:sz w:val="18"/>
                <w:szCs w:val="18"/>
              </w:rPr>
              <w:t>082 Paralysis</w:t>
            </w:r>
          </w:p>
        </w:tc>
        <w:tc>
          <w:tcPr>
            <w:tcW w:w="797" w:type="pct"/>
            <w:noWrap/>
            <w:hideMark/>
          </w:tcPr>
          <w:p w14:paraId="613D079E"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-0.247</w:t>
            </w:r>
          </w:p>
        </w:tc>
        <w:tc>
          <w:tcPr>
            <w:tcW w:w="715" w:type="pct"/>
            <w:noWrap/>
            <w:hideMark/>
          </w:tcPr>
          <w:p w14:paraId="7D5A1BF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0.099</w:t>
            </w:r>
          </w:p>
        </w:tc>
        <w:tc>
          <w:tcPr>
            <w:tcW w:w="715" w:type="pct"/>
            <w:noWrap/>
            <w:hideMark/>
          </w:tcPr>
          <w:p w14:paraId="04F02F0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-2.480</w:t>
            </w:r>
          </w:p>
        </w:tc>
        <w:tc>
          <w:tcPr>
            <w:tcW w:w="635" w:type="pct"/>
            <w:noWrap/>
            <w:hideMark/>
          </w:tcPr>
          <w:p w14:paraId="0D48AD8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0.013</w:t>
            </w:r>
          </w:p>
        </w:tc>
      </w:tr>
      <w:tr w:rsidR="00B64822" w:rsidRPr="00616F4F" w14:paraId="22D566CF"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EAAF449" w14:textId="77777777" w:rsidR="00B64822" w:rsidRPr="00616F4F" w:rsidRDefault="00B64822" w:rsidP="00864863">
            <w:pPr>
              <w:rPr>
                <w:rFonts w:cs="Arial"/>
                <w:b w:val="0"/>
                <w:sz w:val="18"/>
                <w:szCs w:val="18"/>
              </w:rPr>
            </w:pPr>
            <w:r w:rsidRPr="00616F4F">
              <w:rPr>
                <w:rFonts w:cs="Arial"/>
                <w:b w:val="0"/>
                <w:sz w:val="18"/>
                <w:szCs w:val="18"/>
              </w:rPr>
              <w:t>083 Epilepsy, Convulsions</w:t>
            </w:r>
          </w:p>
        </w:tc>
        <w:tc>
          <w:tcPr>
            <w:tcW w:w="797" w:type="pct"/>
            <w:noWrap/>
            <w:hideMark/>
          </w:tcPr>
          <w:p w14:paraId="6F6A4F6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-0.067</w:t>
            </w:r>
          </w:p>
        </w:tc>
        <w:tc>
          <w:tcPr>
            <w:tcW w:w="715" w:type="pct"/>
            <w:noWrap/>
            <w:hideMark/>
          </w:tcPr>
          <w:p w14:paraId="5C75668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0.009</w:t>
            </w:r>
          </w:p>
        </w:tc>
        <w:tc>
          <w:tcPr>
            <w:tcW w:w="715" w:type="pct"/>
            <w:noWrap/>
            <w:hideMark/>
          </w:tcPr>
          <w:p w14:paraId="1EEA4A5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-7.450</w:t>
            </w:r>
          </w:p>
        </w:tc>
        <w:tc>
          <w:tcPr>
            <w:tcW w:w="635" w:type="pct"/>
            <w:noWrap/>
            <w:hideMark/>
          </w:tcPr>
          <w:p w14:paraId="1D32BF8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2C0FD4E9"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FD5E89D" w14:textId="77777777" w:rsidR="00B64822" w:rsidRPr="00616F4F" w:rsidRDefault="00B64822" w:rsidP="00864863">
            <w:pPr>
              <w:rPr>
                <w:rFonts w:cs="Arial"/>
                <w:b w:val="0"/>
                <w:sz w:val="18"/>
                <w:szCs w:val="18"/>
              </w:rPr>
            </w:pPr>
            <w:r w:rsidRPr="00616F4F">
              <w:rPr>
                <w:rFonts w:cs="Arial"/>
                <w:b w:val="0"/>
                <w:sz w:val="18"/>
                <w:szCs w:val="18"/>
              </w:rPr>
              <w:t>084 Headache, Including Migraine</w:t>
            </w:r>
          </w:p>
        </w:tc>
        <w:tc>
          <w:tcPr>
            <w:tcW w:w="797" w:type="pct"/>
            <w:noWrap/>
            <w:hideMark/>
          </w:tcPr>
          <w:p w14:paraId="7C49D1EE"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-0.027</w:t>
            </w:r>
          </w:p>
        </w:tc>
        <w:tc>
          <w:tcPr>
            <w:tcW w:w="715" w:type="pct"/>
            <w:noWrap/>
            <w:hideMark/>
          </w:tcPr>
          <w:p w14:paraId="3707A44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0.007</w:t>
            </w:r>
          </w:p>
        </w:tc>
        <w:tc>
          <w:tcPr>
            <w:tcW w:w="715" w:type="pct"/>
            <w:noWrap/>
            <w:hideMark/>
          </w:tcPr>
          <w:p w14:paraId="3B3510C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-4.070</w:t>
            </w:r>
          </w:p>
        </w:tc>
        <w:tc>
          <w:tcPr>
            <w:tcW w:w="635" w:type="pct"/>
            <w:noWrap/>
            <w:hideMark/>
          </w:tcPr>
          <w:p w14:paraId="7DD180D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0E093F8B"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667BE97" w14:textId="77777777" w:rsidR="00B64822" w:rsidRPr="00616F4F" w:rsidRDefault="00B64822" w:rsidP="00864863">
            <w:pPr>
              <w:rPr>
                <w:rFonts w:cs="Arial"/>
                <w:b w:val="0"/>
                <w:sz w:val="18"/>
                <w:szCs w:val="18"/>
              </w:rPr>
            </w:pPr>
            <w:r w:rsidRPr="00616F4F">
              <w:rPr>
                <w:rFonts w:cs="Arial"/>
                <w:b w:val="0"/>
                <w:sz w:val="18"/>
                <w:szCs w:val="18"/>
              </w:rPr>
              <w:t>086 Cataract</w:t>
            </w:r>
          </w:p>
        </w:tc>
        <w:tc>
          <w:tcPr>
            <w:tcW w:w="797" w:type="pct"/>
            <w:noWrap/>
            <w:hideMark/>
          </w:tcPr>
          <w:p w14:paraId="05079FCB"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-0.027</w:t>
            </w:r>
          </w:p>
        </w:tc>
        <w:tc>
          <w:tcPr>
            <w:tcW w:w="715" w:type="pct"/>
            <w:noWrap/>
            <w:hideMark/>
          </w:tcPr>
          <w:p w14:paraId="1089E8D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15B56B0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-4.520</w:t>
            </w:r>
          </w:p>
        </w:tc>
        <w:tc>
          <w:tcPr>
            <w:tcW w:w="635" w:type="pct"/>
            <w:noWrap/>
            <w:hideMark/>
          </w:tcPr>
          <w:p w14:paraId="6BD6A70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732EF5FD"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3D77D68" w14:textId="77777777" w:rsidR="00B64822" w:rsidRPr="00616F4F" w:rsidRDefault="00B64822" w:rsidP="00864863">
            <w:pPr>
              <w:rPr>
                <w:rFonts w:cs="Arial"/>
                <w:b w:val="0"/>
                <w:sz w:val="18"/>
                <w:szCs w:val="18"/>
              </w:rPr>
            </w:pPr>
            <w:r w:rsidRPr="00616F4F">
              <w:rPr>
                <w:rFonts w:cs="Arial"/>
                <w:b w:val="0"/>
                <w:sz w:val="18"/>
                <w:szCs w:val="18"/>
              </w:rPr>
              <w:t xml:space="preserve">087 Retinal Detachments, Defects, </w:t>
            </w:r>
            <w:proofErr w:type="spellStart"/>
            <w:r w:rsidRPr="00616F4F">
              <w:rPr>
                <w:rFonts w:cs="Arial"/>
                <w:b w:val="0"/>
                <w:sz w:val="18"/>
                <w:szCs w:val="18"/>
              </w:rPr>
              <w:t>Vascul</w:t>
            </w:r>
            <w:proofErr w:type="spellEnd"/>
          </w:p>
        </w:tc>
        <w:tc>
          <w:tcPr>
            <w:tcW w:w="797" w:type="pct"/>
            <w:noWrap/>
            <w:hideMark/>
          </w:tcPr>
          <w:p w14:paraId="4CF2C45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-0.020</w:t>
            </w:r>
          </w:p>
        </w:tc>
        <w:tc>
          <w:tcPr>
            <w:tcW w:w="715" w:type="pct"/>
            <w:noWrap/>
            <w:hideMark/>
          </w:tcPr>
          <w:p w14:paraId="1862207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0.011</w:t>
            </w:r>
          </w:p>
        </w:tc>
        <w:tc>
          <w:tcPr>
            <w:tcW w:w="715" w:type="pct"/>
            <w:noWrap/>
            <w:hideMark/>
          </w:tcPr>
          <w:p w14:paraId="0784EC5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-1.830</w:t>
            </w:r>
          </w:p>
        </w:tc>
        <w:tc>
          <w:tcPr>
            <w:tcW w:w="635" w:type="pct"/>
            <w:noWrap/>
            <w:hideMark/>
          </w:tcPr>
          <w:p w14:paraId="116BC7C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0.067</w:t>
            </w:r>
          </w:p>
        </w:tc>
      </w:tr>
      <w:tr w:rsidR="00B64822" w:rsidRPr="00616F4F" w14:paraId="175C19E7"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B9FD528" w14:textId="77777777" w:rsidR="00B64822" w:rsidRPr="00616F4F" w:rsidRDefault="00B64822" w:rsidP="00864863">
            <w:pPr>
              <w:rPr>
                <w:rFonts w:cs="Arial"/>
                <w:b w:val="0"/>
                <w:sz w:val="18"/>
                <w:szCs w:val="18"/>
              </w:rPr>
            </w:pPr>
            <w:r w:rsidRPr="00616F4F">
              <w:rPr>
                <w:rFonts w:cs="Arial"/>
                <w:b w:val="0"/>
                <w:sz w:val="18"/>
                <w:szCs w:val="18"/>
              </w:rPr>
              <w:t>088 Glaucoma</w:t>
            </w:r>
          </w:p>
        </w:tc>
        <w:tc>
          <w:tcPr>
            <w:tcW w:w="797" w:type="pct"/>
            <w:noWrap/>
            <w:hideMark/>
          </w:tcPr>
          <w:p w14:paraId="6DC14F3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-0.028</w:t>
            </w:r>
          </w:p>
        </w:tc>
        <w:tc>
          <w:tcPr>
            <w:tcW w:w="715" w:type="pct"/>
            <w:noWrap/>
            <w:hideMark/>
          </w:tcPr>
          <w:p w14:paraId="2C0A1D7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1B1A637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-4.450</w:t>
            </w:r>
          </w:p>
        </w:tc>
        <w:tc>
          <w:tcPr>
            <w:tcW w:w="635" w:type="pct"/>
            <w:noWrap/>
            <w:hideMark/>
          </w:tcPr>
          <w:p w14:paraId="5E67576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7CF6FD1B"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35A73CE" w14:textId="77777777" w:rsidR="00B64822" w:rsidRPr="00616F4F" w:rsidRDefault="00B64822" w:rsidP="00864863">
            <w:pPr>
              <w:rPr>
                <w:rFonts w:cs="Arial"/>
                <w:b w:val="0"/>
                <w:sz w:val="18"/>
                <w:szCs w:val="18"/>
              </w:rPr>
            </w:pPr>
            <w:r w:rsidRPr="00616F4F">
              <w:rPr>
                <w:rFonts w:cs="Arial"/>
                <w:b w:val="0"/>
                <w:sz w:val="18"/>
                <w:szCs w:val="18"/>
              </w:rPr>
              <w:t>089 Blindness And Vision Defects</w:t>
            </w:r>
          </w:p>
        </w:tc>
        <w:tc>
          <w:tcPr>
            <w:tcW w:w="797" w:type="pct"/>
            <w:noWrap/>
            <w:hideMark/>
          </w:tcPr>
          <w:p w14:paraId="00198B3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c>
          <w:tcPr>
            <w:tcW w:w="715" w:type="pct"/>
            <w:noWrap/>
            <w:hideMark/>
          </w:tcPr>
          <w:p w14:paraId="6EFE8D9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0.001</w:t>
            </w:r>
          </w:p>
        </w:tc>
        <w:tc>
          <w:tcPr>
            <w:tcW w:w="715" w:type="pct"/>
            <w:noWrap/>
            <w:hideMark/>
          </w:tcPr>
          <w:p w14:paraId="368B37D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c>
          <w:tcPr>
            <w:tcW w:w="635" w:type="pct"/>
            <w:noWrap/>
            <w:hideMark/>
          </w:tcPr>
          <w:p w14:paraId="15EB2EE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1.000</w:t>
            </w:r>
          </w:p>
        </w:tc>
      </w:tr>
      <w:tr w:rsidR="00B64822" w:rsidRPr="00616F4F" w14:paraId="40BAB843"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A58E427" w14:textId="77777777" w:rsidR="00B64822" w:rsidRPr="00616F4F" w:rsidRDefault="00B64822" w:rsidP="00864863">
            <w:pPr>
              <w:rPr>
                <w:rFonts w:cs="Arial"/>
                <w:b w:val="0"/>
                <w:sz w:val="18"/>
                <w:szCs w:val="18"/>
              </w:rPr>
            </w:pPr>
            <w:r w:rsidRPr="00616F4F">
              <w:rPr>
                <w:rFonts w:cs="Arial"/>
                <w:b w:val="0"/>
                <w:sz w:val="18"/>
                <w:szCs w:val="18"/>
              </w:rPr>
              <w:t>091 Other Eye Disorders</w:t>
            </w:r>
          </w:p>
        </w:tc>
        <w:tc>
          <w:tcPr>
            <w:tcW w:w="797" w:type="pct"/>
            <w:noWrap/>
            <w:hideMark/>
          </w:tcPr>
          <w:p w14:paraId="2F35830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-0.009</w:t>
            </w:r>
          </w:p>
        </w:tc>
        <w:tc>
          <w:tcPr>
            <w:tcW w:w="715" w:type="pct"/>
            <w:noWrap/>
            <w:hideMark/>
          </w:tcPr>
          <w:p w14:paraId="32EFD19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3547B2D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-1.630</w:t>
            </w:r>
          </w:p>
        </w:tc>
        <w:tc>
          <w:tcPr>
            <w:tcW w:w="635" w:type="pct"/>
            <w:noWrap/>
            <w:hideMark/>
          </w:tcPr>
          <w:p w14:paraId="1AA3E188"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0.103</w:t>
            </w:r>
          </w:p>
        </w:tc>
      </w:tr>
      <w:tr w:rsidR="00B64822" w:rsidRPr="00616F4F" w14:paraId="72D4237D"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63BC4A5" w14:textId="77777777" w:rsidR="00B64822" w:rsidRPr="00616F4F" w:rsidRDefault="00B64822" w:rsidP="00864863">
            <w:pPr>
              <w:rPr>
                <w:rFonts w:cs="Arial"/>
                <w:b w:val="0"/>
                <w:sz w:val="18"/>
                <w:szCs w:val="18"/>
              </w:rPr>
            </w:pPr>
            <w:r w:rsidRPr="00616F4F">
              <w:rPr>
                <w:rFonts w:cs="Arial"/>
                <w:b w:val="0"/>
                <w:sz w:val="18"/>
                <w:szCs w:val="18"/>
              </w:rPr>
              <w:t>094 Other Ear And Sense Organ Disorders</w:t>
            </w:r>
          </w:p>
        </w:tc>
        <w:tc>
          <w:tcPr>
            <w:tcW w:w="797" w:type="pct"/>
            <w:noWrap/>
            <w:hideMark/>
          </w:tcPr>
          <w:p w14:paraId="4DF3D3C5"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-0.010</w:t>
            </w:r>
          </w:p>
        </w:tc>
        <w:tc>
          <w:tcPr>
            <w:tcW w:w="715" w:type="pct"/>
            <w:noWrap/>
            <w:hideMark/>
          </w:tcPr>
          <w:p w14:paraId="1E1000A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0.007</w:t>
            </w:r>
          </w:p>
        </w:tc>
        <w:tc>
          <w:tcPr>
            <w:tcW w:w="715" w:type="pct"/>
            <w:noWrap/>
            <w:hideMark/>
          </w:tcPr>
          <w:p w14:paraId="66F53F6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-1.470</w:t>
            </w:r>
          </w:p>
        </w:tc>
        <w:tc>
          <w:tcPr>
            <w:tcW w:w="635" w:type="pct"/>
            <w:noWrap/>
            <w:hideMark/>
          </w:tcPr>
          <w:p w14:paraId="698E82F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0.141</w:t>
            </w:r>
          </w:p>
        </w:tc>
      </w:tr>
      <w:tr w:rsidR="00B64822" w:rsidRPr="00616F4F" w14:paraId="32D1C31F"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F625C82" w14:textId="77777777" w:rsidR="00B64822" w:rsidRPr="00616F4F" w:rsidRDefault="00B64822" w:rsidP="00864863">
            <w:pPr>
              <w:rPr>
                <w:rFonts w:cs="Arial"/>
                <w:b w:val="0"/>
                <w:sz w:val="18"/>
                <w:szCs w:val="18"/>
              </w:rPr>
            </w:pPr>
            <w:r w:rsidRPr="00616F4F">
              <w:rPr>
                <w:rFonts w:cs="Arial"/>
                <w:b w:val="0"/>
                <w:sz w:val="18"/>
                <w:szCs w:val="18"/>
              </w:rPr>
              <w:t>095 Other Nervous System Disorders</w:t>
            </w:r>
          </w:p>
        </w:tc>
        <w:tc>
          <w:tcPr>
            <w:tcW w:w="797" w:type="pct"/>
            <w:noWrap/>
            <w:hideMark/>
          </w:tcPr>
          <w:p w14:paraId="0B83C8D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-0.069</w:t>
            </w:r>
          </w:p>
        </w:tc>
        <w:tc>
          <w:tcPr>
            <w:tcW w:w="715" w:type="pct"/>
            <w:noWrap/>
            <w:hideMark/>
          </w:tcPr>
          <w:p w14:paraId="59BD6D6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531AB4D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-12.390</w:t>
            </w:r>
          </w:p>
        </w:tc>
        <w:tc>
          <w:tcPr>
            <w:tcW w:w="635" w:type="pct"/>
            <w:noWrap/>
            <w:hideMark/>
          </w:tcPr>
          <w:p w14:paraId="4298DE0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4E263FE1"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437428C" w14:textId="77777777" w:rsidR="00B64822" w:rsidRPr="00616F4F" w:rsidRDefault="00B64822" w:rsidP="00864863">
            <w:pPr>
              <w:rPr>
                <w:rFonts w:cs="Arial"/>
                <w:b w:val="0"/>
                <w:sz w:val="18"/>
                <w:szCs w:val="18"/>
              </w:rPr>
            </w:pPr>
            <w:r w:rsidRPr="00616F4F">
              <w:rPr>
                <w:rFonts w:cs="Arial"/>
                <w:b w:val="0"/>
                <w:sz w:val="18"/>
                <w:szCs w:val="18"/>
              </w:rPr>
              <w:lastRenderedPageBreak/>
              <w:t>096 Heart Valve Disorders</w:t>
            </w:r>
          </w:p>
        </w:tc>
        <w:tc>
          <w:tcPr>
            <w:tcW w:w="797" w:type="pct"/>
            <w:noWrap/>
            <w:hideMark/>
          </w:tcPr>
          <w:p w14:paraId="4700B6D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-0.028</w:t>
            </w:r>
          </w:p>
        </w:tc>
        <w:tc>
          <w:tcPr>
            <w:tcW w:w="715" w:type="pct"/>
            <w:noWrap/>
            <w:hideMark/>
          </w:tcPr>
          <w:p w14:paraId="017463D4"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0.009</w:t>
            </w:r>
          </w:p>
        </w:tc>
        <w:tc>
          <w:tcPr>
            <w:tcW w:w="715" w:type="pct"/>
            <w:noWrap/>
            <w:hideMark/>
          </w:tcPr>
          <w:p w14:paraId="6926752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-3.040</w:t>
            </w:r>
          </w:p>
        </w:tc>
        <w:tc>
          <w:tcPr>
            <w:tcW w:w="635" w:type="pct"/>
            <w:noWrap/>
            <w:hideMark/>
          </w:tcPr>
          <w:p w14:paraId="036A7C9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0.002</w:t>
            </w:r>
          </w:p>
        </w:tc>
      </w:tr>
      <w:tr w:rsidR="00B64822" w:rsidRPr="00616F4F" w14:paraId="3451549D"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C6D8091" w14:textId="77777777" w:rsidR="00B64822" w:rsidRPr="00616F4F" w:rsidRDefault="00B64822" w:rsidP="00864863">
            <w:pPr>
              <w:rPr>
                <w:rFonts w:cs="Arial"/>
                <w:b w:val="0"/>
                <w:sz w:val="18"/>
                <w:szCs w:val="18"/>
              </w:rPr>
            </w:pPr>
            <w:r w:rsidRPr="00616F4F">
              <w:rPr>
                <w:rFonts w:cs="Arial"/>
                <w:b w:val="0"/>
                <w:sz w:val="18"/>
                <w:szCs w:val="18"/>
              </w:rPr>
              <w:t>098 Essential Hypertension</w:t>
            </w:r>
          </w:p>
        </w:tc>
        <w:tc>
          <w:tcPr>
            <w:tcW w:w="797" w:type="pct"/>
            <w:noWrap/>
            <w:hideMark/>
          </w:tcPr>
          <w:p w14:paraId="7FEA0EB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-0.037</w:t>
            </w:r>
          </w:p>
        </w:tc>
        <w:tc>
          <w:tcPr>
            <w:tcW w:w="715" w:type="pct"/>
            <w:noWrap/>
            <w:hideMark/>
          </w:tcPr>
          <w:p w14:paraId="5144879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0.004</w:t>
            </w:r>
          </w:p>
        </w:tc>
        <w:tc>
          <w:tcPr>
            <w:tcW w:w="715" w:type="pct"/>
            <w:noWrap/>
            <w:hideMark/>
          </w:tcPr>
          <w:p w14:paraId="4D12430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-9.010</w:t>
            </w:r>
          </w:p>
        </w:tc>
        <w:tc>
          <w:tcPr>
            <w:tcW w:w="635" w:type="pct"/>
            <w:noWrap/>
            <w:hideMark/>
          </w:tcPr>
          <w:p w14:paraId="50A1826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345E91EE"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F27D810" w14:textId="77777777" w:rsidR="00B64822" w:rsidRPr="00616F4F" w:rsidRDefault="00B64822" w:rsidP="00864863">
            <w:pPr>
              <w:rPr>
                <w:rFonts w:cs="Arial"/>
                <w:b w:val="0"/>
                <w:sz w:val="18"/>
                <w:szCs w:val="18"/>
              </w:rPr>
            </w:pPr>
            <w:r w:rsidRPr="00616F4F">
              <w:rPr>
                <w:rFonts w:cs="Arial"/>
                <w:b w:val="0"/>
                <w:sz w:val="18"/>
                <w:szCs w:val="18"/>
              </w:rPr>
              <w:t>100 Acute Myocardial Infarction</w:t>
            </w:r>
          </w:p>
        </w:tc>
        <w:tc>
          <w:tcPr>
            <w:tcW w:w="797" w:type="pct"/>
            <w:noWrap/>
            <w:hideMark/>
          </w:tcPr>
          <w:p w14:paraId="2698AD2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-0.056</w:t>
            </w:r>
          </w:p>
        </w:tc>
        <w:tc>
          <w:tcPr>
            <w:tcW w:w="715" w:type="pct"/>
            <w:noWrap/>
            <w:hideMark/>
          </w:tcPr>
          <w:p w14:paraId="4A37E57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0.011</w:t>
            </w:r>
          </w:p>
        </w:tc>
        <w:tc>
          <w:tcPr>
            <w:tcW w:w="715" w:type="pct"/>
            <w:noWrap/>
            <w:hideMark/>
          </w:tcPr>
          <w:p w14:paraId="5D6A214D"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-4.970</w:t>
            </w:r>
          </w:p>
        </w:tc>
        <w:tc>
          <w:tcPr>
            <w:tcW w:w="635" w:type="pct"/>
            <w:noWrap/>
            <w:hideMark/>
          </w:tcPr>
          <w:p w14:paraId="4B8C6D7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0ECC3009"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B1135DF" w14:textId="77777777" w:rsidR="00B64822" w:rsidRPr="00616F4F" w:rsidRDefault="00B64822" w:rsidP="00864863">
            <w:pPr>
              <w:rPr>
                <w:rFonts w:cs="Arial"/>
                <w:b w:val="0"/>
                <w:sz w:val="18"/>
                <w:szCs w:val="18"/>
              </w:rPr>
            </w:pPr>
            <w:r w:rsidRPr="00616F4F">
              <w:rPr>
                <w:rFonts w:cs="Arial"/>
                <w:b w:val="0"/>
                <w:sz w:val="18"/>
                <w:szCs w:val="18"/>
              </w:rPr>
              <w:t>101 Coronary Atherosclerosis And Other H</w:t>
            </w:r>
          </w:p>
        </w:tc>
        <w:tc>
          <w:tcPr>
            <w:tcW w:w="797" w:type="pct"/>
            <w:noWrap/>
            <w:hideMark/>
          </w:tcPr>
          <w:p w14:paraId="4E4C80C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-0.047</w:t>
            </w:r>
          </w:p>
        </w:tc>
        <w:tc>
          <w:tcPr>
            <w:tcW w:w="715" w:type="pct"/>
            <w:noWrap/>
            <w:hideMark/>
          </w:tcPr>
          <w:p w14:paraId="67F456A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0.008</w:t>
            </w:r>
          </w:p>
        </w:tc>
        <w:tc>
          <w:tcPr>
            <w:tcW w:w="715" w:type="pct"/>
            <w:noWrap/>
            <w:hideMark/>
          </w:tcPr>
          <w:p w14:paraId="23AD767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-6.140</w:t>
            </w:r>
          </w:p>
        </w:tc>
        <w:tc>
          <w:tcPr>
            <w:tcW w:w="635" w:type="pct"/>
            <w:noWrap/>
            <w:hideMark/>
          </w:tcPr>
          <w:p w14:paraId="50A6DB1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1A7BCE16"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A5B7F84" w14:textId="77777777" w:rsidR="00B64822" w:rsidRPr="00616F4F" w:rsidRDefault="00B64822" w:rsidP="00864863">
            <w:pPr>
              <w:rPr>
                <w:rFonts w:cs="Arial"/>
                <w:b w:val="0"/>
                <w:sz w:val="18"/>
                <w:szCs w:val="18"/>
              </w:rPr>
            </w:pPr>
            <w:r w:rsidRPr="00616F4F">
              <w:rPr>
                <w:rFonts w:cs="Arial"/>
                <w:b w:val="0"/>
                <w:sz w:val="18"/>
                <w:szCs w:val="18"/>
              </w:rPr>
              <w:t>102 Nonspecific Chest Pain</w:t>
            </w:r>
          </w:p>
        </w:tc>
        <w:tc>
          <w:tcPr>
            <w:tcW w:w="797" w:type="pct"/>
            <w:noWrap/>
            <w:hideMark/>
          </w:tcPr>
          <w:p w14:paraId="3337D84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-0.039</w:t>
            </w:r>
          </w:p>
        </w:tc>
        <w:tc>
          <w:tcPr>
            <w:tcW w:w="715" w:type="pct"/>
            <w:noWrap/>
            <w:hideMark/>
          </w:tcPr>
          <w:p w14:paraId="0070CFC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02E07AD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-6.250</w:t>
            </w:r>
          </w:p>
        </w:tc>
        <w:tc>
          <w:tcPr>
            <w:tcW w:w="635" w:type="pct"/>
            <w:noWrap/>
            <w:hideMark/>
          </w:tcPr>
          <w:p w14:paraId="78D5204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287674B6"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A9DE6B4" w14:textId="77777777" w:rsidR="00B64822" w:rsidRPr="00616F4F" w:rsidRDefault="00B64822" w:rsidP="00864863">
            <w:pPr>
              <w:rPr>
                <w:rFonts w:cs="Arial"/>
                <w:b w:val="0"/>
                <w:sz w:val="18"/>
                <w:szCs w:val="18"/>
              </w:rPr>
            </w:pPr>
            <w:r w:rsidRPr="00616F4F">
              <w:rPr>
                <w:rFonts w:cs="Arial"/>
                <w:b w:val="0"/>
                <w:sz w:val="18"/>
                <w:szCs w:val="18"/>
              </w:rPr>
              <w:t>104 Other And Ill-Defined Heart Disease</w:t>
            </w:r>
          </w:p>
        </w:tc>
        <w:tc>
          <w:tcPr>
            <w:tcW w:w="797" w:type="pct"/>
            <w:noWrap/>
            <w:hideMark/>
          </w:tcPr>
          <w:p w14:paraId="36A8508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-0.079</w:t>
            </w:r>
          </w:p>
        </w:tc>
        <w:tc>
          <w:tcPr>
            <w:tcW w:w="715" w:type="pct"/>
            <w:noWrap/>
            <w:hideMark/>
          </w:tcPr>
          <w:p w14:paraId="7225E2F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3280359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-12.460</w:t>
            </w:r>
          </w:p>
        </w:tc>
        <w:tc>
          <w:tcPr>
            <w:tcW w:w="635" w:type="pct"/>
            <w:noWrap/>
            <w:hideMark/>
          </w:tcPr>
          <w:p w14:paraId="7B945CA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6C543693"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3683D10" w14:textId="77777777" w:rsidR="00B64822" w:rsidRPr="00616F4F" w:rsidRDefault="00B64822" w:rsidP="00864863">
            <w:pPr>
              <w:rPr>
                <w:rFonts w:cs="Arial"/>
                <w:b w:val="0"/>
                <w:sz w:val="18"/>
                <w:szCs w:val="18"/>
              </w:rPr>
            </w:pPr>
            <w:r w:rsidRPr="00616F4F">
              <w:rPr>
                <w:rFonts w:cs="Arial"/>
                <w:b w:val="0"/>
                <w:sz w:val="18"/>
                <w:szCs w:val="18"/>
              </w:rPr>
              <w:t>105 Conduction Disorders</w:t>
            </w:r>
          </w:p>
        </w:tc>
        <w:tc>
          <w:tcPr>
            <w:tcW w:w="797" w:type="pct"/>
            <w:noWrap/>
            <w:hideMark/>
          </w:tcPr>
          <w:p w14:paraId="30FB6B9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-0.022</w:t>
            </w:r>
          </w:p>
        </w:tc>
        <w:tc>
          <w:tcPr>
            <w:tcW w:w="715" w:type="pct"/>
            <w:noWrap/>
            <w:hideMark/>
          </w:tcPr>
          <w:p w14:paraId="385ABB4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0.026</w:t>
            </w:r>
          </w:p>
        </w:tc>
        <w:tc>
          <w:tcPr>
            <w:tcW w:w="715" w:type="pct"/>
            <w:noWrap/>
            <w:hideMark/>
          </w:tcPr>
          <w:p w14:paraId="0BD024B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-0.850</w:t>
            </w:r>
          </w:p>
        </w:tc>
        <w:tc>
          <w:tcPr>
            <w:tcW w:w="635" w:type="pct"/>
            <w:noWrap/>
            <w:hideMark/>
          </w:tcPr>
          <w:p w14:paraId="4B1DF6C5"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0.396</w:t>
            </w:r>
          </w:p>
        </w:tc>
      </w:tr>
      <w:tr w:rsidR="00B64822" w:rsidRPr="00616F4F" w14:paraId="76C51646"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5BEA41A" w14:textId="77777777" w:rsidR="00B64822" w:rsidRPr="00616F4F" w:rsidRDefault="00B64822" w:rsidP="00864863">
            <w:pPr>
              <w:rPr>
                <w:rFonts w:cs="Arial"/>
                <w:b w:val="0"/>
                <w:sz w:val="18"/>
                <w:szCs w:val="18"/>
              </w:rPr>
            </w:pPr>
            <w:r w:rsidRPr="00616F4F">
              <w:rPr>
                <w:rFonts w:cs="Arial"/>
                <w:b w:val="0"/>
                <w:sz w:val="18"/>
                <w:szCs w:val="18"/>
              </w:rPr>
              <w:t>106 Cardiac Dysrhythmias</w:t>
            </w:r>
          </w:p>
        </w:tc>
        <w:tc>
          <w:tcPr>
            <w:tcW w:w="797" w:type="pct"/>
            <w:noWrap/>
            <w:hideMark/>
          </w:tcPr>
          <w:p w14:paraId="2DAA7FA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-0.025</w:t>
            </w:r>
          </w:p>
        </w:tc>
        <w:tc>
          <w:tcPr>
            <w:tcW w:w="715" w:type="pct"/>
            <w:noWrap/>
            <w:hideMark/>
          </w:tcPr>
          <w:p w14:paraId="00EF9CB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0.005</w:t>
            </w:r>
          </w:p>
        </w:tc>
        <w:tc>
          <w:tcPr>
            <w:tcW w:w="715" w:type="pct"/>
            <w:noWrap/>
            <w:hideMark/>
          </w:tcPr>
          <w:p w14:paraId="035B955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-4.620</w:t>
            </w:r>
          </w:p>
        </w:tc>
        <w:tc>
          <w:tcPr>
            <w:tcW w:w="635" w:type="pct"/>
            <w:noWrap/>
            <w:hideMark/>
          </w:tcPr>
          <w:p w14:paraId="6B7CC5F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27532C55"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1F47F3C" w14:textId="77777777" w:rsidR="00B64822" w:rsidRPr="00616F4F" w:rsidRDefault="00B64822" w:rsidP="00864863">
            <w:pPr>
              <w:rPr>
                <w:rFonts w:cs="Arial"/>
                <w:b w:val="0"/>
                <w:sz w:val="18"/>
                <w:szCs w:val="18"/>
              </w:rPr>
            </w:pPr>
            <w:r w:rsidRPr="00616F4F">
              <w:rPr>
                <w:rFonts w:cs="Arial"/>
                <w:b w:val="0"/>
                <w:sz w:val="18"/>
                <w:szCs w:val="18"/>
              </w:rPr>
              <w:t xml:space="preserve">107 Cardiac Arrest And Ventricular </w:t>
            </w:r>
            <w:proofErr w:type="spellStart"/>
            <w:r w:rsidRPr="00616F4F">
              <w:rPr>
                <w:rFonts w:cs="Arial"/>
                <w:b w:val="0"/>
                <w:sz w:val="18"/>
                <w:szCs w:val="18"/>
              </w:rPr>
              <w:t>Fibri</w:t>
            </w:r>
            <w:proofErr w:type="spellEnd"/>
          </w:p>
        </w:tc>
        <w:tc>
          <w:tcPr>
            <w:tcW w:w="797" w:type="pct"/>
            <w:noWrap/>
            <w:hideMark/>
          </w:tcPr>
          <w:p w14:paraId="1BC1C165"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-0.044</w:t>
            </w:r>
          </w:p>
        </w:tc>
        <w:tc>
          <w:tcPr>
            <w:tcW w:w="715" w:type="pct"/>
            <w:noWrap/>
            <w:hideMark/>
          </w:tcPr>
          <w:p w14:paraId="7324F3B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0.026</w:t>
            </w:r>
          </w:p>
        </w:tc>
        <w:tc>
          <w:tcPr>
            <w:tcW w:w="715" w:type="pct"/>
            <w:noWrap/>
            <w:hideMark/>
          </w:tcPr>
          <w:p w14:paraId="6BA5C06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-1.700</w:t>
            </w:r>
          </w:p>
        </w:tc>
        <w:tc>
          <w:tcPr>
            <w:tcW w:w="635" w:type="pct"/>
            <w:noWrap/>
            <w:hideMark/>
          </w:tcPr>
          <w:p w14:paraId="50D2962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0.089</w:t>
            </w:r>
          </w:p>
        </w:tc>
      </w:tr>
      <w:tr w:rsidR="00B64822" w:rsidRPr="00616F4F" w14:paraId="58C661B8"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CD88502" w14:textId="77777777" w:rsidR="00B64822" w:rsidRPr="00616F4F" w:rsidRDefault="00B64822" w:rsidP="00864863">
            <w:pPr>
              <w:rPr>
                <w:rFonts w:cs="Arial"/>
                <w:b w:val="0"/>
                <w:sz w:val="18"/>
                <w:szCs w:val="18"/>
              </w:rPr>
            </w:pPr>
            <w:r w:rsidRPr="00616F4F">
              <w:rPr>
                <w:rFonts w:cs="Arial"/>
                <w:b w:val="0"/>
                <w:sz w:val="18"/>
                <w:szCs w:val="18"/>
              </w:rPr>
              <w:t xml:space="preserve">108 Congestive Heart Failure, </w:t>
            </w:r>
            <w:proofErr w:type="spellStart"/>
            <w:r w:rsidRPr="00616F4F">
              <w:rPr>
                <w:rFonts w:cs="Arial"/>
                <w:b w:val="0"/>
                <w:sz w:val="18"/>
                <w:szCs w:val="18"/>
              </w:rPr>
              <w:t>Nonhyperte</w:t>
            </w:r>
            <w:proofErr w:type="spellEnd"/>
          </w:p>
        </w:tc>
        <w:tc>
          <w:tcPr>
            <w:tcW w:w="797" w:type="pct"/>
            <w:noWrap/>
            <w:hideMark/>
          </w:tcPr>
          <w:p w14:paraId="5973662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-0.103</w:t>
            </w:r>
          </w:p>
        </w:tc>
        <w:tc>
          <w:tcPr>
            <w:tcW w:w="715" w:type="pct"/>
            <w:noWrap/>
            <w:hideMark/>
          </w:tcPr>
          <w:p w14:paraId="3B23E55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0.016</w:t>
            </w:r>
          </w:p>
        </w:tc>
        <w:tc>
          <w:tcPr>
            <w:tcW w:w="715" w:type="pct"/>
            <w:noWrap/>
            <w:hideMark/>
          </w:tcPr>
          <w:p w14:paraId="6B22841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-6.390</w:t>
            </w:r>
          </w:p>
        </w:tc>
        <w:tc>
          <w:tcPr>
            <w:tcW w:w="635" w:type="pct"/>
            <w:noWrap/>
            <w:hideMark/>
          </w:tcPr>
          <w:p w14:paraId="26322A6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162FF9C6"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D9FC4F5" w14:textId="77777777" w:rsidR="00B64822" w:rsidRPr="00616F4F" w:rsidRDefault="00B64822" w:rsidP="00864863">
            <w:pPr>
              <w:rPr>
                <w:rFonts w:cs="Arial"/>
                <w:b w:val="0"/>
                <w:sz w:val="18"/>
                <w:szCs w:val="18"/>
              </w:rPr>
            </w:pPr>
            <w:r w:rsidRPr="00616F4F">
              <w:rPr>
                <w:rFonts w:cs="Arial"/>
                <w:b w:val="0"/>
                <w:sz w:val="18"/>
                <w:szCs w:val="18"/>
              </w:rPr>
              <w:t>109 Acute Cerebrovascular Disease</w:t>
            </w:r>
          </w:p>
        </w:tc>
        <w:tc>
          <w:tcPr>
            <w:tcW w:w="797" w:type="pct"/>
            <w:noWrap/>
            <w:hideMark/>
          </w:tcPr>
          <w:p w14:paraId="0553C12D"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-0.101</w:t>
            </w:r>
          </w:p>
        </w:tc>
        <w:tc>
          <w:tcPr>
            <w:tcW w:w="715" w:type="pct"/>
            <w:noWrap/>
            <w:hideMark/>
          </w:tcPr>
          <w:p w14:paraId="79268A7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0.012</w:t>
            </w:r>
          </w:p>
        </w:tc>
        <w:tc>
          <w:tcPr>
            <w:tcW w:w="715" w:type="pct"/>
            <w:noWrap/>
            <w:hideMark/>
          </w:tcPr>
          <w:p w14:paraId="569B4DD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-8.200</w:t>
            </w:r>
          </w:p>
        </w:tc>
        <w:tc>
          <w:tcPr>
            <w:tcW w:w="635" w:type="pct"/>
            <w:noWrap/>
            <w:hideMark/>
          </w:tcPr>
          <w:p w14:paraId="1F0579E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4A244818"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98DE1E4" w14:textId="77777777" w:rsidR="00B64822" w:rsidRPr="00616F4F" w:rsidRDefault="00B64822" w:rsidP="00864863">
            <w:pPr>
              <w:rPr>
                <w:rFonts w:cs="Arial"/>
                <w:b w:val="0"/>
                <w:sz w:val="18"/>
                <w:szCs w:val="18"/>
              </w:rPr>
            </w:pPr>
            <w:r w:rsidRPr="00616F4F">
              <w:rPr>
                <w:rFonts w:cs="Arial"/>
                <w:b w:val="0"/>
                <w:sz w:val="18"/>
                <w:szCs w:val="18"/>
              </w:rPr>
              <w:t xml:space="preserve">110 Occlusion Or Stenosis Of </w:t>
            </w:r>
            <w:proofErr w:type="spellStart"/>
            <w:r w:rsidRPr="00616F4F">
              <w:rPr>
                <w:rFonts w:cs="Arial"/>
                <w:b w:val="0"/>
                <w:sz w:val="18"/>
                <w:szCs w:val="18"/>
              </w:rPr>
              <w:t>Precerebral</w:t>
            </w:r>
            <w:proofErr w:type="spellEnd"/>
          </w:p>
        </w:tc>
        <w:tc>
          <w:tcPr>
            <w:tcW w:w="797" w:type="pct"/>
            <w:noWrap/>
            <w:hideMark/>
          </w:tcPr>
          <w:p w14:paraId="631FD42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-0.040</w:t>
            </w:r>
          </w:p>
        </w:tc>
        <w:tc>
          <w:tcPr>
            <w:tcW w:w="715" w:type="pct"/>
            <w:noWrap/>
            <w:hideMark/>
          </w:tcPr>
          <w:p w14:paraId="571B8ED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0.021</w:t>
            </w:r>
          </w:p>
        </w:tc>
        <w:tc>
          <w:tcPr>
            <w:tcW w:w="715" w:type="pct"/>
            <w:noWrap/>
            <w:hideMark/>
          </w:tcPr>
          <w:p w14:paraId="5744062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-1.950</w:t>
            </w:r>
          </w:p>
        </w:tc>
        <w:tc>
          <w:tcPr>
            <w:tcW w:w="635" w:type="pct"/>
            <w:noWrap/>
            <w:hideMark/>
          </w:tcPr>
          <w:p w14:paraId="67ABFE0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0.052</w:t>
            </w:r>
          </w:p>
        </w:tc>
      </w:tr>
      <w:tr w:rsidR="00B64822" w:rsidRPr="00616F4F" w14:paraId="0DEFBA93"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CEEAD70" w14:textId="77777777" w:rsidR="00B64822" w:rsidRPr="00616F4F" w:rsidRDefault="00B64822" w:rsidP="00864863">
            <w:pPr>
              <w:rPr>
                <w:rFonts w:cs="Arial"/>
                <w:b w:val="0"/>
                <w:sz w:val="18"/>
                <w:szCs w:val="18"/>
              </w:rPr>
            </w:pPr>
            <w:r w:rsidRPr="00616F4F">
              <w:rPr>
                <w:rFonts w:cs="Arial"/>
                <w:b w:val="0"/>
                <w:sz w:val="18"/>
                <w:szCs w:val="18"/>
              </w:rPr>
              <w:t>112 Transient Cerebral Ischemia</w:t>
            </w:r>
          </w:p>
        </w:tc>
        <w:tc>
          <w:tcPr>
            <w:tcW w:w="797" w:type="pct"/>
            <w:noWrap/>
            <w:hideMark/>
          </w:tcPr>
          <w:p w14:paraId="1B80910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-0.032</w:t>
            </w:r>
          </w:p>
        </w:tc>
        <w:tc>
          <w:tcPr>
            <w:tcW w:w="715" w:type="pct"/>
            <w:noWrap/>
            <w:hideMark/>
          </w:tcPr>
          <w:p w14:paraId="2E48B6C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0.024</w:t>
            </w:r>
          </w:p>
        </w:tc>
        <w:tc>
          <w:tcPr>
            <w:tcW w:w="715" w:type="pct"/>
            <w:noWrap/>
            <w:hideMark/>
          </w:tcPr>
          <w:p w14:paraId="3697AB3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-1.330</w:t>
            </w:r>
          </w:p>
        </w:tc>
        <w:tc>
          <w:tcPr>
            <w:tcW w:w="635" w:type="pct"/>
            <w:noWrap/>
            <w:hideMark/>
          </w:tcPr>
          <w:p w14:paraId="7390DB3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0.184</w:t>
            </w:r>
          </w:p>
        </w:tc>
      </w:tr>
      <w:tr w:rsidR="00B64822" w:rsidRPr="00616F4F" w14:paraId="10E29FCB"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0D555B8" w14:textId="77777777" w:rsidR="00B64822" w:rsidRPr="00616F4F" w:rsidRDefault="00B64822" w:rsidP="00864863">
            <w:pPr>
              <w:rPr>
                <w:rFonts w:cs="Arial"/>
                <w:b w:val="0"/>
                <w:sz w:val="18"/>
                <w:szCs w:val="18"/>
              </w:rPr>
            </w:pPr>
            <w:r w:rsidRPr="00616F4F">
              <w:rPr>
                <w:rFonts w:cs="Arial"/>
                <w:b w:val="0"/>
                <w:sz w:val="18"/>
                <w:szCs w:val="18"/>
              </w:rPr>
              <w:t xml:space="preserve">113 Late Effects Of Cerebrovascular </w:t>
            </w:r>
            <w:proofErr w:type="spellStart"/>
            <w:r w:rsidRPr="00616F4F">
              <w:rPr>
                <w:rFonts w:cs="Arial"/>
                <w:b w:val="0"/>
                <w:sz w:val="18"/>
                <w:szCs w:val="18"/>
              </w:rPr>
              <w:t>Dise</w:t>
            </w:r>
            <w:proofErr w:type="spellEnd"/>
          </w:p>
        </w:tc>
        <w:tc>
          <w:tcPr>
            <w:tcW w:w="797" w:type="pct"/>
            <w:noWrap/>
            <w:hideMark/>
          </w:tcPr>
          <w:p w14:paraId="5346562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-0.067</w:t>
            </w:r>
          </w:p>
        </w:tc>
        <w:tc>
          <w:tcPr>
            <w:tcW w:w="715" w:type="pct"/>
            <w:noWrap/>
            <w:hideMark/>
          </w:tcPr>
          <w:p w14:paraId="4C63D5A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0.025</w:t>
            </w:r>
          </w:p>
        </w:tc>
        <w:tc>
          <w:tcPr>
            <w:tcW w:w="715" w:type="pct"/>
            <w:noWrap/>
            <w:hideMark/>
          </w:tcPr>
          <w:p w14:paraId="2D077BE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-2.630</w:t>
            </w:r>
          </w:p>
        </w:tc>
        <w:tc>
          <w:tcPr>
            <w:tcW w:w="635" w:type="pct"/>
            <w:noWrap/>
            <w:hideMark/>
          </w:tcPr>
          <w:p w14:paraId="1329DEE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0.009</w:t>
            </w:r>
          </w:p>
        </w:tc>
      </w:tr>
      <w:tr w:rsidR="00B64822" w:rsidRPr="00616F4F" w14:paraId="2CC399A4"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118E212" w14:textId="77777777" w:rsidR="00B64822" w:rsidRPr="00616F4F" w:rsidRDefault="00B64822" w:rsidP="00864863">
            <w:pPr>
              <w:rPr>
                <w:rFonts w:cs="Arial"/>
                <w:b w:val="0"/>
                <w:sz w:val="18"/>
                <w:szCs w:val="18"/>
              </w:rPr>
            </w:pPr>
            <w:r w:rsidRPr="00616F4F">
              <w:rPr>
                <w:rFonts w:cs="Arial"/>
                <w:b w:val="0"/>
                <w:sz w:val="18"/>
                <w:szCs w:val="18"/>
              </w:rPr>
              <w:t xml:space="preserve">114 Peripheral And Visceral </w:t>
            </w:r>
            <w:proofErr w:type="spellStart"/>
            <w:r w:rsidRPr="00616F4F">
              <w:rPr>
                <w:rFonts w:cs="Arial"/>
                <w:b w:val="0"/>
                <w:sz w:val="18"/>
                <w:szCs w:val="18"/>
              </w:rPr>
              <w:t>Atherosclero</w:t>
            </w:r>
            <w:proofErr w:type="spellEnd"/>
          </w:p>
        </w:tc>
        <w:tc>
          <w:tcPr>
            <w:tcW w:w="797" w:type="pct"/>
            <w:noWrap/>
            <w:hideMark/>
          </w:tcPr>
          <w:p w14:paraId="12A5B6A4"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-0.034</w:t>
            </w:r>
          </w:p>
        </w:tc>
        <w:tc>
          <w:tcPr>
            <w:tcW w:w="715" w:type="pct"/>
            <w:noWrap/>
            <w:hideMark/>
          </w:tcPr>
          <w:p w14:paraId="7A5C6CD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0.014</w:t>
            </w:r>
          </w:p>
        </w:tc>
        <w:tc>
          <w:tcPr>
            <w:tcW w:w="715" w:type="pct"/>
            <w:noWrap/>
            <w:hideMark/>
          </w:tcPr>
          <w:p w14:paraId="46C88E4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-2.350</w:t>
            </w:r>
          </w:p>
        </w:tc>
        <w:tc>
          <w:tcPr>
            <w:tcW w:w="635" w:type="pct"/>
            <w:noWrap/>
            <w:hideMark/>
          </w:tcPr>
          <w:p w14:paraId="17083FA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0.019</w:t>
            </w:r>
          </w:p>
        </w:tc>
      </w:tr>
      <w:tr w:rsidR="00B64822" w:rsidRPr="00616F4F" w14:paraId="14D46A1C"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6EA056A" w14:textId="77777777" w:rsidR="00B64822" w:rsidRPr="00616F4F" w:rsidRDefault="00B64822" w:rsidP="00864863">
            <w:pPr>
              <w:rPr>
                <w:rFonts w:cs="Arial"/>
                <w:b w:val="0"/>
                <w:sz w:val="18"/>
                <w:szCs w:val="18"/>
              </w:rPr>
            </w:pPr>
            <w:r w:rsidRPr="00616F4F">
              <w:rPr>
                <w:rFonts w:cs="Arial"/>
                <w:b w:val="0"/>
                <w:sz w:val="18"/>
                <w:szCs w:val="18"/>
              </w:rPr>
              <w:t>115 Aortic, Peripheral, And Visceral Art</w:t>
            </w:r>
          </w:p>
        </w:tc>
        <w:tc>
          <w:tcPr>
            <w:tcW w:w="797" w:type="pct"/>
            <w:noWrap/>
            <w:hideMark/>
          </w:tcPr>
          <w:p w14:paraId="3ADE8F5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-0.054</w:t>
            </w:r>
          </w:p>
        </w:tc>
        <w:tc>
          <w:tcPr>
            <w:tcW w:w="715" w:type="pct"/>
            <w:noWrap/>
            <w:hideMark/>
          </w:tcPr>
          <w:p w14:paraId="072EFD8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0.020</w:t>
            </w:r>
          </w:p>
        </w:tc>
        <w:tc>
          <w:tcPr>
            <w:tcW w:w="715" w:type="pct"/>
            <w:noWrap/>
            <w:hideMark/>
          </w:tcPr>
          <w:p w14:paraId="30C067C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-2.710</w:t>
            </w:r>
          </w:p>
        </w:tc>
        <w:tc>
          <w:tcPr>
            <w:tcW w:w="635" w:type="pct"/>
            <w:noWrap/>
            <w:hideMark/>
          </w:tcPr>
          <w:p w14:paraId="605AFBD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0.007</w:t>
            </w:r>
          </w:p>
        </w:tc>
      </w:tr>
      <w:tr w:rsidR="00B64822" w:rsidRPr="00616F4F" w14:paraId="2C306F76"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3F779A2" w14:textId="77777777" w:rsidR="00B64822" w:rsidRPr="00616F4F" w:rsidRDefault="00B64822" w:rsidP="00864863">
            <w:pPr>
              <w:rPr>
                <w:rFonts w:cs="Arial"/>
                <w:b w:val="0"/>
                <w:sz w:val="18"/>
                <w:szCs w:val="18"/>
              </w:rPr>
            </w:pPr>
            <w:r w:rsidRPr="00616F4F">
              <w:rPr>
                <w:rFonts w:cs="Arial"/>
                <w:b w:val="0"/>
                <w:sz w:val="18"/>
                <w:szCs w:val="18"/>
              </w:rPr>
              <w:t xml:space="preserve">116 Aortic And Peripheral Arterial </w:t>
            </w:r>
            <w:proofErr w:type="spellStart"/>
            <w:r w:rsidRPr="00616F4F">
              <w:rPr>
                <w:rFonts w:cs="Arial"/>
                <w:b w:val="0"/>
                <w:sz w:val="18"/>
                <w:szCs w:val="18"/>
              </w:rPr>
              <w:t>Embol</w:t>
            </w:r>
            <w:proofErr w:type="spellEnd"/>
          </w:p>
        </w:tc>
        <w:tc>
          <w:tcPr>
            <w:tcW w:w="797" w:type="pct"/>
            <w:noWrap/>
            <w:hideMark/>
          </w:tcPr>
          <w:p w14:paraId="3801FDF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-0.051</w:t>
            </w:r>
          </w:p>
        </w:tc>
        <w:tc>
          <w:tcPr>
            <w:tcW w:w="715" w:type="pct"/>
            <w:noWrap/>
            <w:hideMark/>
          </w:tcPr>
          <w:p w14:paraId="3F77C1F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0.013</w:t>
            </w:r>
          </w:p>
        </w:tc>
        <w:tc>
          <w:tcPr>
            <w:tcW w:w="715" w:type="pct"/>
            <w:noWrap/>
            <w:hideMark/>
          </w:tcPr>
          <w:p w14:paraId="7059228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-4.030</w:t>
            </w:r>
          </w:p>
        </w:tc>
        <w:tc>
          <w:tcPr>
            <w:tcW w:w="635" w:type="pct"/>
            <w:noWrap/>
            <w:hideMark/>
          </w:tcPr>
          <w:p w14:paraId="268D9FC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6177E017"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930C381" w14:textId="77777777" w:rsidR="00B64822" w:rsidRPr="00616F4F" w:rsidRDefault="00B64822" w:rsidP="00864863">
            <w:pPr>
              <w:rPr>
                <w:rFonts w:cs="Arial"/>
                <w:b w:val="0"/>
                <w:sz w:val="18"/>
                <w:szCs w:val="18"/>
              </w:rPr>
            </w:pPr>
            <w:r w:rsidRPr="00616F4F">
              <w:rPr>
                <w:rFonts w:cs="Arial"/>
                <w:b w:val="0"/>
                <w:sz w:val="18"/>
                <w:szCs w:val="18"/>
              </w:rPr>
              <w:t>117 Other Circulatory Disease</w:t>
            </w:r>
          </w:p>
        </w:tc>
        <w:tc>
          <w:tcPr>
            <w:tcW w:w="797" w:type="pct"/>
            <w:noWrap/>
            <w:hideMark/>
          </w:tcPr>
          <w:p w14:paraId="3EC90A3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-0.053</w:t>
            </w:r>
          </w:p>
        </w:tc>
        <w:tc>
          <w:tcPr>
            <w:tcW w:w="715" w:type="pct"/>
            <w:noWrap/>
            <w:hideMark/>
          </w:tcPr>
          <w:p w14:paraId="4199144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0.008</w:t>
            </w:r>
          </w:p>
        </w:tc>
        <w:tc>
          <w:tcPr>
            <w:tcW w:w="715" w:type="pct"/>
            <w:noWrap/>
            <w:hideMark/>
          </w:tcPr>
          <w:p w14:paraId="28ACBCA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-6.720</w:t>
            </w:r>
          </w:p>
        </w:tc>
        <w:tc>
          <w:tcPr>
            <w:tcW w:w="635" w:type="pct"/>
            <w:noWrap/>
            <w:hideMark/>
          </w:tcPr>
          <w:p w14:paraId="05CDC44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67482FD1"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EDCB88F" w14:textId="77777777" w:rsidR="00B64822" w:rsidRPr="00616F4F" w:rsidRDefault="00B64822" w:rsidP="00864863">
            <w:pPr>
              <w:rPr>
                <w:rFonts w:cs="Arial"/>
                <w:b w:val="0"/>
                <w:sz w:val="18"/>
                <w:szCs w:val="18"/>
              </w:rPr>
            </w:pPr>
            <w:r w:rsidRPr="00616F4F">
              <w:rPr>
                <w:rFonts w:cs="Arial"/>
                <w:b w:val="0"/>
                <w:sz w:val="18"/>
                <w:szCs w:val="18"/>
              </w:rPr>
              <w:t>118 Phlebitis, Thrombophlebitis And Thro</w:t>
            </w:r>
          </w:p>
        </w:tc>
        <w:tc>
          <w:tcPr>
            <w:tcW w:w="797" w:type="pct"/>
            <w:noWrap/>
            <w:hideMark/>
          </w:tcPr>
          <w:p w14:paraId="04A1168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-0.056</w:t>
            </w:r>
          </w:p>
        </w:tc>
        <w:tc>
          <w:tcPr>
            <w:tcW w:w="715" w:type="pct"/>
            <w:noWrap/>
            <w:hideMark/>
          </w:tcPr>
          <w:p w14:paraId="32E8EA1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0.009</w:t>
            </w:r>
          </w:p>
        </w:tc>
        <w:tc>
          <w:tcPr>
            <w:tcW w:w="715" w:type="pct"/>
            <w:noWrap/>
            <w:hideMark/>
          </w:tcPr>
          <w:p w14:paraId="2C695A0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-5.960</w:t>
            </w:r>
          </w:p>
        </w:tc>
        <w:tc>
          <w:tcPr>
            <w:tcW w:w="635" w:type="pct"/>
            <w:noWrap/>
            <w:hideMark/>
          </w:tcPr>
          <w:p w14:paraId="60AFD16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03E8F348"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75F5C83" w14:textId="77777777" w:rsidR="00B64822" w:rsidRPr="00616F4F" w:rsidRDefault="00B64822" w:rsidP="00864863">
            <w:pPr>
              <w:rPr>
                <w:rFonts w:cs="Arial"/>
                <w:b w:val="0"/>
                <w:sz w:val="18"/>
                <w:szCs w:val="18"/>
              </w:rPr>
            </w:pPr>
            <w:r w:rsidRPr="00616F4F">
              <w:rPr>
                <w:rFonts w:cs="Arial"/>
                <w:b w:val="0"/>
                <w:sz w:val="18"/>
                <w:szCs w:val="18"/>
              </w:rPr>
              <w:t>119 Varicose Veins Of Lower Extremity</w:t>
            </w:r>
          </w:p>
        </w:tc>
        <w:tc>
          <w:tcPr>
            <w:tcW w:w="797" w:type="pct"/>
            <w:noWrap/>
            <w:hideMark/>
          </w:tcPr>
          <w:p w14:paraId="006CE38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c>
          <w:tcPr>
            <w:tcW w:w="715" w:type="pct"/>
            <w:noWrap/>
            <w:hideMark/>
          </w:tcPr>
          <w:p w14:paraId="6C61BF5B"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0.012</w:t>
            </w:r>
          </w:p>
        </w:tc>
        <w:tc>
          <w:tcPr>
            <w:tcW w:w="715" w:type="pct"/>
            <w:noWrap/>
            <w:hideMark/>
          </w:tcPr>
          <w:p w14:paraId="7CF6F5E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0.020</w:t>
            </w:r>
          </w:p>
        </w:tc>
        <w:tc>
          <w:tcPr>
            <w:tcW w:w="635" w:type="pct"/>
            <w:noWrap/>
            <w:hideMark/>
          </w:tcPr>
          <w:p w14:paraId="294571D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0.984</w:t>
            </w:r>
          </w:p>
        </w:tc>
      </w:tr>
      <w:tr w:rsidR="00B64822" w:rsidRPr="00616F4F" w14:paraId="7ACCC0FE"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AC9B1D4" w14:textId="77777777" w:rsidR="00B64822" w:rsidRPr="00616F4F" w:rsidRDefault="00B64822" w:rsidP="00864863">
            <w:pPr>
              <w:rPr>
                <w:rFonts w:cs="Arial"/>
                <w:b w:val="0"/>
                <w:sz w:val="18"/>
                <w:szCs w:val="18"/>
              </w:rPr>
            </w:pPr>
            <w:r w:rsidRPr="00616F4F">
              <w:rPr>
                <w:rFonts w:cs="Arial"/>
                <w:b w:val="0"/>
                <w:sz w:val="18"/>
                <w:szCs w:val="18"/>
              </w:rPr>
              <w:t xml:space="preserve">120 </w:t>
            </w:r>
            <w:proofErr w:type="spellStart"/>
            <w:r w:rsidRPr="00616F4F">
              <w:rPr>
                <w:rFonts w:cs="Arial"/>
                <w:b w:val="0"/>
                <w:sz w:val="18"/>
                <w:szCs w:val="18"/>
              </w:rPr>
              <w:t>Hemorrhoids</w:t>
            </w:r>
            <w:proofErr w:type="spellEnd"/>
          </w:p>
        </w:tc>
        <w:tc>
          <w:tcPr>
            <w:tcW w:w="797" w:type="pct"/>
            <w:noWrap/>
            <w:hideMark/>
          </w:tcPr>
          <w:p w14:paraId="46B7CCF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-0.005</w:t>
            </w:r>
          </w:p>
        </w:tc>
        <w:tc>
          <w:tcPr>
            <w:tcW w:w="715" w:type="pct"/>
            <w:noWrap/>
            <w:hideMark/>
          </w:tcPr>
          <w:p w14:paraId="143FB784"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0.009</w:t>
            </w:r>
          </w:p>
        </w:tc>
        <w:tc>
          <w:tcPr>
            <w:tcW w:w="715" w:type="pct"/>
            <w:noWrap/>
            <w:hideMark/>
          </w:tcPr>
          <w:p w14:paraId="6B6FFFDE"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-0.500</w:t>
            </w:r>
          </w:p>
        </w:tc>
        <w:tc>
          <w:tcPr>
            <w:tcW w:w="635" w:type="pct"/>
            <w:noWrap/>
            <w:hideMark/>
          </w:tcPr>
          <w:p w14:paraId="42B7DB5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0.616</w:t>
            </w:r>
          </w:p>
        </w:tc>
      </w:tr>
      <w:tr w:rsidR="00B64822" w:rsidRPr="00616F4F" w14:paraId="3A63D1F8"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C14CF0E" w14:textId="77777777" w:rsidR="00B64822" w:rsidRPr="00616F4F" w:rsidRDefault="00B64822" w:rsidP="00864863">
            <w:pPr>
              <w:rPr>
                <w:rFonts w:cs="Arial"/>
                <w:b w:val="0"/>
                <w:sz w:val="18"/>
                <w:szCs w:val="18"/>
              </w:rPr>
            </w:pPr>
            <w:r w:rsidRPr="00616F4F">
              <w:rPr>
                <w:rFonts w:cs="Arial"/>
                <w:b w:val="0"/>
                <w:sz w:val="18"/>
                <w:szCs w:val="18"/>
              </w:rPr>
              <w:t xml:space="preserve">127 Chronic Obstructive Pulmonary </w:t>
            </w:r>
            <w:proofErr w:type="spellStart"/>
            <w:r w:rsidRPr="00616F4F">
              <w:rPr>
                <w:rFonts w:cs="Arial"/>
                <w:b w:val="0"/>
                <w:sz w:val="18"/>
                <w:szCs w:val="18"/>
              </w:rPr>
              <w:t>Diseas</w:t>
            </w:r>
            <w:proofErr w:type="spellEnd"/>
          </w:p>
        </w:tc>
        <w:tc>
          <w:tcPr>
            <w:tcW w:w="797" w:type="pct"/>
            <w:noWrap/>
            <w:hideMark/>
          </w:tcPr>
          <w:p w14:paraId="65580C7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-0.027</w:t>
            </w:r>
          </w:p>
        </w:tc>
        <w:tc>
          <w:tcPr>
            <w:tcW w:w="715" w:type="pct"/>
            <w:noWrap/>
            <w:hideMark/>
          </w:tcPr>
          <w:p w14:paraId="7DE272B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7358AA2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-4.440</w:t>
            </w:r>
          </w:p>
        </w:tc>
        <w:tc>
          <w:tcPr>
            <w:tcW w:w="635" w:type="pct"/>
            <w:noWrap/>
            <w:hideMark/>
          </w:tcPr>
          <w:p w14:paraId="2B839C5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73F797D3"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27AEA91" w14:textId="77777777" w:rsidR="00B64822" w:rsidRPr="00616F4F" w:rsidRDefault="00B64822" w:rsidP="00864863">
            <w:pPr>
              <w:rPr>
                <w:rFonts w:cs="Arial"/>
                <w:b w:val="0"/>
                <w:sz w:val="18"/>
                <w:szCs w:val="18"/>
              </w:rPr>
            </w:pPr>
            <w:r w:rsidRPr="00616F4F">
              <w:rPr>
                <w:rFonts w:cs="Arial"/>
                <w:b w:val="0"/>
                <w:sz w:val="18"/>
                <w:szCs w:val="18"/>
              </w:rPr>
              <w:t>128 Asthma</w:t>
            </w:r>
          </w:p>
        </w:tc>
        <w:tc>
          <w:tcPr>
            <w:tcW w:w="797" w:type="pct"/>
            <w:noWrap/>
            <w:hideMark/>
          </w:tcPr>
          <w:p w14:paraId="60857D7D"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-0.034</w:t>
            </w:r>
          </w:p>
        </w:tc>
        <w:tc>
          <w:tcPr>
            <w:tcW w:w="715" w:type="pct"/>
            <w:noWrap/>
            <w:hideMark/>
          </w:tcPr>
          <w:p w14:paraId="7C2C02D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3F75070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-5.720</w:t>
            </w:r>
          </w:p>
        </w:tc>
        <w:tc>
          <w:tcPr>
            <w:tcW w:w="635" w:type="pct"/>
            <w:noWrap/>
            <w:hideMark/>
          </w:tcPr>
          <w:p w14:paraId="079BA88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2B2F4EBB"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C885D27" w14:textId="77777777" w:rsidR="00B64822" w:rsidRPr="00616F4F" w:rsidRDefault="00B64822" w:rsidP="00864863">
            <w:pPr>
              <w:rPr>
                <w:rFonts w:cs="Arial"/>
                <w:b w:val="0"/>
                <w:sz w:val="18"/>
                <w:szCs w:val="18"/>
              </w:rPr>
            </w:pPr>
            <w:r w:rsidRPr="00616F4F">
              <w:rPr>
                <w:rFonts w:cs="Arial"/>
                <w:b w:val="0"/>
                <w:sz w:val="18"/>
                <w:szCs w:val="18"/>
              </w:rPr>
              <w:t>132 Lung Disease Due To External Agents</w:t>
            </w:r>
          </w:p>
        </w:tc>
        <w:tc>
          <w:tcPr>
            <w:tcW w:w="797" w:type="pct"/>
            <w:noWrap/>
            <w:hideMark/>
          </w:tcPr>
          <w:p w14:paraId="166AA9C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-0.079</w:t>
            </w:r>
          </w:p>
        </w:tc>
        <w:tc>
          <w:tcPr>
            <w:tcW w:w="715" w:type="pct"/>
            <w:noWrap/>
            <w:hideMark/>
          </w:tcPr>
          <w:p w14:paraId="14FF7CC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0.042</w:t>
            </w:r>
          </w:p>
        </w:tc>
        <w:tc>
          <w:tcPr>
            <w:tcW w:w="715" w:type="pct"/>
            <w:noWrap/>
            <w:hideMark/>
          </w:tcPr>
          <w:p w14:paraId="2862971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-1.880</w:t>
            </w:r>
          </w:p>
        </w:tc>
        <w:tc>
          <w:tcPr>
            <w:tcW w:w="635" w:type="pct"/>
            <w:noWrap/>
            <w:hideMark/>
          </w:tcPr>
          <w:p w14:paraId="694B1B0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0.060</w:t>
            </w:r>
          </w:p>
        </w:tc>
      </w:tr>
      <w:tr w:rsidR="00B64822" w:rsidRPr="00616F4F" w14:paraId="28C92457"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0EC2E47" w14:textId="77777777" w:rsidR="00B64822" w:rsidRPr="00616F4F" w:rsidRDefault="00B64822" w:rsidP="00864863">
            <w:pPr>
              <w:rPr>
                <w:rFonts w:cs="Arial"/>
                <w:b w:val="0"/>
                <w:sz w:val="18"/>
                <w:szCs w:val="18"/>
              </w:rPr>
            </w:pPr>
            <w:r w:rsidRPr="00616F4F">
              <w:rPr>
                <w:rFonts w:cs="Arial"/>
                <w:b w:val="0"/>
                <w:sz w:val="18"/>
                <w:szCs w:val="18"/>
              </w:rPr>
              <w:t xml:space="preserve">138 </w:t>
            </w:r>
            <w:proofErr w:type="spellStart"/>
            <w:r w:rsidRPr="00616F4F">
              <w:rPr>
                <w:rFonts w:cs="Arial"/>
                <w:b w:val="0"/>
                <w:sz w:val="18"/>
                <w:szCs w:val="18"/>
              </w:rPr>
              <w:t>Esophageal</w:t>
            </w:r>
            <w:proofErr w:type="spellEnd"/>
            <w:r w:rsidRPr="00616F4F">
              <w:rPr>
                <w:rFonts w:cs="Arial"/>
                <w:b w:val="0"/>
                <w:sz w:val="18"/>
                <w:szCs w:val="18"/>
              </w:rPr>
              <w:t xml:space="preserve"> Disorders</w:t>
            </w:r>
          </w:p>
        </w:tc>
        <w:tc>
          <w:tcPr>
            <w:tcW w:w="797" w:type="pct"/>
            <w:noWrap/>
            <w:hideMark/>
          </w:tcPr>
          <w:p w14:paraId="0FB84B8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-0.033</w:t>
            </w:r>
          </w:p>
        </w:tc>
        <w:tc>
          <w:tcPr>
            <w:tcW w:w="715" w:type="pct"/>
            <w:noWrap/>
            <w:hideMark/>
          </w:tcPr>
          <w:p w14:paraId="2C369645"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0.005</w:t>
            </w:r>
          </w:p>
        </w:tc>
        <w:tc>
          <w:tcPr>
            <w:tcW w:w="715" w:type="pct"/>
            <w:noWrap/>
            <w:hideMark/>
          </w:tcPr>
          <w:p w14:paraId="452FA43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-7.100</w:t>
            </w:r>
          </w:p>
        </w:tc>
        <w:tc>
          <w:tcPr>
            <w:tcW w:w="635" w:type="pct"/>
            <w:noWrap/>
            <w:hideMark/>
          </w:tcPr>
          <w:p w14:paraId="4FBABE7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15023B7D"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783E22A" w14:textId="77777777" w:rsidR="00B64822" w:rsidRPr="00616F4F" w:rsidRDefault="00B64822" w:rsidP="00864863">
            <w:pPr>
              <w:rPr>
                <w:rFonts w:cs="Arial"/>
                <w:b w:val="0"/>
                <w:sz w:val="18"/>
                <w:szCs w:val="18"/>
              </w:rPr>
            </w:pPr>
            <w:r w:rsidRPr="00616F4F">
              <w:rPr>
                <w:rFonts w:cs="Arial"/>
                <w:b w:val="0"/>
                <w:sz w:val="18"/>
                <w:szCs w:val="18"/>
              </w:rPr>
              <w:t xml:space="preserve">139 Gastroduodenal Ulcer (Except </w:t>
            </w:r>
            <w:proofErr w:type="spellStart"/>
            <w:r w:rsidRPr="00616F4F">
              <w:rPr>
                <w:rFonts w:cs="Arial"/>
                <w:b w:val="0"/>
                <w:sz w:val="18"/>
                <w:szCs w:val="18"/>
              </w:rPr>
              <w:t>Hemorrh</w:t>
            </w:r>
            <w:proofErr w:type="spellEnd"/>
          </w:p>
        </w:tc>
        <w:tc>
          <w:tcPr>
            <w:tcW w:w="797" w:type="pct"/>
            <w:noWrap/>
            <w:hideMark/>
          </w:tcPr>
          <w:p w14:paraId="298846D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-0.055</w:t>
            </w:r>
          </w:p>
        </w:tc>
        <w:tc>
          <w:tcPr>
            <w:tcW w:w="715" w:type="pct"/>
            <w:noWrap/>
            <w:hideMark/>
          </w:tcPr>
          <w:p w14:paraId="6C11866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0.014</w:t>
            </w:r>
          </w:p>
        </w:tc>
        <w:tc>
          <w:tcPr>
            <w:tcW w:w="715" w:type="pct"/>
            <w:noWrap/>
            <w:hideMark/>
          </w:tcPr>
          <w:p w14:paraId="775F273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-3.930</w:t>
            </w:r>
          </w:p>
        </w:tc>
        <w:tc>
          <w:tcPr>
            <w:tcW w:w="635" w:type="pct"/>
            <w:noWrap/>
            <w:hideMark/>
          </w:tcPr>
          <w:p w14:paraId="187143F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1C187393"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1B0F4BE" w14:textId="77777777" w:rsidR="00B64822" w:rsidRPr="00616F4F" w:rsidRDefault="00B64822" w:rsidP="00864863">
            <w:pPr>
              <w:rPr>
                <w:rFonts w:cs="Arial"/>
                <w:b w:val="0"/>
                <w:sz w:val="18"/>
                <w:szCs w:val="18"/>
              </w:rPr>
            </w:pPr>
            <w:r w:rsidRPr="00616F4F">
              <w:rPr>
                <w:rFonts w:cs="Arial"/>
                <w:b w:val="0"/>
                <w:sz w:val="18"/>
                <w:szCs w:val="18"/>
              </w:rPr>
              <w:t xml:space="preserve">140 Gastritis And </w:t>
            </w:r>
            <w:proofErr w:type="spellStart"/>
            <w:r w:rsidRPr="00616F4F">
              <w:rPr>
                <w:rFonts w:cs="Arial"/>
                <w:b w:val="0"/>
                <w:sz w:val="18"/>
                <w:szCs w:val="18"/>
              </w:rPr>
              <w:t>Duodenitis</w:t>
            </w:r>
            <w:proofErr w:type="spellEnd"/>
          </w:p>
        </w:tc>
        <w:tc>
          <w:tcPr>
            <w:tcW w:w="797" w:type="pct"/>
            <w:noWrap/>
            <w:hideMark/>
          </w:tcPr>
          <w:p w14:paraId="4CA9D7B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-0.037</w:t>
            </w:r>
          </w:p>
        </w:tc>
        <w:tc>
          <w:tcPr>
            <w:tcW w:w="715" w:type="pct"/>
            <w:noWrap/>
            <w:hideMark/>
          </w:tcPr>
          <w:p w14:paraId="2AC483C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0.016</w:t>
            </w:r>
          </w:p>
        </w:tc>
        <w:tc>
          <w:tcPr>
            <w:tcW w:w="715" w:type="pct"/>
            <w:noWrap/>
            <w:hideMark/>
          </w:tcPr>
          <w:p w14:paraId="4FFF76E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-2.350</w:t>
            </w:r>
          </w:p>
        </w:tc>
        <w:tc>
          <w:tcPr>
            <w:tcW w:w="635" w:type="pct"/>
            <w:noWrap/>
            <w:hideMark/>
          </w:tcPr>
          <w:p w14:paraId="1680619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0.019</w:t>
            </w:r>
          </w:p>
        </w:tc>
      </w:tr>
      <w:tr w:rsidR="00B64822" w:rsidRPr="00616F4F" w14:paraId="2F153636"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116A085" w14:textId="77777777" w:rsidR="00B64822" w:rsidRPr="00616F4F" w:rsidRDefault="00B64822" w:rsidP="00864863">
            <w:pPr>
              <w:rPr>
                <w:rFonts w:cs="Arial"/>
                <w:b w:val="0"/>
                <w:sz w:val="18"/>
                <w:szCs w:val="18"/>
              </w:rPr>
            </w:pPr>
            <w:r w:rsidRPr="00616F4F">
              <w:rPr>
                <w:rFonts w:cs="Arial"/>
                <w:b w:val="0"/>
                <w:sz w:val="18"/>
                <w:szCs w:val="18"/>
              </w:rPr>
              <w:t xml:space="preserve">141 Other Disorders Of Stomach And </w:t>
            </w:r>
            <w:proofErr w:type="spellStart"/>
            <w:r w:rsidRPr="00616F4F">
              <w:rPr>
                <w:rFonts w:cs="Arial"/>
                <w:b w:val="0"/>
                <w:sz w:val="18"/>
                <w:szCs w:val="18"/>
              </w:rPr>
              <w:t>Duode</w:t>
            </w:r>
            <w:proofErr w:type="spellEnd"/>
          </w:p>
        </w:tc>
        <w:tc>
          <w:tcPr>
            <w:tcW w:w="797" w:type="pct"/>
            <w:noWrap/>
            <w:hideMark/>
          </w:tcPr>
          <w:p w14:paraId="0C19118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-0.040</w:t>
            </w:r>
          </w:p>
        </w:tc>
        <w:tc>
          <w:tcPr>
            <w:tcW w:w="715" w:type="pct"/>
            <w:noWrap/>
            <w:hideMark/>
          </w:tcPr>
          <w:p w14:paraId="38C1D0E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7E778FCB"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-6.600</w:t>
            </w:r>
          </w:p>
        </w:tc>
        <w:tc>
          <w:tcPr>
            <w:tcW w:w="635" w:type="pct"/>
            <w:noWrap/>
            <w:hideMark/>
          </w:tcPr>
          <w:p w14:paraId="4BD45E3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40B413D0"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BCD7EAC" w14:textId="77777777" w:rsidR="00B64822" w:rsidRPr="00616F4F" w:rsidRDefault="00B64822" w:rsidP="00864863">
            <w:pPr>
              <w:rPr>
                <w:rFonts w:cs="Arial"/>
                <w:b w:val="0"/>
                <w:sz w:val="18"/>
                <w:szCs w:val="18"/>
              </w:rPr>
            </w:pPr>
            <w:r w:rsidRPr="00616F4F">
              <w:rPr>
                <w:rFonts w:cs="Arial"/>
                <w:b w:val="0"/>
                <w:sz w:val="18"/>
                <w:szCs w:val="18"/>
              </w:rPr>
              <w:t>143 Abdominal Hernia</w:t>
            </w:r>
          </w:p>
        </w:tc>
        <w:tc>
          <w:tcPr>
            <w:tcW w:w="797" w:type="pct"/>
            <w:noWrap/>
            <w:hideMark/>
          </w:tcPr>
          <w:p w14:paraId="75816A24"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-0.049</w:t>
            </w:r>
          </w:p>
        </w:tc>
        <w:tc>
          <w:tcPr>
            <w:tcW w:w="715" w:type="pct"/>
            <w:noWrap/>
            <w:hideMark/>
          </w:tcPr>
          <w:p w14:paraId="00D1E93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0.007</w:t>
            </w:r>
          </w:p>
        </w:tc>
        <w:tc>
          <w:tcPr>
            <w:tcW w:w="715" w:type="pct"/>
            <w:noWrap/>
            <w:hideMark/>
          </w:tcPr>
          <w:p w14:paraId="0FED438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-7.040</w:t>
            </w:r>
          </w:p>
        </w:tc>
        <w:tc>
          <w:tcPr>
            <w:tcW w:w="635" w:type="pct"/>
            <w:noWrap/>
            <w:hideMark/>
          </w:tcPr>
          <w:p w14:paraId="1C44ED7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76D8BDFE"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768FC5C" w14:textId="77777777" w:rsidR="00B64822" w:rsidRPr="00616F4F" w:rsidRDefault="00B64822" w:rsidP="00864863">
            <w:pPr>
              <w:rPr>
                <w:rFonts w:cs="Arial"/>
                <w:b w:val="0"/>
                <w:sz w:val="18"/>
                <w:szCs w:val="18"/>
              </w:rPr>
            </w:pPr>
            <w:r w:rsidRPr="00616F4F">
              <w:rPr>
                <w:rFonts w:cs="Arial"/>
                <w:b w:val="0"/>
                <w:sz w:val="18"/>
                <w:szCs w:val="18"/>
              </w:rPr>
              <w:t>144 Regional Enteritis And Ulcerative Co</w:t>
            </w:r>
          </w:p>
        </w:tc>
        <w:tc>
          <w:tcPr>
            <w:tcW w:w="797" w:type="pct"/>
            <w:noWrap/>
            <w:hideMark/>
          </w:tcPr>
          <w:p w14:paraId="71A6418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-0.086</w:t>
            </w:r>
          </w:p>
        </w:tc>
        <w:tc>
          <w:tcPr>
            <w:tcW w:w="715" w:type="pct"/>
            <w:noWrap/>
            <w:hideMark/>
          </w:tcPr>
          <w:p w14:paraId="122D4F7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0.026</w:t>
            </w:r>
          </w:p>
        </w:tc>
        <w:tc>
          <w:tcPr>
            <w:tcW w:w="715" w:type="pct"/>
            <w:noWrap/>
            <w:hideMark/>
          </w:tcPr>
          <w:p w14:paraId="6F4E0CF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-3.360</w:t>
            </w:r>
          </w:p>
        </w:tc>
        <w:tc>
          <w:tcPr>
            <w:tcW w:w="635" w:type="pct"/>
            <w:noWrap/>
            <w:hideMark/>
          </w:tcPr>
          <w:p w14:paraId="2053B12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0.001</w:t>
            </w:r>
          </w:p>
        </w:tc>
      </w:tr>
      <w:tr w:rsidR="00B64822" w:rsidRPr="00616F4F" w14:paraId="5E9221A0"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3FDB25B" w14:textId="77777777" w:rsidR="00B64822" w:rsidRPr="00616F4F" w:rsidRDefault="00B64822" w:rsidP="00864863">
            <w:pPr>
              <w:rPr>
                <w:rFonts w:cs="Arial"/>
                <w:b w:val="0"/>
                <w:sz w:val="18"/>
                <w:szCs w:val="18"/>
              </w:rPr>
            </w:pPr>
            <w:r w:rsidRPr="00616F4F">
              <w:rPr>
                <w:rFonts w:cs="Arial"/>
                <w:b w:val="0"/>
                <w:sz w:val="18"/>
                <w:szCs w:val="18"/>
              </w:rPr>
              <w:t>146 Diverticulosis And Diverticulitis</w:t>
            </w:r>
          </w:p>
        </w:tc>
        <w:tc>
          <w:tcPr>
            <w:tcW w:w="797" w:type="pct"/>
            <w:noWrap/>
            <w:hideMark/>
          </w:tcPr>
          <w:p w14:paraId="66B03B4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-0.046</w:t>
            </w:r>
          </w:p>
        </w:tc>
        <w:tc>
          <w:tcPr>
            <w:tcW w:w="715" w:type="pct"/>
            <w:noWrap/>
            <w:hideMark/>
          </w:tcPr>
          <w:p w14:paraId="11DEF42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0.009</w:t>
            </w:r>
          </w:p>
        </w:tc>
        <w:tc>
          <w:tcPr>
            <w:tcW w:w="715" w:type="pct"/>
            <w:noWrap/>
            <w:hideMark/>
          </w:tcPr>
          <w:p w14:paraId="3148479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-5.140</w:t>
            </w:r>
          </w:p>
        </w:tc>
        <w:tc>
          <w:tcPr>
            <w:tcW w:w="635" w:type="pct"/>
            <w:noWrap/>
            <w:hideMark/>
          </w:tcPr>
          <w:p w14:paraId="3CEF4F2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20F8EBF2"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720D383" w14:textId="77777777" w:rsidR="00B64822" w:rsidRPr="00616F4F" w:rsidRDefault="00B64822" w:rsidP="00864863">
            <w:pPr>
              <w:rPr>
                <w:rFonts w:cs="Arial"/>
                <w:b w:val="0"/>
                <w:sz w:val="18"/>
                <w:szCs w:val="18"/>
              </w:rPr>
            </w:pPr>
            <w:r w:rsidRPr="00616F4F">
              <w:rPr>
                <w:rFonts w:cs="Arial"/>
                <w:b w:val="0"/>
                <w:sz w:val="18"/>
                <w:szCs w:val="18"/>
              </w:rPr>
              <w:t>147 Anal And Rectal Conditions</w:t>
            </w:r>
          </w:p>
        </w:tc>
        <w:tc>
          <w:tcPr>
            <w:tcW w:w="797" w:type="pct"/>
            <w:noWrap/>
            <w:hideMark/>
          </w:tcPr>
          <w:p w14:paraId="315F210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-0.002</w:t>
            </w:r>
          </w:p>
        </w:tc>
        <w:tc>
          <w:tcPr>
            <w:tcW w:w="715" w:type="pct"/>
            <w:noWrap/>
            <w:hideMark/>
          </w:tcPr>
          <w:p w14:paraId="29820A1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0.016</w:t>
            </w:r>
          </w:p>
        </w:tc>
        <w:tc>
          <w:tcPr>
            <w:tcW w:w="715" w:type="pct"/>
            <w:noWrap/>
            <w:hideMark/>
          </w:tcPr>
          <w:p w14:paraId="7CC9EF5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-0.110</w:t>
            </w:r>
          </w:p>
        </w:tc>
        <w:tc>
          <w:tcPr>
            <w:tcW w:w="635" w:type="pct"/>
            <w:noWrap/>
            <w:hideMark/>
          </w:tcPr>
          <w:p w14:paraId="69EEE3E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0.911</w:t>
            </w:r>
          </w:p>
        </w:tc>
      </w:tr>
      <w:tr w:rsidR="00B64822" w:rsidRPr="00616F4F" w14:paraId="34ADCB4F"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8806D19" w14:textId="77777777" w:rsidR="00B64822" w:rsidRPr="00616F4F" w:rsidRDefault="00B64822" w:rsidP="00864863">
            <w:pPr>
              <w:rPr>
                <w:rFonts w:cs="Arial"/>
                <w:b w:val="0"/>
                <w:sz w:val="18"/>
                <w:szCs w:val="18"/>
              </w:rPr>
            </w:pPr>
            <w:r w:rsidRPr="00616F4F">
              <w:rPr>
                <w:rFonts w:cs="Arial"/>
                <w:b w:val="0"/>
                <w:sz w:val="18"/>
                <w:szCs w:val="18"/>
              </w:rPr>
              <w:t>151 Other Liver Diseases</w:t>
            </w:r>
          </w:p>
        </w:tc>
        <w:tc>
          <w:tcPr>
            <w:tcW w:w="797" w:type="pct"/>
            <w:noWrap/>
            <w:hideMark/>
          </w:tcPr>
          <w:p w14:paraId="41E604D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-0.038</w:t>
            </w:r>
          </w:p>
        </w:tc>
        <w:tc>
          <w:tcPr>
            <w:tcW w:w="715" w:type="pct"/>
            <w:noWrap/>
            <w:hideMark/>
          </w:tcPr>
          <w:p w14:paraId="30538A4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0.016</w:t>
            </w:r>
          </w:p>
        </w:tc>
        <w:tc>
          <w:tcPr>
            <w:tcW w:w="715" w:type="pct"/>
            <w:noWrap/>
            <w:hideMark/>
          </w:tcPr>
          <w:p w14:paraId="0FEBF8F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-2.380</w:t>
            </w:r>
          </w:p>
        </w:tc>
        <w:tc>
          <w:tcPr>
            <w:tcW w:w="635" w:type="pct"/>
            <w:noWrap/>
            <w:hideMark/>
          </w:tcPr>
          <w:p w14:paraId="6ABBFB24"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0.017</w:t>
            </w:r>
          </w:p>
        </w:tc>
      </w:tr>
      <w:tr w:rsidR="00B64822" w:rsidRPr="00616F4F" w14:paraId="6A59AE09"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A5D7610" w14:textId="77777777" w:rsidR="00B64822" w:rsidRPr="00616F4F" w:rsidRDefault="00B64822" w:rsidP="00864863">
            <w:pPr>
              <w:rPr>
                <w:rFonts w:cs="Arial"/>
                <w:b w:val="0"/>
                <w:sz w:val="18"/>
                <w:szCs w:val="18"/>
              </w:rPr>
            </w:pPr>
            <w:r w:rsidRPr="00616F4F">
              <w:rPr>
                <w:rFonts w:cs="Arial"/>
                <w:b w:val="0"/>
                <w:sz w:val="18"/>
                <w:szCs w:val="18"/>
              </w:rPr>
              <w:t>152 Pancreatic Disorders (Not Diabetes)</w:t>
            </w:r>
          </w:p>
        </w:tc>
        <w:tc>
          <w:tcPr>
            <w:tcW w:w="797" w:type="pct"/>
            <w:noWrap/>
            <w:hideMark/>
          </w:tcPr>
          <w:p w14:paraId="3E86E78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-0.134</w:t>
            </w:r>
          </w:p>
        </w:tc>
        <w:tc>
          <w:tcPr>
            <w:tcW w:w="715" w:type="pct"/>
            <w:noWrap/>
            <w:hideMark/>
          </w:tcPr>
          <w:p w14:paraId="586DFEB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0.048</w:t>
            </w:r>
          </w:p>
        </w:tc>
        <w:tc>
          <w:tcPr>
            <w:tcW w:w="715" w:type="pct"/>
            <w:noWrap/>
            <w:hideMark/>
          </w:tcPr>
          <w:p w14:paraId="0ED17AF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-2.770</w:t>
            </w:r>
          </w:p>
        </w:tc>
        <w:tc>
          <w:tcPr>
            <w:tcW w:w="635" w:type="pct"/>
            <w:noWrap/>
            <w:hideMark/>
          </w:tcPr>
          <w:p w14:paraId="15661578"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0.006</w:t>
            </w:r>
          </w:p>
        </w:tc>
      </w:tr>
      <w:tr w:rsidR="00B64822" w:rsidRPr="00616F4F" w14:paraId="7AACA4F1"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D7672A1" w14:textId="77777777" w:rsidR="00B64822" w:rsidRPr="00616F4F" w:rsidRDefault="00B64822" w:rsidP="00864863">
            <w:pPr>
              <w:rPr>
                <w:rFonts w:cs="Arial"/>
                <w:b w:val="0"/>
                <w:sz w:val="18"/>
                <w:szCs w:val="18"/>
              </w:rPr>
            </w:pPr>
            <w:r w:rsidRPr="00616F4F">
              <w:rPr>
                <w:rFonts w:cs="Arial"/>
                <w:b w:val="0"/>
                <w:sz w:val="18"/>
                <w:szCs w:val="18"/>
              </w:rPr>
              <w:t xml:space="preserve">154 </w:t>
            </w:r>
            <w:proofErr w:type="spellStart"/>
            <w:r w:rsidRPr="00616F4F">
              <w:rPr>
                <w:rFonts w:cs="Arial"/>
                <w:b w:val="0"/>
                <w:sz w:val="18"/>
                <w:szCs w:val="18"/>
              </w:rPr>
              <w:t>Noninfectious</w:t>
            </w:r>
            <w:proofErr w:type="spellEnd"/>
            <w:r w:rsidRPr="00616F4F">
              <w:rPr>
                <w:rFonts w:cs="Arial"/>
                <w:b w:val="0"/>
                <w:sz w:val="18"/>
                <w:szCs w:val="18"/>
              </w:rPr>
              <w:t xml:space="preserve"> Gastroenteritis</w:t>
            </w:r>
          </w:p>
        </w:tc>
        <w:tc>
          <w:tcPr>
            <w:tcW w:w="797" w:type="pct"/>
            <w:noWrap/>
            <w:hideMark/>
          </w:tcPr>
          <w:p w14:paraId="1418386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-0.073</w:t>
            </w:r>
          </w:p>
        </w:tc>
        <w:tc>
          <w:tcPr>
            <w:tcW w:w="715" w:type="pct"/>
            <w:noWrap/>
            <w:hideMark/>
          </w:tcPr>
          <w:p w14:paraId="003947F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0.017</w:t>
            </w:r>
          </w:p>
        </w:tc>
        <w:tc>
          <w:tcPr>
            <w:tcW w:w="715" w:type="pct"/>
            <w:noWrap/>
            <w:hideMark/>
          </w:tcPr>
          <w:p w14:paraId="308AF2E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-4.340</w:t>
            </w:r>
          </w:p>
        </w:tc>
        <w:tc>
          <w:tcPr>
            <w:tcW w:w="635" w:type="pct"/>
            <w:noWrap/>
            <w:hideMark/>
          </w:tcPr>
          <w:p w14:paraId="5D953A6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78B0C883"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C40A64A" w14:textId="77777777" w:rsidR="00B64822" w:rsidRPr="00616F4F" w:rsidRDefault="00B64822" w:rsidP="00864863">
            <w:pPr>
              <w:rPr>
                <w:rFonts w:cs="Arial"/>
                <w:b w:val="0"/>
                <w:sz w:val="18"/>
                <w:szCs w:val="18"/>
              </w:rPr>
            </w:pPr>
            <w:r w:rsidRPr="00616F4F">
              <w:rPr>
                <w:rFonts w:cs="Arial"/>
                <w:b w:val="0"/>
                <w:sz w:val="18"/>
                <w:szCs w:val="18"/>
              </w:rPr>
              <w:t>155 Other Gastrointestinal Disorders</w:t>
            </w:r>
          </w:p>
        </w:tc>
        <w:tc>
          <w:tcPr>
            <w:tcW w:w="797" w:type="pct"/>
            <w:noWrap/>
            <w:hideMark/>
          </w:tcPr>
          <w:p w14:paraId="67383EB8"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-0.051</w:t>
            </w:r>
          </w:p>
        </w:tc>
        <w:tc>
          <w:tcPr>
            <w:tcW w:w="715" w:type="pct"/>
            <w:noWrap/>
            <w:hideMark/>
          </w:tcPr>
          <w:p w14:paraId="73CB10E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0.005</w:t>
            </w:r>
          </w:p>
        </w:tc>
        <w:tc>
          <w:tcPr>
            <w:tcW w:w="715" w:type="pct"/>
            <w:noWrap/>
            <w:hideMark/>
          </w:tcPr>
          <w:p w14:paraId="5053612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-9.640</w:t>
            </w:r>
          </w:p>
        </w:tc>
        <w:tc>
          <w:tcPr>
            <w:tcW w:w="635" w:type="pct"/>
            <w:noWrap/>
            <w:hideMark/>
          </w:tcPr>
          <w:p w14:paraId="29C1FD4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07D3F6D4"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10940F4" w14:textId="77777777" w:rsidR="00B64822" w:rsidRPr="00616F4F" w:rsidRDefault="00B64822" w:rsidP="00864863">
            <w:pPr>
              <w:rPr>
                <w:rFonts w:cs="Arial"/>
                <w:b w:val="0"/>
                <w:sz w:val="18"/>
                <w:szCs w:val="18"/>
              </w:rPr>
            </w:pPr>
            <w:r w:rsidRPr="00616F4F">
              <w:rPr>
                <w:rFonts w:cs="Arial"/>
                <w:b w:val="0"/>
                <w:sz w:val="18"/>
                <w:szCs w:val="18"/>
              </w:rPr>
              <w:t>161 Other Diseases Of Kidney And Ureters</w:t>
            </w:r>
          </w:p>
        </w:tc>
        <w:tc>
          <w:tcPr>
            <w:tcW w:w="797" w:type="pct"/>
            <w:noWrap/>
            <w:hideMark/>
          </w:tcPr>
          <w:p w14:paraId="4B0D91C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-0.096</w:t>
            </w:r>
          </w:p>
        </w:tc>
        <w:tc>
          <w:tcPr>
            <w:tcW w:w="715" w:type="pct"/>
            <w:noWrap/>
            <w:hideMark/>
          </w:tcPr>
          <w:p w14:paraId="629D6D0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0.012</w:t>
            </w:r>
          </w:p>
        </w:tc>
        <w:tc>
          <w:tcPr>
            <w:tcW w:w="715" w:type="pct"/>
            <w:noWrap/>
            <w:hideMark/>
          </w:tcPr>
          <w:p w14:paraId="4C6CB68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-8.360</w:t>
            </w:r>
          </w:p>
        </w:tc>
        <w:tc>
          <w:tcPr>
            <w:tcW w:w="635" w:type="pct"/>
            <w:noWrap/>
            <w:hideMark/>
          </w:tcPr>
          <w:p w14:paraId="01A3451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610100FA"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9B0E1F4" w14:textId="77777777" w:rsidR="00B64822" w:rsidRPr="00616F4F" w:rsidRDefault="00B64822" w:rsidP="00864863">
            <w:pPr>
              <w:rPr>
                <w:rFonts w:cs="Arial"/>
                <w:b w:val="0"/>
                <w:sz w:val="18"/>
                <w:szCs w:val="18"/>
              </w:rPr>
            </w:pPr>
            <w:r w:rsidRPr="00616F4F">
              <w:rPr>
                <w:rFonts w:cs="Arial"/>
                <w:b w:val="0"/>
                <w:sz w:val="18"/>
                <w:szCs w:val="18"/>
              </w:rPr>
              <w:t xml:space="preserve">162 Other Diseases Of Bladder And </w:t>
            </w:r>
            <w:proofErr w:type="spellStart"/>
            <w:r w:rsidRPr="00616F4F">
              <w:rPr>
                <w:rFonts w:cs="Arial"/>
                <w:b w:val="0"/>
                <w:sz w:val="18"/>
                <w:szCs w:val="18"/>
              </w:rPr>
              <w:t>Urethr</w:t>
            </w:r>
            <w:proofErr w:type="spellEnd"/>
          </w:p>
        </w:tc>
        <w:tc>
          <w:tcPr>
            <w:tcW w:w="797" w:type="pct"/>
            <w:noWrap/>
            <w:hideMark/>
          </w:tcPr>
          <w:p w14:paraId="41D93DA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-0.070</w:t>
            </w:r>
          </w:p>
        </w:tc>
        <w:tc>
          <w:tcPr>
            <w:tcW w:w="715" w:type="pct"/>
            <w:noWrap/>
            <w:hideMark/>
          </w:tcPr>
          <w:p w14:paraId="461F451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0.014</w:t>
            </w:r>
          </w:p>
        </w:tc>
        <w:tc>
          <w:tcPr>
            <w:tcW w:w="715" w:type="pct"/>
            <w:noWrap/>
            <w:hideMark/>
          </w:tcPr>
          <w:p w14:paraId="38A9CB1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-5.210</w:t>
            </w:r>
          </w:p>
        </w:tc>
        <w:tc>
          <w:tcPr>
            <w:tcW w:w="635" w:type="pct"/>
            <w:noWrap/>
            <w:hideMark/>
          </w:tcPr>
          <w:p w14:paraId="64E0D50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75248280"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E8F50BB" w14:textId="77777777" w:rsidR="00B64822" w:rsidRPr="00616F4F" w:rsidRDefault="00B64822" w:rsidP="00864863">
            <w:pPr>
              <w:rPr>
                <w:rFonts w:cs="Arial"/>
                <w:b w:val="0"/>
                <w:sz w:val="18"/>
                <w:szCs w:val="18"/>
              </w:rPr>
            </w:pPr>
            <w:r w:rsidRPr="00616F4F">
              <w:rPr>
                <w:rFonts w:cs="Arial"/>
                <w:b w:val="0"/>
                <w:sz w:val="18"/>
                <w:szCs w:val="18"/>
              </w:rPr>
              <w:t>163 Genitourinary Symptoms And Ill-</w:t>
            </w:r>
            <w:proofErr w:type="spellStart"/>
            <w:r w:rsidRPr="00616F4F">
              <w:rPr>
                <w:rFonts w:cs="Arial"/>
                <w:b w:val="0"/>
                <w:sz w:val="18"/>
                <w:szCs w:val="18"/>
              </w:rPr>
              <w:t>Defin</w:t>
            </w:r>
            <w:proofErr w:type="spellEnd"/>
          </w:p>
        </w:tc>
        <w:tc>
          <w:tcPr>
            <w:tcW w:w="797" w:type="pct"/>
            <w:noWrap/>
            <w:hideMark/>
          </w:tcPr>
          <w:p w14:paraId="5B1914F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-0.025</w:t>
            </w:r>
          </w:p>
        </w:tc>
        <w:tc>
          <w:tcPr>
            <w:tcW w:w="715" w:type="pct"/>
            <w:noWrap/>
            <w:hideMark/>
          </w:tcPr>
          <w:p w14:paraId="6C45108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0.008</w:t>
            </w:r>
          </w:p>
        </w:tc>
        <w:tc>
          <w:tcPr>
            <w:tcW w:w="715" w:type="pct"/>
            <w:noWrap/>
            <w:hideMark/>
          </w:tcPr>
          <w:p w14:paraId="309806F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-3.060</w:t>
            </w:r>
          </w:p>
        </w:tc>
        <w:tc>
          <w:tcPr>
            <w:tcW w:w="635" w:type="pct"/>
            <w:noWrap/>
            <w:hideMark/>
          </w:tcPr>
          <w:p w14:paraId="53506914"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0.002</w:t>
            </w:r>
          </w:p>
        </w:tc>
      </w:tr>
      <w:tr w:rsidR="00B64822" w:rsidRPr="00616F4F" w14:paraId="64EC618E"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4AF6B67" w14:textId="77777777" w:rsidR="00B64822" w:rsidRPr="00616F4F" w:rsidRDefault="00B64822" w:rsidP="00864863">
            <w:pPr>
              <w:rPr>
                <w:rFonts w:cs="Arial"/>
                <w:b w:val="0"/>
                <w:sz w:val="18"/>
                <w:szCs w:val="18"/>
              </w:rPr>
            </w:pPr>
            <w:r w:rsidRPr="00616F4F">
              <w:rPr>
                <w:rFonts w:cs="Arial"/>
                <w:b w:val="0"/>
                <w:sz w:val="18"/>
                <w:szCs w:val="18"/>
              </w:rPr>
              <w:t>164 Hyperplasia Of Prostate</w:t>
            </w:r>
          </w:p>
        </w:tc>
        <w:tc>
          <w:tcPr>
            <w:tcW w:w="797" w:type="pct"/>
            <w:noWrap/>
            <w:hideMark/>
          </w:tcPr>
          <w:p w14:paraId="28B80E7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0.002</w:t>
            </w:r>
          </w:p>
        </w:tc>
        <w:tc>
          <w:tcPr>
            <w:tcW w:w="715" w:type="pct"/>
            <w:noWrap/>
            <w:hideMark/>
          </w:tcPr>
          <w:p w14:paraId="38106A2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0.010</w:t>
            </w:r>
          </w:p>
        </w:tc>
        <w:tc>
          <w:tcPr>
            <w:tcW w:w="715" w:type="pct"/>
            <w:noWrap/>
            <w:hideMark/>
          </w:tcPr>
          <w:p w14:paraId="68C4984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0.200</w:t>
            </w:r>
          </w:p>
        </w:tc>
        <w:tc>
          <w:tcPr>
            <w:tcW w:w="635" w:type="pct"/>
            <w:noWrap/>
            <w:hideMark/>
          </w:tcPr>
          <w:p w14:paraId="5913CF2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0.843</w:t>
            </w:r>
          </w:p>
        </w:tc>
      </w:tr>
      <w:tr w:rsidR="00B64822" w:rsidRPr="00616F4F" w14:paraId="4DA19EBE"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B677B45" w14:textId="77777777" w:rsidR="00B64822" w:rsidRPr="00616F4F" w:rsidRDefault="00B64822" w:rsidP="00864863">
            <w:pPr>
              <w:rPr>
                <w:rFonts w:cs="Arial"/>
                <w:b w:val="0"/>
                <w:sz w:val="18"/>
                <w:szCs w:val="18"/>
              </w:rPr>
            </w:pPr>
            <w:r w:rsidRPr="00616F4F">
              <w:rPr>
                <w:rFonts w:cs="Arial"/>
                <w:b w:val="0"/>
                <w:sz w:val="18"/>
                <w:szCs w:val="18"/>
              </w:rPr>
              <w:t xml:space="preserve">167 </w:t>
            </w:r>
            <w:proofErr w:type="spellStart"/>
            <w:r w:rsidRPr="00616F4F">
              <w:rPr>
                <w:rFonts w:cs="Arial"/>
                <w:b w:val="0"/>
                <w:sz w:val="18"/>
                <w:szCs w:val="18"/>
              </w:rPr>
              <w:t>Nonmalignant</w:t>
            </w:r>
            <w:proofErr w:type="spellEnd"/>
            <w:r w:rsidRPr="00616F4F">
              <w:rPr>
                <w:rFonts w:cs="Arial"/>
                <w:b w:val="0"/>
                <w:sz w:val="18"/>
                <w:szCs w:val="18"/>
              </w:rPr>
              <w:t xml:space="preserve"> Breast Conditions</w:t>
            </w:r>
          </w:p>
        </w:tc>
        <w:tc>
          <w:tcPr>
            <w:tcW w:w="797" w:type="pct"/>
            <w:noWrap/>
            <w:hideMark/>
          </w:tcPr>
          <w:p w14:paraId="2BF0FB7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-0.002</w:t>
            </w:r>
          </w:p>
        </w:tc>
        <w:tc>
          <w:tcPr>
            <w:tcW w:w="715" w:type="pct"/>
            <w:noWrap/>
            <w:hideMark/>
          </w:tcPr>
          <w:p w14:paraId="56EC695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0.004</w:t>
            </w:r>
          </w:p>
        </w:tc>
        <w:tc>
          <w:tcPr>
            <w:tcW w:w="715" w:type="pct"/>
            <w:noWrap/>
            <w:hideMark/>
          </w:tcPr>
          <w:p w14:paraId="4692D9C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-0.500</w:t>
            </w:r>
          </w:p>
        </w:tc>
        <w:tc>
          <w:tcPr>
            <w:tcW w:w="635" w:type="pct"/>
            <w:noWrap/>
            <w:hideMark/>
          </w:tcPr>
          <w:p w14:paraId="0ABA25C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0.620</w:t>
            </w:r>
          </w:p>
        </w:tc>
      </w:tr>
      <w:tr w:rsidR="00B64822" w:rsidRPr="00616F4F" w14:paraId="07F2014F"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C53B724" w14:textId="77777777" w:rsidR="00B64822" w:rsidRPr="00616F4F" w:rsidRDefault="00B64822" w:rsidP="00864863">
            <w:pPr>
              <w:rPr>
                <w:rFonts w:cs="Arial"/>
                <w:b w:val="0"/>
                <w:sz w:val="18"/>
                <w:szCs w:val="18"/>
              </w:rPr>
            </w:pPr>
            <w:r w:rsidRPr="00616F4F">
              <w:rPr>
                <w:rFonts w:cs="Arial"/>
                <w:b w:val="0"/>
                <w:sz w:val="18"/>
                <w:szCs w:val="18"/>
              </w:rPr>
              <w:t>169 Endometriosis</w:t>
            </w:r>
          </w:p>
        </w:tc>
        <w:tc>
          <w:tcPr>
            <w:tcW w:w="797" w:type="pct"/>
            <w:noWrap/>
            <w:hideMark/>
          </w:tcPr>
          <w:p w14:paraId="42A5AAE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-0.056</w:t>
            </w:r>
          </w:p>
        </w:tc>
        <w:tc>
          <w:tcPr>
            <w:tcW w:w="715" w:type="pct"/>
            <w:noWrap/>
            <w:hideMark/>
          </w:tcPr>
          <w:p w14:paraId="689B57E8"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0.020</w:t>
            </w:r>
          </w:p>
        </w:tc>
        <w:tc>
          <w:tcPr>
            <w:tcW w:w="715" w:type="pct"/>
            <w:noWrap/>
            <w:hideMark/>
          </w:tcPr>
          <w:p w14:paraId="2A884B4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-2.790</w:t>
            </w:r>
          </w:p>
        </w:tc>
        <w:tc>
          <w:tcPr>
            <w:tcW w:w="635" w:type="pct"/>
            <w:noWrap/>
            <w:hideMark/>
          </w:tcPr>
          <w:p w14:paraId="49BBCCA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0.005</w:t>
            </w:r>
          </w:p>
        </w:tc>
      </w:tr>
      <w:tr w:rsidR="00B64822" w:rsidRPr="00616F4F" w14:paraId="2A6DB16D"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A28DA0F" w14:textId="77777777" w:rsidR="00B64822" w:rsidRPr="00616F4F" w:rsidRDefault="00B64822" w:rsidP="00864863">
            <w:pPr>
              <w:rPr>
                <w:rFonts w:cs="Arial"/>
                <w:b w:val="0"/>
                <w:sz w:val="18"/>
                <w:szCs w:val="18"/>
              </w:rPr>
            </w:pPr>
            <w:r w:rsidRPr="00616F4F">
              <w:rPr>
                <w:rFonts w:cs="Arial"/>
                <w:b w:val="0"/>
                <w:sz w:val="18"/>
                <w:szCs w:val="18"/>
              </w:rPr>
              <w:t>170 Prolapse Of Female Genital Organs</w:t>
            </w:r>
          </w:p>
        </w:tc>
        <w:tc>
          <w:tcPr>
            <w:tcW w:w="797" w:type="pct"/>
            <w:noWrap/>
            <w:hideMark/>
          </w:tcPr>
          <w:p w14:paraId="3C4271A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-0.001</w:t>
            </w:r>
          </w:p>
        </w:tc>
        <w:tc>
          <w:tcPr>
            <w:tcW w:w="715" w:type="pct"/>
            <w:noWrap/>
            <w:hideMark/>
          </w:tcPr>
          <w:p w14:paraId="5C0EE55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0.019</w:t>
            </w:r>
          </w:p>
        </w:tc>
        <w:tc>
          <w:tcPr>
            <w:tcW w:w="715" w:type="pct"/>
            <w:noWrap/>
            <w:hideMark/>
          </w:tcPr>
          <w:p w14:paraId="428113F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-0.030</w:t>
            </w:r>
          </w:p>
        </w:tc>
        <w:tc>
          <w:tcPr>
            <w:tcW w:w="635" w:type="pct"/>
            <w:noWrap/>
            <w:hideMark/>
          </w:tcPr>
          <w:p w14:paraId="6CE8EBD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0.977</w:t>
            </w:r>
          </w:p>
        </w:tc>
      </w:tr>
      <w:tr w:rsidR="00B64822" w:rsidRPr="00616F4F" w14:paraId="1095D649"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D3C72FF" w14:textId="77777777" w:rsidR="00B64822" w:rsidRPr="00616F4F" w:rsidRDefault="00B64822" w:rsidP="00864863">
            <w:pPr>
              <w:rPr>
                <w:rFonts w:cs="Arial"/>
                <w:b w:val="0"/>
                <w:sz w:val="18"/>
                <w:szCs w:val="18"/>
              </w:rPr>
            </w:pPr>
            <w:r w:rsidRPr="00616F4F">
              <w:rPr>
                <w:rFonts w:cs="Arial"/>
                <w:b w:val="0"/>
                <w:sz w:val="18"/>
                <w:szCs w:val="18"/>
              </w:rPr>
              <w:t>171 Menstrual Disorders</w:t>
            </w:r>
          </w:p>
        </w:tc>
        <w:tc>
          <w:tcPr>
            <w:tcW w:w="797" w:type="pct"/>
            <w:noWrap/>
            <w:hideMark/>
          </w:tcPr>
          <w:p w14:paraId="231476A8"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-0.001</w:t>
            </w:r>
          </w:p>
        </w:tc>
        <w:tc>
          <w:tcPr>
            <w:tcW w:w="715" w:type="pct"/>
            <w:noWrap/>
            <w:hideMark/>
          </w:tcPr>
          <w:p w14:paraId="6318D29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0.001</w:t>
            </w:r>
          </w:p>
        </w:tc>
        <w:tc>
          <w:tcPr>
            <w:tcW w:w="715" w:type="pct"/>
            <w:noWrap/>
            <w:hideMark/>
          </w:tcPr>
          <w:p w14:paraId="4A53B03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-0.850</w:t>
            </w:r>
          </w:p>
        </w:tc>
        <w:tc>
          <w:tcPr>
            <w:tcW w:w="635" w:type="pct"/>
            <w:noWrap/>
            <w:hideMark/>
          </w:tcPr>
          <w:p w14:paraId="079CF5A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0.397</w:t>
            </w:r>
          </w:p>
        </w:tc>
      </w:tr>
      <w:tr w:rsidR="00B64822" w:rsidRPr="00616F4F" w14:paraId="6C3B1FB6"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F4A6C55" w14:textId="77777777" w:rsidR="00B64822" w:rsidRPr="00616F4F" w:rsidRDefault="00B64822" w:rsidP="00864863">
            <w:pPr>
              <w:rPr>
                <w:rFonts w:cs="Arial"/>
                <w:b w:val="0"/>
                <w:sz w:val="18"/>
                <w:szCs w:val="18"/>
              </w:rPr>
            </w:pPr>
            <w:r w:rsidRPr="00616F4F">
              <w:rPr>
                <w:rFonts w:cs="Arial"/>
                <w:b w:val="0"/>
                <w:sz w:val="18"/>
                <w:szCs w:val="18"/>
              </w:rPr>
              <w:t>172 Ovarian Cyst</w:t>
            </w:r>
          </w:p>
        </w:tc>
        <w:tc>
          <w:tcPr>
            <w:tcW w:w="797" w:type="pct"/>
            <w:noWrap/>
            <w:hideMark/>
          </w:tcPr>
          <w:p w14:paraId="452AF37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-0.002</w:t>
            </w:r>
          </w:p>
        </w:tc>
        <w:tc>
          <w:tcPr>
            <w:tcW w:w="715" w:type="pct"/>
            <w:noWrap/>
            <w:hideMark/>
          </w:tcPr>
          <w:p w14:paraId="1BCAD60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0.003</w:t>
            </w:r>
          </w:p>
        </w:tc>
        <w:tc>
          <w:tcPr>
            <w:tcW w:w="715" w:type="pct"/>
            <w:noWrap/>
            <w:hideMark/>
          </w:tcPr>
          <w:p w14:paraId="4F80999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-0.550</w:t>
            </w:r>
          </w:p>
        </w:tc>
        <w:tc>
          <w:tcPr>
            <w:tcW w:w="635" w:type="pct"/>
            <w:noWrap/>
            <w:hideMark/>
          </w:tcPr>
          <w:p w14:paraId="139001CE"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0.585</w:t>
            </w:r>
          </w:p>
        </w:tc>
      </w:tr>
      <w:tr w:rsidR="00B64822" w:rsidRPr="00616F4F" w14:paraId="31F3456F"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33C6DE6" w14:textId="77777777" w:rsidR="00B64822" w:rsidRPr="00616F4F" w:rsidRDefault="00B64822" w:rsidP="00864863">
            <w:pPr>
              <w:rPr>
                <w:rFonts w:cs="Arial"/>
                <w:b w:val="0"/>
                <w:sz w:val="18"/>
                <w:szCs w:val="18"/>
              </w:rPr>
            </w:pPr>
            <w:r w:rsidRPr="00616F4F">
              <w:rPr>
                <w:rFonts w:cs="Arial"/>
                <w:b w:val="0"/>
                <w:sz w:val="18"/>
                <w:szCs w:val="18"/>
              </w:rPr>
              <w:t>173 Menopausal Disorders</w:t>
            </w:r>
          </w:p>
        </w:tc>
        <w:tc>
          <w:tcPr>
            <w:tcW w:w="797" w:type="pct"/>
            <w:noWrap/>
            <w:hideMark/>
          </w:tcPr>
          <w:p w14:paraId="3050CFD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-0.001</w:t>
            </w:r>
          </w:p>
        </w:tc>
        <w:tc>
          <w:tcPr>
            <w:tcW w:w="715" w:type="pct"/>
            <w:noWrap/>
            <w:hideMark/>
          </w:tcPr>
          <w:p w14:paraId="2743642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0.005</w:t>
            </w:r>
          </w:p>
        </w:tc>
        <w:tc>
          <w:tcPr>
            <w:tcW w:w="715" w:type="pct"/>
            <w:noWrap/>
            <w:hideMark/>
          </w:tcPr>
          <w:p w14:paraId="5F65B9E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-0.300</w:t>
            </w:r>
          </w:p>
        </w:tc>
        <w:tc>
          <w:tcPr>
            <w:tcW w:w="635" w:type="pct"/>
            <w:noWrap/>
            <w:hideMark/>
          </w:tcPr>
          <w:p w14:paraId="5C98CFCB"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0.764</w:t>
            </w:r>
          </w:p>
        </w:tc>
      </w:tr>
      <w:tr w:rsidR="00B64822" w:rsidRPr="00616F4F" w14:paraId="554014C4"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CBB73E9" w14:textId="77777777" w:rsidR="00B64822" w:rsidRPr="00616F4F" w:rsidRDefault="00B64822" w:rsidP="00864863">
            <w:pPr>
              <w:rPr>
                <w:rFonts w:cs="Arial"/>
                <w:b w:val="0"/>
                <w:sz w:val="18"/>
                <w:szCs w:val="18"/>
              </w:rPr>
            </w:pPr>
            <w:r w:rsidRPr="00616F4F">
              <w:rPr>
                <w:rFonts w:cs="Arial"/>
                <w:b w:val="0"/>
                <w:sz w:val="18"/>
                <w:szCs w:val="18"/>
              </w:rPr>
              <w:t>175 Other Female Genital Disorders</w:t>
            </w:r>
          </w:p>
        </w:tc>
        <w:tc>
          <w:tcPr>
            <w:tcW w:w="797" w:type="pct"/>
            <w:noWrap/>
            <w:hideMark/>
          </w:tcPr>
          <w:p w14:paraId="1E5AA184"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-0.005</w:t>
            </w:r>
          </w:p>
        </w:tc>
        <w:tc>
          <w:tcPr>
            <w:tcW w:w="715" w:type="pct"/>
            <w:noWrap/>
            <w:hideMark/>
          </w:tcPr>
          <w:p w14:paraId="15F2FFB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2648391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-0.840</w:t>
            </w:r>
          </w:p>
        </w:tc>
        <w:tc>
          <w:tcPr>
            <w:tcW w:w="635" w:type="pct"/>
            <w:noWrap/>
            <w:hideMark/>
          </w:tcPr>
          <w:p w14:paraId="3BC2F0A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0.402</w:t>
            </w:r>
          </w:p>
        </w:tc>
      </w:tr>
      <w:tr w:rsidR="00B64822" w:rsidRPr="00616F4F" w14:paraId="012E0256"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66979F9" w14:textId="77777777" w:rsidR="00B64822" w:rsidRPr="00616F4F" w:rsidRDefault="00B64822" w:rsidP="00864863">
            <w:pPr>
              <w:rPr>
                <w:rFonts w:cs="Arial"/>
                <w:b w:val="0"/>
                <w:sz w:val="18"/>
                <w:szCs w:val="18"/>
              </w:rPr>
            </w:pPr>
            <w:r w:rsidRPr="00616F4F">
              <w:rPr>
                <w:rFonts w:cs="Arial"/>
                <w:b w:val="0"/>
                <w:sz w:val="18"/>
                <w:szCs w:val="18"/>
              </w:rPr>
              <w:t>198 Other Inflammatory Condition Of Skin</w:t>
            </w:r>
          </w:p>
        </w:tc>
        <w:tc>
          <w:tcPr>
            <w:tcW w:w="797" w:type="pct"/>
            <w:noWrap/>
            <w:hideMark/>
          </w:tcPr>
          <w:p w14:paraId="677905F8"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-0.002</w:t>
            </w:r>
          </w:p>
        </w:tc>
        <w:tc>
          <w:tcPr>
            <w:tcW w:w="715" w:type="pct"/>
            <w:noWrap/>
            <w:hideMark/>
          </w:tcPr>
          <w:p w14:paraId="28E6E3F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0.002</w:t>
            </w:r>
          </w:p>
        </w:tc>
        <w:tc>
          <w:tcPr>
            <w:tcW w:w="715" w:type="pct"/>
            <w:noWrap/>
            <w:hideMark/>
          </w:tcPr>
          <w:p w14:paraId="3CC56C8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-0.940</w:t>
            </w:r>
          </w:p>
        </w:tc>
        <w:tc>
          <w:tcPr>
            <w:tcW w:w="635" w:type="pct"/>
            <w:noWrap/>
            <w:hideMark/>
          </w:tcPr>
          <w:p w14:paraId="7CE0538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0.346</w:t>
            </w:r>
          </w:p>
        </w:tc>
      </w:tr>
      <w:tr w:rsidR="00B64822" w:rsidRPr="00616F4F" w14:paraId="67DBBD7D"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D1C4C85" w14:textId="77777777" w:rsidR="00B64822" w:rsidRPr="00616F4F" w:rsidRDefault="00B64822" w:rsidP="00864863">
            <w:pPr>
              <w:rPr>
                <w:rFonts w:cs="Arial"/>
                <w:b w:val="0"/>
                <w:sz w:val="18"/>
                <w:szCs w:val="18"/>
              </w:rPr>
            </w:pPr>
            <w:r w:rsidRPr="00616F4F">
              <w:rPr>
                <w:rFonts w:cs="Arial"/>
                <w:b w:val="0"/>
                <w:sz w:val="18"/>
                <w:szCs w:val="18"/>
              </w:rPr>
              <w:t>199 Chronic Ulcer Of Skin</w:t>
            </w:r>
          </w:p>
        </w:tc>
        <w:tc>
          <w:tcPr>
            <w:tcW w:w="797" w:type="pct"/>
            <w:noWrap/>
            <w:hideMark/>
          </w:tcPr>
          <w:p w14:paraId="21B07BC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-0.065</w:t>
            </w:r>
          </w:p>
        </w:tc>
        <w:tc>
          <w:tcPr>
            <w:tcW w:w="715" w:type="pct"/>
            <w:noWrap/>
            <w:hideMark/>
          </w:tcPr>
          <w:p w14:paraId="0A88A6E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0.011</w:t>
            </w:r>
          </w:p>
        </w:tc>
        <w:tc>
          <w:tcPr>
            <w:tcW w:w="715" w:type="pct"/>
            <w:noWrap/>
            <w:hideMark/>
          </w:tcPr>
          <w:p w14:paraId="3778D00E"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-5.900</w:t>
            </w:r>
          </w:p>
        </w:tc>
        <w:tc>
          <w:tcPr>
            <w:tcW w:w="635" w:type="pct"/>
            <w:noWrap/>
            <w:hideMark/>
          </w:tcPr>
          <w:p w14:paraId="30D2698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51DA3253"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4015B18" w14:textId="77777777" w:rsidR="00B64822" w:rsidRPr="00616F4F" w:rsidRDefault="00B64822" w:rsidP="00864863">
            <w:pPr>
              <w:rPr>
                <w:rFonts w:cs="Arial"/>
                <w:b w:val="0"/>
                <w:sz w:val="18"/>
                <w:szCs w:val="18"/>
              </w:rPr>
            </w:pPr>
            <w:r w:rsidRPr="00616F4F">
              <w:rPr>
                <w:rFonts w:cs="Arial"/>
                <w:b w:val="0"/>
                <w:sz w:val="18"/>
                <w:szCs w:val="18"/>
              </w:rPr>
              <w:t>200 Other Skin Disorders</w:t>
            </w:r>
          </w:p>
        </w:tc>
        <w:tc>
          <w:tcPr>
            <w:tcW w:w="797" w:type="pct"/>
            <w:noWrap/>
            <w:hideMark/>
          </w:tcPr>
          <w:p w14:paraId="73109D2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-0.001</w:t>
            </w:r>
          </w:p>
        </w:tc>
        <w:tc>
          <w:tcPr>
            <w:tcW w:w="715" w:type="pct"/>
            <w:noWrap/>
            <w:hideMark/>
          </w:tcPr>
          <w:p w14:paraId="5F68ED1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0.001</w:t>
            </w:r>
          </w:p>
        </w:tc>
        <w:tc>
          <w:tcPr>
            <w:tcW w:w="715" w:type="pct"/>
            <w:noWrap/>
            <w:hideMark/>
          </w:tcPr>
          <w:p w14:paraId="575CF0D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-0.740</w:t>
            </w:r>
          </w:p>
        </w:tc>
        <w:tc>
          <w:tcPr>
            <w:tcW w:w="635" w:type="pct"/>
            <w:noWrap/>
            <w:hideMark/>
          </w:tcPr>
          <w:p w14:paraId="23910FC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0.459</w:t>
            </w:r>
          </w:p>
        </w:tc>
      </w:tr>
      <w:tr w:rsidR="00B64822" w:rsidRPr="00616F4F" w14:paraId="513A9AD4"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AC985FA" w14:textId="77777777" w:rsidR="00B64822" w:rsidRPr="00616F4F" w:rsidRDefault="00B64822" w:rsidP="00864863">
            <w:pPr>
              <w:rPr>
                <w:rFonts w:cs="Arial"/>
                <w:b w:val="0"/>
                <w:sz w:val="18"/>
                <w:szCs w:val="18"/>
              </w:rPr>
            </w:pPr>
            <w:r w:rsidRPr="00616F4F">
              <w:rPr>
                <w:rFonts w:cs="Arial"/>
                <w:b w:val="0"/>
                <w:sz w:val="18"/>
                <w:szCs w:val="18"/>
              </w:rPr>
              <w:t>202 Rheumatoid Arthritis And Related Dis</w:t>
            </w:r>
          </w:p>
        </w:tc>
        <w:tc>
          <w:tcPr>
            <w:tcW w:w="797" w:type="pct"/>
            <w:noWrap/>
            <w:hideMark/>
          </w:tcPr>
          <w:p w14:paraId="602589E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-0.157</w:t>
            </w:r>
          </w:p>
        </w:tc>
        <w:tc>
          <w:tcPr>
            <w:tcW w:w="715" w:type="pct"/>
            <w:noWrap/>
            <w:hideMark/>
          </w:tcPr>
          <w:p w14:paraId="1B286B1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0.013</w:t>
            </w:r>
          </w:p>
        </w:tc>
        <w:tc>
          <w:tcPr>
            <w:tcW w:w="715" w:type="pct"/>
            <w:noWrap/>
            <w:hideMark/>
          </w:tcPr>
          <w:p w14:paraId="78A0203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-12.370</w:t>
            </w:r>
          </w:p>
        </w:tc>
        <w:tc>
          <w:tcPr>
            <w:tcW w:w="635" w:type="pct"/>
            <w:noWrap/>
            <w:hideMark/>
          </w:tcPr>
          <w:p w14:paraId="32011BA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4088F9C7"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0528697" w14:textId="77777777" w:rsidR="00B64822" w:rsidRPr="00616F4F" w:rsidRDefault="00B64822" w:rsidP="00864863">
            <w:pPr>
              <w:rPr>
                <w:rFonts w:cs="Arial"/>
                <w:b w:val="0"/>
                <w:sz w:val="18"/>
                <w:szCs w:val="18"/>
              </w:rPr>
            </w:pPr>
            <w:r w:rsidRPr="00616F4F">
              <w:rPr>
                <w:rFonts w:cs="Arial"/>
                <w:b w:val="0"/>
                <w:sz w:val="18"/>
                <w:szCs w:val="18"/>
              </w:rPr>
              <w:t>203 Osteoarthritis</w:t>
            </w:r>
          </w:p>
        </w:tc>
        <w:tc>
          <w:tcPr>
            <w:tcW w:w="797" w:type="pct"/>
            <w:noWrap/>
            <w:hideMark/>
          </w:tcPr>
          <w:p w14:paraId="090224F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-0.102</w:t>
            </w:r>
          </w:p>
        </w:tc>
        <w:tc>
          <w:tcPr>
            <w:tcW w:w="715" w:type="pct"/>
            <w:noWrap/>
            <w:hideMark/>
          </w:tcPr>
          <w:p w14:paraId="32504CC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0.007</w:t>
            </w:r>
          </w:p>
        </w:tc>
        <w:tc>
          <w:tcPr>
            <w:tcW w:w="715" w:type="pct"/>
            <w:noWrap/>
            <w:hideMark/>
          </w:tcPr>
          <w:p w14:paraId="4D9F3C1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-15.110</w:t>
            </w:r>
          </w:p>
        </w:tc>
        <w:tc>
          <w:tcPr>
            <w:tcW w:w="635" w:type="pct"/>
            <w:noWrap/>
            <w:hideMark/>
          </w:tcPr>
          <w:p w14:paraId="70D16CF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79E38E83"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1E315BE" w14:textId="77777777" w:rsidR="00B64822" w:rsidRPr="00616F4F" w:rsidRDefault="00B64822" w:rsidP="00864863">
            <w:pPr>
              <w:rPr>
                <w:rFonts w:cs="Arial"/>
                <w:b w:val="0"/>
                <w:sz w:val="18"/>
                <w:szCs w:val="18"/>
              </w:rPr>
            </w:pPr>
            <w:r w:rsidRPr="00616F4F">
              <w:rPr>
                <w:rFonts w:cs="Arial"/>
                <w:b w:val="0"/>
                <w:sz w:val="18"/>
                <w:szCs w:val="18"/>
              </w:rPr>
              <w:t>204 Other Non-Traumatic Joint Disorders</w:t>
            </w:r>
          </w:p>
        </w:tc>
        <w:tc>
          <w:tcPr>
            <w:tcW w:w="797" w:type="pct"/>
            <w:noWrap/>
            <w:hideMark/>
          </w:tcPr>
          <w:p w14:paraId="5FC60625"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-0.099</w:t>
            </w:r>
          </w:p>
        </w:tc>
        <w:tc>
          <w:tcPr>
            <w:tcW w:w="715" w:type="pct"/>
            <w:noWrap/>
            <w:hideMark/>
          </w:tcPr>
          <w:p w14:paraId="4AE6976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0.004</w:t>
            </w:r>
          </w:p>
        </w:tc>
        <w:tc>
          <w:tcPr>
            <w:tcW w:w="715" w:type="pct"/>
            <w:noWrap/>
            <w:hideMark/>
          </w:tcPr>
          <w:p w14:paraId="0B4B1BB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-25.040</w:t>
            </w:r>
          </w:p>
        </w:tc>
        <w:tc>
          <w:tcPr>
            <w:tcW w:w="635" w:type="pct"/>
            <w:noWrap/>
            <w:hideMark/>
          </w:tcPr>
          <w:p w14:paraId="5B731864"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7C1ED2F2"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9DF32C6" w14:textId="77777777" w:rsidR="00B64822" w:rsidRPr="00616F4F" w:rsidRDefault="00B64822" w:rsidP="00864863">
            <w:pPr>
              <w:rPr>
                <w:rFonts w:cs="Arial"/>
                <w:b w:val="0"/>
                <w:sz w:val="18"/>
                <w:szCs w:val="18"/>
              </w:rPr>
            </w:pPr>
            <w:r w:rsidRPr="00616F4F">
              <w:rPr>
                <w:rFonts w:cs="Arial"/>
                <w:b w:val="0"/>
                <w:sz w:val="18"/>
                <w:szCs w:val="18"/>
              </w:rPr>
              <w:t>205 Spondylosis, Intervertebral Disc Dis</w:t>
            </w:r>
          </w:p>
        </w:tc>
        <w:tc>
          <w:tcPr>
            <w:tcW w:w="797" w:type="pct"/>
            <w:noWrap/>
            <w:hideMark/>
          </w:tcPr>
          <w:p w14:paraId="72ABA11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-0.085</w:t>
            </w:r>
          </w:p>
        </w:tc>
        <w:tc>
          <w:tcPr>
            <w:tcW w:w="715" w:type="pct"/>
            <w:noWrap/>
            <w:hideMark/>
          </w:tcPr>
          <w:p w14:paraId="3D4F839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0.004</w:t>
            </w:r>
          </w:p>
        </w:tc>
        <w:tc>
          <w:tcPr>
            <w:tcW w:w="715" w:type="pct"/>
            <w:noWrap/>
            <w:hideMark/>
          </w:tcPr>
          <w:p w14:paraId="2E77ED2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-19.610</w:t>
            </w:r>
          </w:p>
        </w:tc>
        <w:tc>
          <w:tcPr>
            <w:tcW w:w="635" w:type="pct"/>
            <w:noWrap/>
            <w:hideMark/>
          </w:tcPr>
          <w:p w14:paraId="49D0EA72"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5F21C55F"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58F8473" w14:textId="77777777" w:rsidR="00B64822" w:rsidRPr="00616F4F" w:rsidRDefault="00B64822" w:rsidP="00864863">
            <w:pPr>
              <w:rPr>
                <w:rFonts w:cs="Arial"/>
                <w:b w:val="0"/>
                <w:sz w:val="18"/>
                <w:szCs w:val="18"/>
              </w:rPr>
            </w:pPr>
            <w:r w:rsidRPr="00616F4F">
              <w:rPr>
                <w:rFonts w:cs="Arial"/>
                <w:b w:val="0"/>
                <w:sz w:val="18"/>
                <w:szCs w:val="18"/>
              </w:rPr>
              <w:t>206 Osteoporosis</w:t>
            </w:r>
          </w:p>
        </w:tc>
        <w:tc>
          <w:tcPr>
            <w:tcW w:w="797" w:type="pct"/>
            <w:noWrap/>
            <w:hideMark/>
          </w:tcPr>
          <w:p w14:paraId="2DD9176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-0.042</w:t>
            </w:r>
          </w:p>
        </w:tc>
        <w:tc>
          <w:tcPr>
            <w:tcW w:w="715" w:type="pct"/>
            <w:noWrap/>
            <w:hideMark/>
          </w:tcPr>
          <w:p w14:paraId="7C63AC45"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0.006</w:t>
            </w:r>
          </w:p>
        </w:tc>
        <w:tc>
          <w:tcPr>
            <w:tcW w:w="715" w:type="pct"/>
            <w:noWrap/>
            <w:hideMark/>
          </w:tcPr>
          <w:p w14:paraId="16D4DBD0"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-6.590</w:t>
            </w:r>
          </w:p>
        </w:tc>
        <w:tc>
          <w:tcPr>
            <w:tcW w:w="635" w:type="pct"/>
            <w:noWrap/>
            <w:hideMark/>
          </w:tcPr>
          <w:p w14:paraId="7F01811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023BF632"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D9DBA75" w14:textId="77777777" w:rsidR="00B64822" w:rsidRPr="00616F4F" w:rsidRDefault="00B64822" w:rsidP="00864863">
            <w:pPr>
              <w:rPr>
                <w:rFonts w:cs="Arial"/>
                <w:b w:val="0"/>
                <w:sz w:val="18"/>
                <w:szCs w:val="18"/>
              </w:rPr>
            </w:pPr>
            <w:r w:rsidRPr="00616F4F">
              <w:rPr>
                <w:rFonts w:cs="Arial"/>
                <w:b w:val="0"/>
                <w:sz w:val="18"/>
                <w:szCs w:val="18"/>
              </w:rPr>
              <w:t>208 Acquired Foot Deformities</w:t>
            </w:r>
          </w:p>
        </w:tc>
        <w:tc>
          <w:tcPr>
            <w:tcW w:w="797" w:type="pct"/>
            <w:noWrap/>
            <w:hideMark/>
          </w:tcPr>
          <w:p w14:paraId="1706F86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-0.036</w:t>
            </w:r>
          </w:p>
        </w:tc>
        <w:tc>
          <w:tcPr>
            <w:tcW w:w="715" w:type="pct"/>
            <w:noWrap/>
            <w:hideMark/>
          </w:tcPr>
          <w:p w14:paraId="0173DEA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0.014</w:t>
            </w:r>
          </w:p>
        </w:tc>
        <w:tc>
          <w:tcPr>
            <w:tcW w:w="715" w:type="pct"/>
            <w:noWrap/>
            <w:hideMark/>
          </w:tcPr>
          <w:p w14:paraId="5531B41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-2.480</w:t>
            </w:r>
          </w:p>
        </w:tc>
        <w:tc>
          <w:tcPr>
            <w:tcW w:w="635" w:type="pct"/>
            <w:noWrap/>
            <w:hideMark/>
          </w:tcPr>
          <w:p w14:paraId="6ED5AC4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0.013</w:t>
            </w:r>
          </w:p>
        </w:tc>
      </w:tr>
      <w:tr w:rsidR="00B64822" w:rsidRPr="00616F4F" w14:paraId="239A463D"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1609D6D" w14:textId="77777777" w:rsidR="00B64822" w:rsidRPr="00616F4F" w:rsidRDefault="00B64822" w:rsidP="00864863">
            <w:pPr>
              <w:rPr>
                <w:rFonts w:cs="Arial"/>
                <w:b w:val="0"/>
                <w:sz w:val="18"/>
                <w:szCs w:val="18"/>
              </w:rPr>
            </w:pPr>
            <w:r w:rsidRPr="00616F4F">
              <w:rPr>
                <w:rFonts w:cs="Arial"/>
                <w:b w:val="0"/>
                <w:sz w:val="18"/>
                <w:szCs w:val="18"/>
              </w:rPr>
              <w:t>209 Other Acquired Deformities</w:t>
            </w:r>
          </w:p>
        </w:tc>
        <w:tc>
          <w:tcPr>
            <w:tcW w:w="797" w:type="pct"/>
            <w:noWrap/>
            <w:hideMark/>
          </w:tcPr>
          <w:p w14:paraId="0284407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-0.010</w:t>
            </w:r>
          </w:p>
        </w:tc>
        <w:tc>
          <w:tcPr>
            <w:tcW w:w="715" w:type="pct"/>
            <w:noWrap/>
            <w:hideMark/>
          </w:tcPr>
          <w:p w14:paraId="26A99B87"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0.017</w:t>
            </w:r>
          </w:p>
        </w:tc>
        <w:tc>
          <w:tcPr>
            <w:tcW w:w="715" w:type="pct"/>
            <w:noWrap/>
            <w:hideMark/>
          </w:tcPr>
          <w:p w14:paraId="53C0476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-0.560</w:t>
            </w:r>
          </w:p>
        </w:tc>
        <w:tc>
          <w:tcPr>
            <w:tcW w:w="635" w:type="pct"/>
            <w:noWrap/>
            <w:hideMark/>
          </w:tcPr>
          <w:p w14:paraId="12806EEC"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0.572</w:t>
            </w:r>
          </w:p>
        </w:tc>
      </w:tr>
      <w:tr w:rsidR="00B64822" w:rsidRPr="00616F4F" w14:paraId="7D5F60C9"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70855B10" w14:textId="77777777" w:rsidR="00B64822" w:rsidRPr="00616F4F" w:rsidRDefault="00B64822" w:rsidP="00864863">
            <w:pPr>
              <w:rPr>
                <w:rFonts w:cs="Arial"/>
                <w:b w:val="0"/>
                <w:sz w:val="18"/>
                <w:szCs w:val="18"/>
              </w:rPr>
            </w:pPr>
            <w:r w:rsidRPr="00616F4F">
              <w:rPr>
                <w:rFonts w:cs="Arial"/>
                <w:b w:val="0"/>
                <w:sz w:val="18"/>
                <w:szCs w:val="18"/>
              </w:rPr>
              <w:t>210 Systemic Lupus Erythematosus And Con</w:t>
            </w:r>
          </w:p>
        </w:tc>
        <w:tc>
          <w:tcPr>
            <w:tcW w:w="797" w:type="pct"/>
            <w:noWrap/>
            <w:hideMark/>
          </w:tcPr>
          <w:p w14:paraId="47036AE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-0.077</w:t>
            </w:r>
          </w:p>
        </w:tc>
        <w:tc>
          <w:tcPr>
            <w:tcW w:w="715" w:type="pct"/>
            <w:noWrap/>
            <w:hideMark/>
          </w:tcPr>
          <w:p w14:paraId="6928DD9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0.019</w:t>
            </w:r>
          </w:p>
        </w:tc>
        <w:tc>
          <w:tcPr>
            <w:tcW w:w="715" w:type="pct"/>
            <w:noWrap/>
            <w:hideMark/>
          </w:tcPr>
          <w:p w14:paraId="5FC989C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-3.990</w:t>
            </w:r>
          </w:p>
        </w:tc>
        <w:tc>
          <w:tcPr>
            <w:tcW w:w="635" w:type="pct"/>
            <w:noWrap/>
            <w:hideMark/>
          </w:tcPr>
          <w:p w14:paraId="51B7594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622A1245"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F10E91C" w14:textId="77777777" w:rsidR="00B64822" w:rsidRPr="00616F4F" w:rsidRDefault="00B64822" w:rsidP="00864863">
            <w:pPr>
              <w:rPr>
                <w:rFonts w:cs="Arial"/>
                <w:b w:val="0"/>
                <w:sz w:val="18"/>
                <w:szCs w:val="18"/>
              </w:rPr>
            </w:pPr>
            <w:r w:rsidRPr="00616F4F">
              <w:rPr>
                <w:rFonts w:cs="Arial"/>
                <w:b w:val="0"/>
                <w:sz w:val="18"/>
                <w:szCs w:val="18"/>
              </w:rPr>
              <w:t>211 Other Connective Tissue Disease</w:t>
            </w:r>
          </w:p>
        </w:tc>
        <w:tc>
          <w:tcPr>
            <w:tcW w:w="797" w:type="pct"/>
            <w:noWrap/>
            <w:hideMark/>
          </w:tcPr>
          <w:p w14:paraId="56CBA9A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-0.063</w:t>
            </w:r>
          </w:p>
        </w:tc>
        <w:tc>
          <w:tcPr>
            <w:tcW w:w="715" w:type="pct"/>
            <w:noWrap/>
            <w:hideMark/>
          </w:tcPr>
          <w:p w14:paraId="5E38DE6F"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0.004</w:t>
            </w:r>
          </w:p>
        </w:tc>
        <w:tc>
          <w:tcPr>
            <w:tcW w:w="715" w:type="pct"/>
            <w:noWrap/>
            <w:hideMark/>
          </w:tcPr>
          <w:p w14:paraId="46BA35F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-14.580</w:t>
            </w:r>
          </w:p>
        </w:tc>
        <w:tc>
          <w:tcPr>
            <w:tcW w:w="635" w:type="pct"/>
            <w:noWrap/>
            <w:hideMark/>
          </w:tcPr>
          <w:p w14:paraId="70B454C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067C5BCF"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30BD715" w14:textId="77777777" w:rsidR="00B64822" w:rsidRPr="00616F4F" w:rsidRDefault="00B64822" w:rsidP="00864863">
            <w:pPr>
              <w:rPr>
                <w:rFonts w:cs="Arial"/>
                <w:b w:val="0"/>
                <w:sz w:val="18"/>
                <w:szCs w:val="18"/>
              </w:rPr>
            </w:pPr>
            <w:r w:rsidRPr="00616F4F">
              <w:rPr>
                <w:rFonts w:cs="Arial"/>
                <w:b w:val="0"/>
                <w:sz w:val="18"/>
                <w:szCs w:val="18"/>
              </w:rPr>
              <w:t xml:space="preserve">212 Other Bone Disease And </w:t>
            </w:r>
            <w:proofErr w:type="spellStart"/>
            <w:r w:rsidRPr="00616F4F">
              <w:rPr>
                <w:rFonts w:cs="Arial"/>
                <w:b w:val="0"/>
                <w:sz w:val="18"/>
                <w:szCs w:val="18"/>
              </w:rPr>
              <w:t>Musculoskelet</w:t>
            </w:r>
            <w:proofErr w:type="spellEnd"/>
          </w:p>
        </w:tc>
        <w:tc>
          <w:tcPr>
            <w:tcW w:w="797" w:type="pct"/>
            <w:noWrap/>
            <w:hideMark/>
          </w:tcPr>
          <w:p w14:paraId="7846F75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-0.023</w:t>
            </w:r>
          </w:p>
        </w:tc>
        <w:tc>
          <w:tcPr>
            <w:tcW w:w="715" w:type="pct"/>
            <w:noWrap/>
            <w:hideMark/>
          </w:tcPr>
          <w:p w14:paraId="558B1BE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0.011</w:t>
            </w:r>
          </w:p>
        </w:tc>
        <w:tc>
          <w:tcPr>
            <w:tcW w:w="715" w:type="pct"/>
            <w:noWrap/>
            <w:hideMark/>
          </w:tcPr>
          <w:p w14:paraId="54BB056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-2.060</w:t>
            </w:r>
          </w:p>
        </w:tc>
        <w:tc>
          <w:tcPr>
            <w:tcW w:w="635" w:type="pct"/>
            <w:noWrap/>
            <w:hideMark/>
          </w:tcPr>
          <w:p w14:paraId="25CA092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0.040</w:t>
            </w:r>
          </w:p>
        </w:tc>
      </w:tr>
      <w:tr w:rsidR="00B64822" w:rsidRPr="00616F4F" w14:paraId="6EB0965A"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BDAD097" w14:textId="77777777" w:rsidR="00B64822" w:rsidRPr="00616F4F" w:rsidRDefault="00B64822" w:rsidP="00864863">
            <w:pPr>
              <w:rPr>
                <w:rFonts w:cs="Arial"/>
                <w:b w:val="0"/>
                <w:sz w:val="18"/>
                <w:szCs w:val="18"/>
              </w:rPr>
            </w:pPr>
            <w:r w:rsidRPr="00616F4F">
              <w:rPr>
                <w:rFonts w:cs="Arial"/>
                <w:b w:val="0"/>
                <w:sz w:val="18"/>
                <w:szCs w:val="18"/>
              </w:rPr>
              <w:t>215 Genitourinary Congenital Anomalies</w:t>
            </w:r>
          </w:p>
        </w:tc>
        <w:tc>
          <w:tcPr>
            <w:tcW w:w="797" w:type="pct"/>
            <w:noWrap/>
            <w:hideMark/>
          </w:tcPr>
          <w:p w14:paraId="44811A2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-0.007</w:t>
            </w:r>
          </w:p>
        </w:tc>
        <w:tc>
          <w:tcPr>
            <w:tcW w:w="715" w:type="pct"/>
            <w:noWrap/>
            <w:hideMark/>
          </w:tcPr>
          <w:p w14:paraId="27D445C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0.015</w:t>
            </w:r>
          </w:p>
        </w:tc>
        <w:tc>
          <w:tcPr>
            <w:tcW w:w="715" w:type="pct"/>
            <w:noWrap/>
            <w:hideMark/>
          </w:tcPr>
          <w:p w14:paraId="158571F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-0.480</w:t>
            </w:r>
          </w:p>
        </w:tc>
        <w:tc>
          <w:tcPr>
            <w:tcW w:w="635" w:type="pct"/>
            <w:noWrap/>
            <w:hideMark/>
          </w:tcPr>
          <w:p w14:paraId="3B7274BD"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0.634</w:t>
            </w:r>
          </w:p>
        </w:tc>
      </w:tr>
      <w:tr w:rsidR="00B64822" w:rsidRPr="00616F4F" w14:paraId="1944EDA7"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784E253" w14:textId="77777777" w:rsidR="00B64822" w:rsidRPr="00616F4F" w:rsidRDefault="00B64822" w:rsidP="00864863">
            <w:pPr>
              <w:rPr>
                <w:rFonts w:cs="Arial"/>
                <w:b w:val="0"/>
                <w:sz w:val="18"/>
                <w:szCs w:val="18"/>
              </w:rPr>
            </w:pPr>
            <w:r w:rsidRPr="00616F4F">
              <w:rPr>
                <w:rFonts w:cs="Arial"/>
                <w:b w:val="0"/>
                <w:sz w:val="18"/>
                <w:szCs w:val="18"/>
              </w:rPr>
              <w:lastRenderedPageBreak/>
              <w:t>217 Other Congenital Anomalies</w:t>
            </w:r>
          </w:p>
        </w:tc>
        <w:tc>
          <w:tcPr>
            <w:tcW w:w="797" w:type="pct"/>
            <w:noWrap/>
            <w:hideMark/>
          </w:tcPr>
          <w:p w14:paraId="0FEB45B9"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-0.005</w:t>
            </w:r>
          </w:p>
        </w:tc>
        <w:tc>
          <w:tcPr>
            <w:tcW w:w="715" w:type="pct"/>
            <w:noWrap/>
            <w:hideMark/>
          </w:tcPr>
          <w:p w14:paraId="4FDE8D3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0.021</w:t>
            </w:r>
          </w:p>
        </w:tc>
        <w:tc>
          <w:tcPr>
            <w:tcW w:w="715" w:type="pct"/>
            <w:noWrap/>
            <w:hideMark/>
          </w:tcPr>
          <w:p w14:paraId="27DB797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-0.230</w:t>
            </w:r>
          </w:p>
        </w:tc>
        <w:tc>
          <w:tcPr>
            <w:tcW w:w="635" w:type="pct"/>
            <w:noWrap/>
            <w:hideMark/>
          </w:tcPr>
          <w:p w14:paraId="29D00DA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0.819</w:t>
            </w:r>
          </w:p>
        </w:tc>
      </w:tr>
      <w:tr w:rsidR="00B64822" w:rsidRPr="00616F4F" w14:paraId="5CB6E02F"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45DDE50" w14:textId="77777777" w:rsidR="00B64822" w:rsidRPr="00616F4F" w:rsidRDefault="00B64822" w:rsidP="00864863">
            <w:pPr>
              <w:rPr>
                <w:rFonts w:cs="Arial"/>
                <w:b w:val="0"/>
                <w:sz w:val="18"/>
                <w:szCs w:val="18"/>
              </w:rPr>
            </w:pPr>
            <w:r w:rsidRPr="00616F4F">
              <w:rPr>
                <w:rFonts w:cs="Arial"/>
                <w:b w:val="0"/>
                <w:sz w:val="18"/>
                <w:szCs w:val="18"/>
              </w:rPr>
              <w:t>227 Spinal Cord Injury</w:t>
            </w:r>
          </w:p>
        </w:tc>
        <w:tc>
          <w:tcPr>
            <w:tcW w:w="797" w:type="pct"/>
            <w:noWrap/>
            <w:hideMark/>
          </w:tcPr>
          <w:p w14:paraId="202650D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-0.170</w:t>
            </w:r>
          </w:p>
        </w:tc>
        <w:tc>
          <w:tcPr>
            <w:tcW w:w="715" w:type="pct"/>
            <w:noWrap/>
            <w:hideMark/>
          </w:tcPr>
          <w:p w14:paraId="78F847A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0.051</w:t>
            </w:r>
          </w:p>
        </w:tc>
        <w:tc>
          <w:tcPr>
            <w:tcW w:w="715" w:type="pct"/>
            <w:noWrap/>
            <w:hideMark/>
          </w:tcPr>
          <w:p w14:paraId="67E0F18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-3.350</w:t>
            </w:r>
          </w:p>
        </w:tc>
        <w:tc>
          <w:tcPr>
            <w:tcW w:w="635" w:type="pct"/>
            <w:noWrap/>
            <w:hideMark/>
          </w:tcPr>
          <w:p w14:paraId="3B9EECF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0.001</w:t>
            </w:r>
          </w:p>
        </w:tc>
      </w:tr>
      <w:tr w:rsidR="00B64822" w:rsidRPr="00616F4F" w14:paraId="0FACA6EC"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6EC35DF0" w14:textId="77777777" w:rsidR="00B64822" w:rsidRPr="00616F4F" w:rsidRDefault="00B64822" w:rsidP="00864863">
            <w:pPr>
              <w:rPr>
                <w:rFonts w:cs="Arial"/>
                <w:b w:val="0"/>
                <w:sz w:val="18"/>
                <w:szCs w:val="18"/>
              </w:rPr>
            </w:pPr>
            <w:r w:rsidRPr="00616F4F">
              <w:rPr>
                <w:rFonts w:cs="Arial"/>
                <w:b w:val="0"/>
                <w:sz w:val="18"/>
                <w:szCs w:val="18"/>
              </w:rPr>
              <w:t>245 Syncope</w:t>
            </w:r>
          </w:p>
        </w:tc>
        <w:tc>
          <w:tcPr>
            <w:tcW w:w="797" w:type="pct"/>
            <w:noWrap/>
            <w:hideMark/>
          </w:tcPr>
          <w:p w14:paraId="57F7AB7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-0.004</w:t>
            </w:r>
          </w:p>
        </w:tc>
        <w:tc>
          <w:tcPr>
            <w:tcW w:w="715" w:type="pct"/>
            <w:noWrap/>
            <w:hideMark/>
          </w:tcPr>
          <w:p w14:paraId="537A9215"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0.011</w:t>
            </w:r>
          </w:p>
        </w:tc>
        <w:tc>
          <w:tcPr>
            <w:tcW w:w="715" w:type="pct"/>
            <w:noWrap/>
            <w:hideMark/>
          </w:tcPr>
          <w:p w14:paraId="204307E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-0.350</w:t>
            </w:r>
          </w:p>
        </w:tc>
        <w:tc>
          <w:tcPr>
            <w:tcW w:w="635" w:type="pct"/>
            <w:noWrap/>
            <w:hideMark/>
          </w:tcPr>
          <w:p w14:paraId="4692B4FB"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0.727</w:t>
            </w:r>
          </w:p>
        </w:tc>
      </w:tr>
      <w:tr w:rsidR="00B64822" w:rsidRPr="00616F4F" w14:paraId="3F2F27BA" w14:textId="77777777" w:rsidTr="006C491B">
        <w:trPr>
          <w:cnfStyle w:val="000000100000" w:firstRow="0" w:lastRow="0" w:firstColumn="0" w:lastColumn="0" w:oddVBand="0" w:evenVBand="0" w:oddHBand="1" w:evenHBand="0" w:firstRowFirstColumn="0" w:firstRowLastColumn="0" w:lastRowFirstColumn="0" w:lastRowLastColumn="0"/>
          <w:trHeight w:hRule="exact" w:val="625"/>
        </w:trPr>
        <w:tc>
          <w:tcPr>
            <w:cnfStyle w:val="001000000000" w:firstRow="0" w:lastRow="0" w:firstColumn="1" w:lastColumn="0" w:oddVBand="0" w:evenVBand="0" w:oddHBand="0" w:evenHBand="0" w:firstRowFirstColumn="0" w:firstRowLastColumn="0" w:lastRowFirstColumn="0" w:lastRowLastColumn="0"/>
            <w:tcW w:w="2138" w:type="pct"/>
            <w:noWrap/>
          </w:tcPr>
          <w:p w14:paraId="6D8C5C36" w14:textId="77777777" w:rsidR="00B64822" w:rsidRPr="00616F4F" w:rsidRDefault="00B64822" w:rsidP="00864863">
            <w:pPr>
              <w:rPr>
                <w:rFonts w:cs="Arial"/>
                <w:b w:val="0"/>
                <w:sz w:val="18"/>
                <w:szCs w:val="18"/>
              </w:rPr>
            </w:pPr>
            <w:r w:rsidRPr="00616F4F">
              <w:rPr>
                <w:rFonts w:cs="Arial"/>
                <w:b w:val="0"/>
                <w:sz w:val="18"/>
                <w:szCs w:val="18"/>
              </w:rPr>
              <w:t>QALY reductions for more than 2 comorbidities (</w:t>
            </w:r>
            <w:proofErr w:type="spellStart"/>
            <w:r w:rsidRPr="00616F4F">
              <w:rPr>
                <w:rFonts w:cs="Arial"/>
                <w:b w:val="0"/>
                <w:sz w:val="18"/>
                <w:szCs w:val="18"/>
              </w:rPr>
              <w:t>c</w:t>
            </w:r>
            <w:r w:rsidRPr="00616F4F">
              <w:rPr>
                <w:rFonts w:cs="Arial"/>
                <w:b w:val="0"/>
                <w:sz w:val="18"/>
                <w:szCs w:val="18"/>
                <w:vertAlign w:val="subscript"/>
              </w:rPr>
              <w:t>ih</w:t>
            </w:r>
            <w:proofErr w:type="spellEnd"/>
            <w:r w:rsidRPr="00616F4F">
              <w:rPr>
                <w:rFonts w:cs="Arial"/>
                <w:b w:val="0"/>
                <w:sz w:val="18"/>
                <w:szCs w:val="18"/>
              </w:rPr>
              <w:t>)</w:t>
            </w:r>
          </w:p>
        </w:tc>
        <w:tc>
          <w:tcPr>
            <w:tcW w:w="797" w:type="pct"/>
            <w:noWrap/>
          </w:tcPr>
          <w:p w14:paraId="3CBA717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715" w:type="pct"/>
            <w:noWrap/>
          </w:tcPr>
          <w:p w14:paraId="579FA0C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715" w:type="pct"/>
            <w:noWrap/>
          </w:tcPr>
          <w:p w14:paraId="21E87F4A"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635" w:type="pct"/>
            <w:noWrap/>
          </w:tcPr>
          <w:p w14:paraId="6F67F0CD"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B64822" w:rsidRPr="00616F4F" w14:paraId="6BFB7F41"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0F13D940" w14:textId="77777777" w:rsidR="00B64822" w:rsidRPr="00616F4F" w:rsidRDefault="00B64822" w:rsidP="00864863">
            <w:pPr>
              <w:rPr>
                <w:rFonts w:cs="Arial"/>
                <w:b w:val="0"/>
                <w:sz w:val="18"/>
                <w:szCs w:val="18"/>
              </w:rPr>
            </w:pPr>
            <w:r w:rsidRPr="00616F4F">
              <w:rPr>
                <w:rFonts w:cs="Arial"/>
                <w:b w:val="0"/>
                <w:sz w:val="18"/>
                <w:szCs w:val="18"/>
              </w:rPr>
              <w:t xml:space="preserve">2 concomitant comorbidities </w:t>
            </w:r>
          </w:p>
        </w:tc>
        <w:tc>
          <w:tcPr>
            <w:tcW w:w="797" w:type="pct"/>
            <w:noWrap/>
            <w:hideMark/>
          </w:tcPr>
          <w:p w14:paraId="07821517"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-0.061</w:t>
            </w:r>
          </w:p>
        </w:tc>
        <w:tc>
          <w:tcPr>
            <w:tcW w:w="715" w:type="pct"/>
            <w:noWrap/>
            <w:hideMark/>
          </w:tcPr>
          <w:p w14:paraId="246FC69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0.008</w:t>
            </w:r>
          </w:p>
        </w:tc>
        <w:tc>
          <w:tcPr>
            <w:tcW w:w="715" w:type="pct"/>
            <w:noWrap/>
            <w:hideMark/>
          </w:tcPr>
          <w:p w14:paraId="6F230B7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-7.610</w:t>
            </w:r>
          </w:p>
        </w:tc>
        <w:tc>
          <w:tcPr>
            <w:tcW w:w="635" w:type="pct"/>
            <w:noWrap/>
            <w:hideMark/>
          </w:tcPr>
          <w:p w14:paraId="2E7AAD7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51F1E3E4"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A4DE2FE" w14:textId="77777777" w:rsidR="00B64822" w:rsidRPr="00616F4F" w:rsidRDefault="00B64822" w:rsidP="00864863">
            <w:pPr>
              <w:rPr>
                <w:rFonts w:cs="Arial"/>
                <w:b w:val="0"/>
                <w:sz w:val="18"/>
                <w:szCs w:val="18"/>
              </w:rPr>
            </w:pPr>
            <w:r w:rsidRPr="00616F4F">
              <w:rPr>
                <w:rFonts w:cs="Arial"/>
                <w:b w:val="0"/>
                <w:sz w:val="18"/>
                <w:szCs w:val="18"/>
              </w:rPr>
              <w:t>3 concomitant comorbidities</w:t>
            </w:r>
          </w:p>
        </w:tc>
        <w:tc>
          <w:tcPr>
            <w:tcW w:w="797" w:type="pct"/>
            <w:noWrap/>
            <w:hideMark/>
          </w:tcPr>
          <w:p w14:paraId="0909F6EE"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-0.067</w:t>
            </w:r>
          </w:p>
        </w:tc>
        <w:tc>
          <w:tcPr>
            <w:tcW w:w="715" w:type="pct"/>
            <w:noWrap/>
            <w:hideMark/>
          </w:tcPr>
          <w:p w14:paraId="5E52B4F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0.010</w:t>
            </w:r>
          </w:p>
        </w:tc>
        <w:tc>
          <w:tcPr>
            <w:tcW w:w="715" w:type="pct"/>
            <w:noWrap/>
            <w:hideMark/>
          </w:tcPr>
          <w:p w14:paraId="25F563E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-6.750</w:t>
            </w:r>
          </w:p>
        </w:tc>
        <w:tc>
          <w:tcPr>
            <w:tcW w:w="635" w:type="pct"/>
            <w:noWrap/>
            <w:hideMark/>
          </w:tcPr>
          <w:p w14:paraId="5205D47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1D990022"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47C09465" w14:textId="77777777" w:rsidR="00B64822" w:rsidRPr="00616F4F" w:rsidRDefault="00B64822" w:rsidP="00864863">
            <w:pPr>
              <w:rPr>
                <w:rFonts w:cs="Arial"/>
                <w:b w:val="0"/>
                <w:sz w:val="18"/>
                <w:szCs w:val="18"/>
              </w:rPr>
            </w:pPr>
            <w:r w:rsidRPr="00616F4F">
              <w:rPr>
                <w:rFonts w:cs="Arial"/>
                <w:b w:val="0"/>
                <w:sz w:val="18"/>
                <w:szCs w:val="18"/>
              </w:rPr>
              <w:t>4 concomitant comorbidities</w:t>
            </w:r>
          </w:p>
        </w:tc>
        <w:tc>
          <w:tcPr>
            <w:tcW w:w="797" w:type="pct"/>
            <w:noWrap/>
            <w:hideMark/>
          </w:tcPr>
          <w:p w14:paraId="4209B61E"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-0.043</w:t>
            </w:r>
          </w:p>
        </w:tc>
        <w:tc>
          <w:tcPr>
            <w:tcW w:w="715" w:type="pct"/>
            <w:noWrap/>
            <w:hideMark/>
          </w:tcPr>
          <w:p w14:paraId="099C650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0.012</w:t>
            </w:r>
          </w:p>
        </w:tc>
        <w:tc>
          <w:tcPr>
            <w:tcW w:w="715" w:type="pct"/>
            <w:noWrap/>
            <w:hideMark/>
          </w:tcPr>
          <w:p w14:paraId="4FDDA0D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-3.690</w:t>
            </w:r>
          </w:p>
        </w:tc>
        <w:tc>
          <w:tcPr>
            <w:tcW w:w="635" w:type="pct"/>
            <w:noWrap/>
            <w:hideMark/>
          </w:tcPr>
          <w:p w14:paraId="0470B213"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r w:rsidR="00B64822" w:rsidRPr="00616F4F" w14:paraId="5F764795"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11A6EC20" w14:textId="77777777" w:rsidR="00B64822" w:rsidRPr="00616F4F" w:rsidRDefault="00B64822" w:rsidP="00864863">
            <w:pPr>
              <w:rPr>
                <w:rFonts w:cs="Arial"/>
                <w:b w:val="0"/>
                <w:sz w:val="18"/>
                <w:szCs w:val="18"/>
              </w:rPr>
            </w:pPr>
            <w:r w:rsidRPr="00616F4F">
              <w:rPr>
                <w:rFonts w:cs="Arial"/>
                <w:b w:val="0"/>
                <w:sz w:val="18"/>
                <w:szCs w:val="18"/>
              </w:rPr>
              <w:t>5 concomitant comorbidities</w:t>
            </w:r>
          </w:p>
        </w:tc>
        <w:tc>
          <w:tcPr>
            <w:tcW w:w="797" w:type="pct"/>
            <w:noWrap/>
            <w:hideMark/>
          </w:tcPr>
          <w:p w14:paraId="4BBD3DF3"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-0.029</w:t>
            </w:r>
          </w:p>
        </w:tc>
        <w:tc>
          <w:tcPr>
            <w:tcW w:w="715" w:type="pct"/>
            <w:noWrap/>
            <w:hideMark/>
          </w:tcPr>
          <w:p w14:paraId="35FE6134"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0.015</w:t>
            </w:r>
          </w:p>
        </w:tc>
        <w:tc>
          <w:tcPr>
            <w:tcW w:w="715" w:type="pct"/>
            <w:noWrap/>
            <w:hideMark/>
          </w:tcPr>
          <w:p w14:paraId="7AE3DE2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-1.870</w:t>
            </w:r>
          </w:p>
        </w:tc>
        <w:tc>
          <w:tcPr>
            <w:tcW w:w="635" w:type="pct"/>
            <w:noWrap/>
            <w:hideMark/>
          </w:tcPr>
          <w:p w14:paraId="12CD9AD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0.061</w:t>
            </w:r>
          </w:p>
        </w:tc>
      </w:tr>
      <w:tr w:rsidR="00B64822" w:rsidRPr="00616F4F" w14:paraId="7B28456F"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7A517D6" w14:textId="77777777" w:rsidR="00B64822" w:rsidRPr="00616F4F" w:rsidRDefault="00B64822" w:rsidP="00864863">
            <w:pPr>
              <w:rPr>
                <w:rFonts w:cs="Arial"/>
                <w:b w:val="0"/>
                <w:sz w:val="18"/>
                <w:szCs w:val="18"/>
              </w:rPr>
            </w:pPr>
            <w:r w:rsidRPr="00616F4F">
              <w:rPr>
                <w:rFonts w:cs="Arial"/>
                <w:b w:val="0"/>
                <w:sz w:val="18"/>
                <w:szCs w:val="18"/>
              </w:rPr>
              <w:t>6 concomitant comorbidities</w:t>
            </w:r>
          </w:p>
        </w:tc>
        <w:tc>
          <w:tcPr>
            <w:tcW w:w="797" w:type="pct"/>
            <w:noWrap/>
            <w:hideMark/>
          </w:tcPr>
          <w:p w14:paraId="73905E7B"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-0.005</w:t>
            </w:r>
          </w:p>
        </w:tc>
        <w:tc>
          <w:tcPr>
            <w:tcW w:w="715" w:type="pct"/>
            <w:noWrap/>
            <w:hideMark/>
          </w:tcPr>
          <w:p w14:paraId="04858A8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0.018</w:t>
            </w:r>
          </w:p>
        </w:tc>
        <w:tc>
          <w:tcPr>
            <w:tcW w:w="715" w:type="pct"/>
            <w:noWrap/>
            <w:hideMark/>
          </w:tcPr>
          <w:p w14:paraId="1220EC10"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-0.270</w:t>
            </w:r>
          </w:p>
        </w:tc>
        <w:tc>
          <w:tcPr>
            <w:tcW w:w="635" w:type="pct"/>
            <w:noWrap/>
            <w:hideMark/>
          </w:tcPr>
          <w:p w14:paraId="140CD51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0.787</w:t>
            </w:r>
          </w:p>
        </w:tc>
      </w:tr>
      <w:tr w:rsidR="00B64822" w:rsidRPr="00616F4F" w14:paraId="3EB0D118"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52FCB001" w14:textId="77777777" w:rsidR="00B64822" w:rsidRPr="00616F4F" w:rsidRDefault="00B64822" w:rsidP="00864863">
            <w:pPr>
              <w:rPr>
                <w:rFonts w:cs="Arial"/>
                <w:b w:val="0"/>
                <w:sz w:val="18"/>
                <w:szCs w:val="18"/>
              </w:rPr>
            </w:pPr>
            <w:r w:rsidRPr="00616F4F">
              <w:rPr>
                <w:rFonts w:cs="Arial"/>
                <w:b w:val="0"/>
                <w:sz w:val="18"/>
                <w:szCs w:val="18"/>
              </w:rPr>
              <w:t>7 concomitant comorbidities</w:t>
            </w:r>
          </w:p>
        </w:tc>
        <w:tc>
          <w:tcPr>
            <w:tcW w:w="797" w:type="pct"/>
            <w:noWrap/>
            <w:hideMark/>
          </w:tcPr>
          <w:p w14:paraId="42F8F9CB"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0.024</w:t>
            </w:r>
          </w:p>
        </w:tc>
        <w:tc>
          <w:tcPr>
            <w:tcW w:w="715" w:type="pct"/>
            <w:noWrap/>
            <w:hideMark/>
          </w:tcPr>
          <w:p w14:paraId="6493BC0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0.019</w:t>
            </w:r>
          </w:p>
        </w:tc>
        <w:tc>
          <w:tcPr>
            <w:tcW w:w="715" w:type="pct"/>
            <w:noWrap/>
            <w:hideMark/>
          </w:tcPr>
          <w:p w14:paraId="12A07BB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1.260</w:t>
            </w:r>
          </w:p>
        </w:tc>
        <w:tc>
          <w:tcPr>
            <w:tcW w:w="635" w:type="pct"/>
            <w:noWrap/>
            <w:hideMark/>
          </w:tcPr>
          <w:p w14:paraId="31B6A692"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0.209</w:t>
            </w:r>
          </w:p>
        </w:tc>
      </w:tr>
      <w:tr w:rsidR="00B64822" w:rsidRPr="00616F4F" w14:paraId="512CA5C1"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05263D5" w14:textId="77777777" w:rsidR="00B64822" w:rsidRPr="00616F4F" w:rsidRDefault="00B64822" w:rsidP="00864863">
            <w:pPr>
              <w:rPr>
                <w:rFonts w:cs="Arial"/>
                <w:b w:val="0"/>
                <w:sz w:val="18"/>
                <w:szCs w:val="18"/>
              </w:rPr>
            </w:pPr>
            <w:r w:rsidRPr="00616F4F">
              <w:rPr>
                <w:rFonts w:cs="Arial"/>
                <w:b w:val="0"/>
                <w:sz w:val="18"/>
                <w:szCs w:val="18"/>
              </w:rPr>
              <w:t>8 concomitant comorbidities</w:t>
            </w:r>
          </w:p>
        </w:tc>
        <w:tc>
          <w:tcPr>
            <w:tcW w:w="797" w:type="pct"/>
            <w:noWrap/>
            <w:hideMark/>
          </w:tcPr>
          <w:p w14:paraId="13CC9B41"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0.039</w:t>
            </w:r>
          </w:p>
        </w:tc>
        <w:tc>
          <w:tcPr>
            <w:tcW w:w="715" w:type="pct"/>
            <w:noWrap/>
            <w:hideMark/>
          </w:tcPr>
          <w:p w14:paraId="2B6CBAEC"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0.022</w:t>
            </w:r>
          </w:p>
        </w:tc>
        <w:tc>
          <w:tcPr>
            <w:tcW w:w="715" w:type="pct"/>
            <w:noWrap/>
            <w:hideMark/>
          </w:tcPr>
          <w:p w14:paraId="054BACF4"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1.790</w:t>
            </w:r>
          </w:p>
        </w:tc>
        <w:tc>
          <w:tcPr>
            <w:tcW w:w="635" w:type="pct"/>
            <w:noWrap/>
            <w:hideMark/>
          </w:tcPr>
          <w:p w14:paraId="4336CF7A"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0.073</w:t>
            </w:r>
          </w:p>
        </w:tc>
      </w:tr>
      <w:tr w:rsidR="00B64822" w:rsidRPr="00616F4F" w14:paraId="517C4EAB" w14:textId="77777777" w:rsidTr="006C491B">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38DFAFD6" w14:textId="77777777" w:rsidR="00B64822" w:rsidRPr="00616F4F" w:rsidRDefault="00B64822" w:rsidP="00864863">
            <w:pPr>
              <w:rPr>
                <w:rFonts w:cs="Arial"/>
                <w:b w:val="0"/>
                <w:sz w:val="18"/>
                <w:szCs w:val="18"/>
              </w:rPr>
            </w:pPr>
            <w:r w:rsidRPr="00616F4F">
              <w:rPr>
                <w:rFonts w:cs="Arial"/>
                <w:b w:val="0"/>
                <w:sz w:val="18"/>
                <w:szCs w:val="18"/>
              </w:rPr>
              <w:t>9 concomitant comorbidities</w:t>
            </w:r>
          </w:p>
        </w:tc>
        <w:tc>
          <w:tcPr>
            <w:tcW w:w="797" w:type="pct"/>
            <w:noWrap/>
            <w:hideMark/>
          </w:tcPr>
          <w:p w14:paraId="78696C98"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0.044</w:t>
            </w:r>
          </w:p>
        </w:tc>
        <w:tc>
          <w:tcPr>
            <w:tcW w:w="715" w:type="pct"/>
            <w:noWrap/>
            <w:hideMark/>
          </w:tcPr>
          <w:p w14:paraId="7F780AD6"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0.025</w:t>
            </w:r>
          </w:p>
        </w:tc>
        <w:tc>
          <w:tcPr>
            <w:tcW w:w="715" w:type="pct"/>
            <w:noWrap/>
            <w:hideMark/>
          </w:tcPr>
          <w:p w14:paraId="3B44AB41"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1.770</w:t>
            </w:r>
          </w:p>
        </w:tc>
        <w:tc>
          <w:tcPr>
            <w:tcW w:w="635" w:type="pct"/>
            <w:noWrap/>
            <w:hideMark/>
          </w:tcPr>
          <w:p w14:paraId="546AABA9" w14:textId="77777777" w:rsidR="00B64822" w:rsidRPr="00616F4F" w:rsidRDefault="00B64822" w:rsidP="00864863">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616F4F">
              <w:rPr>
                <w:rFonts w:cs="Arial"/>
                <w:sz w:val="18"/>
                <w:szCs w:val="18"/>
              </w:rPr>
              <w:t>0.076</w:t>
            </w:r>
          </w:p>
        </w:tc>
      </w:tr>
      <w:tr w:rsidR="00B64822" w:rsidRPr="00616F4F" w14:paraId="4B10D06E" w14:textId="77777777" w:rsidTr="006C491B">
        <w:trPr>
          <w:trHeight w:hRule="exact" w:val="227"/>
        </w:trPr>
        <w:tc>
          <w:tcPr>
            <w:cnfStyle w:val="001000000000" w:firstRow="0" w:lastRow="0" w:firstColumn="1" w:lastColumn="0" w:oddVBand="0" w:evenVBand="0" w:oddHBand="0" w:evenHBand="0" w:firstRowFirstColumn="0" w:firstRowLastColumn="0" w:lastRowFirstColumn="0" w:lastRowLastColumn="0"/>
            <w:tcW w:w="2138" w:type="pct"/>
            <w:noWrap/>
            <w:hideMark/>
          </w:tcPr>
          <w:p w14:paraId="28E2CA44" w14:textId="77777777" w:rsidR="00B64822" w:rsidRPr="00616F4F" w:rsidRDefault="00B64822" w:rsidP="00864863">
            <w:pPr>
              <w:rPr>
                <w:rFonts w:cs="Arial"/>
                <w:b w:val="0"/>
                <w:sz w:val="18"/>
                <w:szCs w:val="18"/>
              </w:rPr>
            </w:pPr>
            <w:r w:rsidRPr="00616F4F">
              <w:rPr>
                <w:rFonts w:cs="Arial"/>
                <w:b w:val="0"/>
                <w:sz w:val="18"/>
                <w:szCs w:val="18"/>
              </w:rPr>
              <w:t>10 or more concomitant comorbidities</w:t>
            </w:r>
          </w:p>
        </w:tc>
        <w:tc>
          <w:tcPr>
            <w:tcW w:w="797" w:type="pct"/>
            <w:noWrap/>
            <w:hideMark/>
          </w:tcPr>
          <w:p w14:paraId="1F766BD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0.100</w:t>
            </w:r>
          </w:p>
        </w:tc>
        <w:tc>
          <w:tcPr>
            <w:tcW w:w="715" w:type="pct"/>
            <w:noWrap/>
            <w:hideMark/>
          </w:tcPr>
          <w:p w14:paraId="1D150356"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0.029</w:t>
            </w:r>
          </w:p>
        </w:tc>
        <w:tc>
          <w:tcPr>
            <w:tcW w:w="715" w:type="pct"/>
            <w:noWrap/>
            <w:hideMark/>
          </w:tcPr>
          <w:p w14:paraId="4A2DABFF"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3.510</w:t>
            </w:r>
          </w:p>
        </w:tc>
        <w:tc>
          <w:tcPr>
            <w:tcW w:w="635" w:type="pct"/>
            <w:noWrap/>
            <w:hideMark/>
          </w:tcPr>
          <w:p w14:paraId="552C207D" w14:textId="77777777" w:rsidR="00B64822" w:rsidRPr="00616F4F" w:rsidRDefault="00B64822" w:rsidP="0086486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616F4F">
              <w:rPr>
                <w:rFonts w:cs="Arial"/>
                <w:sz w:val="18"/>
                <w:szCs w:val="18"/>
              </w:rPr>
              <w:t>0.000</w:t>
            </w:r>
          </w:p>
        </w:tc>
      </w:tr>
    </w:tbl>
    <w:p w14:paraId="6F2786E4" w14:textId="77777777" w:rsidR="008A6E90" w:rsidRPr="00616F4F" w:rsidRDefault="008A6E90">
      <w:pPr>
        <w:spacing w:after="160" w:line="259" w:lineRule="auto"/>
        <w:rPr>
          <w:sz w:val="18"/>
          <w:szCs w:val="18"/>
        </w:rPr>
      </w:pPr>
    </w:p>
    <w:p w14:paraId="5F18E580" w14:textId="5A6EC998" w:rsidR="00904FCA" w:rsidRPr="00616F4F" w:rsidRDefault="008A6E90">
      <w:pPr>
        <w:spacing w:after="160" w:line="259" w:lineRule="auto"/>
        <w:rPr>
          <w:rFonts w:cs="Arial"/>
          <w:sz w:val="18"/>
          <w:szCs w:val="18"/>
        </w:rPr>
      </w:pPr>
      <w:r w:rsidRPr="00616F4F">
        <w:rPr>
          <w:rFonts w:cs="Arial"/>
          <w:sz w:val="18"/>
          <w:szCs w:val="18"/>
        </w:rPr>
        <w:t>Note: we only use quality-of-life reductions that are statistically significant</w:t>
      </w:r>
    </w:p>
    <w:p w14:paraId="1A37ACFA" w14:textId="77777777" w:rsidR="00F34451" w:rsidRPr="00616F4F" w:rsidRDefault="00F34451">
      <w:pPr>
        <w:spacing w:after="160" w:line="259" w:lineRule="auto"/>
        <w:rPr>
          <w:sz w:val="18"/>
          <w:szCs w:val="18"/>
        </w:rPr>
        <w:sectPr w:rsidR="00F34451" w:rsidRPr="00616F4F" w:rsidSect="00B64822">
          <w:pgSz w:w="11906" w:h="16838"/>
          <w:pgMar w:top="1440" w:right="1440" w:bottom="1440" w:left="1440" w:header="708" w:footer="708" w:gutter="0"/>
          <w:cols w:space="708"/>
          <w:docGrid w:linePitch="360"/>
        </w:sectPr>
      </w:pPr>
    </w:p>
    <w:p w14:paraId="6AE8B758" w14:textId="33973AF3" w:rsidR="00282CCB" w:rsidRPr="00616F4F" w:rsidRDefault="00282CCB" w:rsidP="00C9658D">
      <w:pPr>
        <w:pStyle w:val="Heading2"/>
        <w:rPr>
          <w:rFonts w:asciiTheme="minorHAnsi" w:hAnsiTheme="minorHAnsi" w:cs="Arial"/>
          <w:sz w:val="22"/>
          <w:szCs w:val="22"/>
        </w:rPr>
      </w:pPr>
      <w:bookmarkStart w:id="27" w:name="_Toc457312923"/>
      <w:r w:rsidRPr="00616F4F">
        <w:rPr>
          <w:rFonts w:asciiTheme="minorHAnsi" w:hAnsiTheme="minorHAnsi" w:cs="Arial"/>
          <w:sz w:val="22"/>
          <w:szCs w:val="22"/>
        </w:rPr>
        <w:lastRenderedPageBreak/>
        <w:t xml:space="preserve">Table </w:t>
      </w:r>
      <w:r w:rsidR="00635E43" w:rsidRPr="00616F4F">
        <w:rPr>
          <w:rFonts w:asciiTheme="minorHAnsi" w:hAnsiTheme="minorHAnsi" w:cs="Arial"/>
          <w:sz w:val="22"/>
          <w:szCs w:val="22"/>
        </w:rPr>
        <w:t>S</w:t>
      </w:r>
      <w:r w:rsidR="00635E43">
        <w:rPr>
          <w:rFonts w:asciiTheme="minorHAnsi" w:hAnsiTheme="minorHAnsi" w:cs="Arial"/>
          <w:sz w:val="22"/>
          <w:szCs w:val="22"/>
        </w:rPr>
        <w:t>DC</w:t>
      </w:r>
      <w:r w:rsidR="00892AA4">
        <w:rPr>
          <w:rFonts w:asciiTheme="minorHAnsi" w:hAnsiTheme="minorHAnsi" w:cs="Arial"/>
          <w:sz w:val="22"/>
          <w:szCs w:val="22"/>
        </w:rPr>
        <w:t>9</w:t>
      </w:r>
      <w:r w:rsidRPr="00616F4F">
        <w:rPr>
          <w:rFonts w:asciiTheme="minorHAnsi" w:hAnsiTheme="minorHAnsi" w:cs="Arial"/>
          <w:sz w:val="22"/>
          <w:szCs w:val="22"/>
        </w:rPr>
        <w:t>: Life expectancy and healthy life expectancy remaining, by age</w:t>
      </w:r>
      <w:r w:rsidR="00C9658D" w:rsidRPr="00616F4F">
        <w:rPr>
          <w:rFonts w:asciiTheme="minorHAnsi" w:hAnsiTheme="minorHAnsi" w:cs="Arial"/>
          <w:sz w:val="22"/>
          <w:szCs w:val="22"/>
        </w:rPr>
        <w:t>-</w:t>
      </w:r>
      <w:r w:rsidRPr="00616F4F">
        <w:rPr>
          <w:rFonts w:asciiTheme="minorHAnsi" w:hAnsiTheme="minorHAnsi" w:cs="Arial"/>
          <w:sz w:val="22"/>
          <w:szCs w:val="22"/>
        </w:rPr>
        <w:t>group</w:t>
      </w:r>
      <w:bookmarkEnd w:id="27"/>
    </w:p>
    <w:p w14:paraId="67BF6795" w14:textId="77777777" w:rsidR="00C9658D" w:rsidRPr="00616F4F" w:rsidRDefault="00C9658D" w:rsidP="00C9658D">
      <w:pPr>
        <w:rPr>
          <w:rFonts w:cs="Times New Roman"/>
          <w:sz w:val="18"/>
          <w:szCs w:val="18"/>
        </w:rPr>
      </w:pPr>
    </w:p>
    <w:tbl>
      <w:tblPr>
        <w:tblStyle w:val="GridTable4-Accent12"/>
        <w:tblW w:w="13989" w:type="dxa"/>
        <w:tblLook w:val="04A0" w:firstRow="1" w:lastRow="0" w:firstColumn="1" w:lastColumn="0" w:noHBand="0" w:noVBand="1"/>
      </w:tblPr>
      <w:tblGrid>
        <w:gridCol w:w="1190"/>
        <w:gridCol w:w="1279"/>
        <w:gridCol w:w="830"/>
        <w:gridCol w:w="1090"/>
        <w:gridCol w:w="830"/>
        <w:gridCol w:w="1090"/>
        <w:gridCol w:w="1140"/>
        <w:gridCol w:w="780"/>
        <w:gridCol w:w="1140"/>
        <w:gridCol w:w="780"/>
        <w:gridCol w:w="960"/>
        <w:gridCol w:w="960"/>
        <w:gridCol w:w="960"/>
        <w:gridCol w:w="960"/>
      </w:tblGrid>
      <w:tr w:rsidR="00282CCB" w:rsidRPr="00616F4F" w14:paraId="3048F157" w14:textId="77777777" w:rsidTr="006C491B">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190" w:type="dxa"/>
            <w:noWrap/>
            <w:vAlign w:val="center"/>
            <w:hideMark/>
          </w:tcPr>
          <w:p w14:paraId="2123973D" w14:textId="77777777" w:rsidR="00282CCB" w:rsidRPr="00616F4F" w:rsidRDefault="00282CCB" w:rsidP="00282CCB">
            <w:pPr>
              <w:spacing w:after="0" w:line="240" w:lineRule="auto"/>
              <w:jc w:val="center"/>
              <w:rPr>
                <w:rFonts w:eastAsia="Times New Roman" w:cs="Arial"/>
                <w:sz w:val="18"/>
                <w:szCs w:val="18"/>
              </w:rPr>
            </w:pPr>
            <w:proofErr w:type="spellStart"/>
            <w:r w:rsidRPr="00616F4F">
              <w:rPr>
                <w:rFonts w:eastAsia="Times New Roman" w:cs="Arial"/>
                <w:sz w:val="18"/>
                <w:szCs w:val="18"/>
              </w:rPr>
              <w:t>Agegroups</w:t>
            </w:r>
            <w:proofErr w:type="spellEnd"/>
          </w:p>
        </w:tc>
        <w:tc>
          <w:tcPr>
            <w:tcW w:w="1279" w:type="dxa"/>
            <w:noWrap/>
            <w:vAlign w:val="center"/>
            <w:hideMark/>
          </w:tcPr>
          <w:p w14:paraId="6D6DB6C1" w14:textId="77777777" w:rsidR="00282CCB" w:rsidRPr="00616F4F" w:rsidRDefault="00282CCB" w:rsidP="00282C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Life expectancy (remaining)</w:t>
            </w:r>
          </w:p>
        </w:tc>
        <w:tc>
          <w:tcPr>
            <w:tcW w:w="1920" w:type="dxa"/>
            <w:gridSpan w:val="2"/>
            <w:noWrap/>
            <w:vAlign w:val="center"/>
            <w:hideMark/>
          </w:tcPr>
          <w:p w14:paraId="250901C7" w14:textId="77777777" w:rsidR="00282CCB" w:rsidRPr="00616F4F" w:rsidRDefault="00282CCB" w:rsidP="00282C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Death in low-mortality HRG</w:t>
            </w:r>
          </w:p>
        </w:tc>
        <w:tc>
          <w:tcPr>
            <w:tcW w:w="1920" w:type="dxa"/>
            <w:gridSpan w:val="2"/>
            <w:noWrap/>
            <w:vAlign w:val="center"/>
            <w:hideMark/>
          </w:tcPr>
          <w:p w14:paraId="6595E5EA" w14:textId="77777777" w:rsidR="00282CCB" w:rsidRPr="00616F4F" w:rsidRDefault="00282CCB" w:rsidP="00282C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Pressure Ulcer</w:t>
            </w:r>
          </w:p>
        </w:tc>
        <w:tc>
          <w:tcPr>
            <w:tcW w:w="1920" w:type="dxa"/>
            <w:gridSpan w:val="2"/>
            <w:noWrap/>
            <w:vAlign w:val="center"/>
            <w:hideMark/>
          </w:tcPr>
          <w:p w14:paraId="42A22BCF" w14:textId="77777777" w:rsidR="00282CCB" w:rsidRPr="00616F4F" w:rsidRDefault="00282CCB" w:rsidP="00282C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Central-line infections</w:t>
            </w:r>
          </w:p>
        </w:tc>
        <w:tc>
          <w:tcPr>
            <w:tcW w:w="1920" w:type="dxa"/>
            <w:gridSpan w:val="2"/>
            <w:noWrap/>
            <w:vAlign w:val="center"/>
            <w:hideMark/>
          </w:tcPr>
          <w:p w14:paraId="627769F5" w14:textId="77777777" w:rsidR="00282CCB" w:rsidRPr="00616F4F" w:rsidRDefault="00282CCB" w:rsidP="00282C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Hip fracture</w:t>
            </w:r>
          </w:p>
        </w:tc>
        <w:tc>
          <w:tcPr>
            <w:tcW w:w="1920" w:type="dxa"/>
            <w:gridSpan w:val="2"/>
            <w:noWrap/>
            <w:vAlign w:val="center"/>
            <w:hideMark/>
          </w:tcPr>
          <w:p w14:paraId="27730A08" w14:textId="6D540597" w:rsidR="00282CCB" w:rsidRPr="00616F4F" w:rsidRDefault="00282CCB" w:rsidP="00282C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616F4F">
              <w:rPr>
                <w:rFonts w:eastAsia="Times New Roman" w:cs="Arial"/>
                <w:sz w:val="18"/>
                <w:szCs w:val="18"/>
              </w:rPr>
              <w:t>DVT/PE</w:t>
            </w:r>
          </w:p>
        </w:tc>
        <w:tc>
          <w:tcPr>
            <w:tcW w:w="1920" w:type="dxa"/>
            <w:gridSpan w:val="2"/>
            <w:noWrap/>
            <w:vAlign w:val="center"/>
            <w:hideMark/>
          </w:tcPr>
          <w:p w14:paraId="5D76C3F8" w14:textId="7F38BE2A" w:rsidR="00282CCB" w:rsidRPr="00616F4F" w:rsidRDefault="00282CCB" w:rsidP="00282C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sz w:val="18"/>
                <w:szCs w:val="18"/>
              </w:rPr>
              <w:t>Sepsis</w:t>
            </w:r>
          </w:p>
        </w:tc>
      </w:tr>
      <w:tr w:rsidR="006C491B" w:rsidRPr="00616F4F" w14:paraId="34D806D4" w14:textId="77777777" w:rsidTr="006C49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190" w:type="dxa"/>
            <w:noWrap/>
            <w:hideMark/>
          </w:tcPr>
          <w:p w14:paraId="795F64D4" w14:textId="77777777" w:rsidR="00282CCB" w:rsidRPr="00616F4F" w:rsidRDefault="00282CCB" w:rsidP="00282CCB">
            <w:pPr>
              <w:spacing w:after="0" w:line="240" w:lineRule="auto"/>
              <w:rPr>
                <w:rFonts w:eastAsia="Times New Roman" w:cs="Arial"/>
                <w:sz w:val="18"/>
                <w:szCs w:val="18"/>
              </w:rPr>
            </w:pPr>
          </w:p>
        </w:tc>
        <w:tc>
          <w:tcPr>
            <w:tcW w:w="1279" w:type="dxa"/>
            <w:noWrap/>
            <w:hideMark/>
          </w:tcPr>
          <w:p w14:paraId="5BAC0B21" w14:textId="77777777" w:rsidR="00282CCB" w:rsidRPr="00616F4F" w:rsidRDefault="00282CCB" w:rsidP="00282CC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p>
        </w:tc>
        <w:tc>
          <w:tcPr>
            <w:tcW w:w="830" w:type="dxa"/>
            <w:noWrap/>
            <w:hideMark/>
          </w:tcPr>
          <w:p w14:paraId="7233E367"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090" w:type="dxa"/>
            <w:noWrap/>
            <w:hideMark/>
          </w:tcPr>
          <w:p w14:paraId="4BA7CE45" w14:textId="55776158"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830" w:type="dxa"/>
            <w:noWrap/>
            <w:hideMark/>
          </w:tcPr>
          <w:p w14:paraId="7FA0FD9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1090" w:type="dxa"/>
            <w:noWrap/>
            <w:hideMark/>
          </w:tcPr>
          <w:p w14:paraId="5E2E53FD" w14:textId="6CD96A2C"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1140" w:type="dxa"/>
            <w:noWrap/>
            <w:hideMark/>
          </w:tcPr>
          <w:p w14:paraId="3258F6BD"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780" w:type="dxa"/>
            <w:noWrap/>
            <w:hideMark/>
          </w:tcPr>
          <w:p w14:paraId="19FE84BB" w14:textId="663A7D54"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1140" w:type="dxa"/>
            <w:noWrap/>
            <w:hideMark/>
          </w:tcPr>
          <w:p w14:paraId="5436CC21"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780" w:type="dxa"/>
            <w:noWrap/>
            <w:hideMark/>
          </w:tcPr>
          <w:p w14:paraId="5541F1CB" w14:textId="60409326"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960" w:type="dxa"/>
            <w:noWrap/>
            <w:hideMark/>
          </w:tcPr>
          <w:p w14:paraId="5DE5D07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960" w:type="dxa"/>
            <w:noWrap/>
            <w:hideMark/>
          </w:tcPr>
          <w:p w14:paraId="547C19C9" w14:textId="7177AF58"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c>
          <w:tcPr>
            <w:tcW w:w="960" w:type="dxa"/>
            <w:noWrap/>
            <w:hideMark/>
          </w:tcPr>
          <w:p w14:paraId="37F60DB6"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Mean</w:t>
            </w:r>
          </w:p>
        </w:tc>
        <w:tc>
          <w:tcPr>
            <w:tcW w:w="960" w:type="dxa"/>
            <w:noWrap/>
            <w:hideMark/>
          </w:tcPr>
          <w:p w14:paraId="7578C2D9" w14:textId="5B553B8F"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SD</w:t>
            </w:r>
          </w:p>
        </w:tc>
      </w:tr>
      <w:tr w:rsidR="00282CCB" w:rsidRPr="00616F4F" w14:paraId="624BD4C2"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5E8AC091" w14:textId="77777777" w:rsidR="00282CCB" w:rsidRPr="00616F4F" w:rsidRDefault="00282CCB" w:rsidP="00282CCB">
            <w:pPr>
              <w:spacing w:after="0" w:line="240" w:lineRule="auto"/>
              <w:rPr>
                <w:rFonts w:eastAsia="Times New Roman" w:cs="Arial"/>
                <w:color w:val="000000"/>
                <w:sz w:val="18"/>
                <w:szCs w:val="18"/>
              </w:rPr>
            </w:pPr>
            <w:r w:rsidRPr="00616F4F">
              <w:rPr>
                <w:rFonts w:eastAsia="Times New Roman" w:cs="Arial"/>
                <w:color w:val="000000"/>
                <w:sz w:val="18"/>
                <w:szCs w:val="18"/>
              </w:rPr>
              <w:t>20-30</w:t>
            </w:r>
          </w:p>
        </w:tc>
        <w:tc>
          <w:tcPr>
            <w:tcW w:w="1279" w:type="dxa"/>
            <w:noWrap/>
            <w:hideMark/>
          </w:tcPr>
          <w:p w14:paraId="0C0A5472" w14:textId="77777777" w:rsidR="00282CCB" w:rsidRPr="00616F4F" w:rsidRDefault="00282CCB" w:rsidP="00282CC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LE</w:t>
            </w:r>
          </w:p>
        </w:tc>
        <w:tc>
          <w:tcPr>
            <w:tcW w:w="830" w:type="dxa"/>
            <w:noWrap/>
            <w:hideMark/>
          </w:tcPr>
          <w:p w14:paraId="03563DC2"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55.7</w:t>
            </w:r>
          </w:p>
        </w:tc>
        <w:tc>
          <w:tcPr>
            <w:tcW w:w="1090" w:type="dxa"/>
            <w:noWrap/>
            <w:hideMark/>
          </w:tcPr>
          <w:p w14:paraId="1E8BF2A0"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w:t>
            </w:r>
          </w:p>
        </w:tc>
        <w:tc>
          <w:tcPr>
            <w:tcW w:w="830" w:type="dxa"/>
            <w:noWrap/>
            <w:hideMark/>
          </w:tcPr>
          <w:p w14:paraId="79E7B1F9"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55.4</w:t>
            </w:r>
          </w:p>
        </w:tc>
        <w:tc>
          <w:tcPr>
            <w:tcW w:w="1090" w:type="dxa"/>
            <w:noWrap/>
            <w:hideMark/>
          </w:tcPr>
          <w:p w14:paraId="48A39318"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w:t>
            </w:r>
          </w:p>
        </w:tc>
        <w:tc>
          <w:tcPr>
            <w:tcW w:w="1140" w:type="dxa"/>
            <w:noWrap/>
            <w:hideMark/>
          </w:tcPr>
          <w:p w14:paraId="464EE073"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56.4</w:t>
            </w:r>
          </w:p>
        </w:tc>
        <w:tc>
          <w:tcPr>
            <w:tcW w:w="780" w:type="dxa"/>
            <w:noWrap/>
            <w:hideMark/>
          </w:tcPr>
          <w:p w14:paraId="5B0588B9"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w:t>
            </w:r>
          </w:p>
        </w:tc>
        <w:tc>
          <w:tcPr>
            <w:tcW w:w="1140" w:type="dxa"/>
            <w:noWrap/>
            <w:hideMark/>
          </w:tcPr>
          <w:p w14:paraId="7E5AFF17"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57.3</w:t>
            </w:r>
          </w:p>
        </w:tc>
        <w:tc>
          <w:tcPr>
            <w:tcW w:w="780" w:type="dxa"/>
            <w:noWrap/>
            <w:hideMark/>
          </w:tcPr>
          <w:p w14:paraId="03F9060D"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w:t>
            </w:r>
          </w:p>
        </w:tc>
        <w:tc>
          <w:tcPr>
            <w:tcW w:w="960" w:type="dxa"/>
            <w:noWrap/>
            <w:hideMark/>
          </w:tcPr>
          <w:p w14:paraId="0369DB65"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55.5</w:t>
            </w:r>
          </w:p>
        </w:tc>
        <w:tc>
          <w:tcPr>
            <w:tcW w:w="960" w:type="dxa"/>
            <w:noWrap/>
            <w:hideMark/>
          </w:tcPr>
          <w:p w14:paraId="0F126DCA"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3.2</w:t>
            </w:r>
          </w:p>
        </w:tc>
        <w:tc>
          <w:tcPr>
            <w:tcW w:w="960" w:type="dxa"/>
            <w:noWrap/>
            <w:hideMark/>
          </w:tcPr>
          <w:p w14:paraId="510A856B"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55.4</w:t>
            </w:r>
          </w:p>
        </w:tc>
        <w:tc>
          <w:tcPr>
            <w:tcW w:w="960" w:type="dxa"/>
            <w:noWrap/>
            <w:hideMark/>
          </w:tcPr>
          <w:p w14:paraId="1BAD4C10"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3.0</w:t>
            </w:r>
          </w:p>
        </w:tc>
      </w:tr>
      <w:tr w:rsidR="006C491B" w:rsidRPr="00616F4F" w14:paraId="3C392B6A"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122DF33E" w14:textId="77777777" w:rsidR="00282CCB" w:rsidRPr="00616F4F" w:rsidRDefault="00282CCB" w:rsidP="00282CCB">
            <w:pPr>
              <w:spacing w:after="0" w:line="240" w:lineRule="auto"/>
              <w:jc w:val="right"/>
              <w:rPr>
                <w:rFonts w:eastAsia="Times New Roman" w:cs="Arial"/>
                <w:color w:val="000000"/>
                <w:sz w:val="18"/>
                <w:szCs w:val="18"/>
              </w:rPr>
            </w:pPr>
          </w:p>
        </w:tc>
        <w:tc>
          <w:tcPr>
            <w:tcW w:w="1279" w:type="dxa"/>
            <w:noWrap/>
            <w:hideMark/>
          </w:tcPr>
          <w:p w14:paraId="07D9400F" w14:textId="77777777" w:rsidR="00282CCB" w:rsidRPr="00616F4F" w:rsidRDefault="00282CCB" w:rsidP="00282CC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HLE</w:t>
            </w:r>
          </w:p>
        </w:tc>
        <w:tc>
          <w:tcPr>
            <w:tcW w:w="830" w:type="dxa"/>
            <w:noWrap/>
            <w:hideMark/>
          </w:tcPr>
          <w:p w14:paraId="347B2B35"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34.4</w:t>
            </w:r>
          </w:p>
        </w:tc>
        <w:tc>
          <w:tcPr>
            <w:tcW w:w="1090" w:type="dxa"/>
            <w:noWrap/>
            <w:hideMark/>
          </w:tcPr>
          <w:p w14:paraId="74356D16"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2.4</w:t>
            </w:r>
          </w:p>
        </w:tc>
        <w:tc>
          <w:tcPr>
            <w:tcW w:w="830" w:type="dxa"/>
            <w:noWrap/>
            <w:hideMark/>
          </w:tcPr>
          <w:p w14:paraId="40A6E738"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32.1</w:t>
            </w:r>
          </w:p>
        </w:tc>
        <w:tc>
          <w:tcPr>
            <w:tcW w:w="1090" w:type="dxa"/>
            <w:noWrap/>
            <w:hideMark/>
          </w:tcPr>
          <w:p w14:paraId="5E011D7E"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w:t>
            </w:r>
          </w:p>
        </w:tc>
        <w:tc>
          <w:tcPr>
            <w:tcW w:w="1140" w:type="dxa"/>
            <w:noWrap/>
            <w:hideMark/>
          </w:tcPr>
          <w:p w14:paraId="6BD555EB"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33.5</w:t>
            </w:r>
          </w:p>
        </w:tc>
        <w:tc>
          <w:tcPr>
            <w:tcW w:w="780" w:type="dxa"/>
            <w:noWrap/>
            <w:hideMark/>
          </w:tcPr>
          <w:p w14:paraId="724E0ED4"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2.4</w:t>
            </w:r>
          </w:p>
        </w:tc>
        <w:tc>
          <w:tcPr>
            <w:tcW w:w="1140" w:type="dxa"/>
            <w:noWrap/>
            <w:hideMark/>
          </w:tcPr>
          <w:p w14:paraId="379BE1F6"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30.4</w:t>
            </w:r>
          </w:p>
        </w:tc>
        <w:tc>
          <w:tcPr>
            <w:tcW w:w="780" w:type="dxa"/>
            <w:noWrap/>
            <w:hideMark/>
          </w:tcPr>
          <w:p w14:paraId="72387973"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w:t>
            </w:r>
          </w:p>
        </w:tc>
        <w:tc>
          <w:tcPr>
            <w:tcW w:w="960" w:type="dxa"/>
            <w:noWrap/>
            <w:hideMark/>
          </w:tcPr>
          <w:p w14:paraId="7B981DDF"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34.0</w:t>
            </w:r>
          </w:p>
        </w:tc>
        <w:tc>
          <w:tcPr>
            <w:tcW w:w="960" w:type="dxa"/>
            <w:noWrap/>
            <w:hideMark/>
          </w:tcPr>
          <w:p w14:paraId="15BEDFD6"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w:t>
            </w:r>
          </w:p>
        </w:tc>
        <w:tc>
          <w:tcPr>
            <w:tcW w:w="960" w:type="dxa"/>
            <w:noWrap/>
            <w:hideMark/>
          </w:tcPr>
          <w:p w14:paraId="569DD6E7"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31.6</w:t>
            </w:r>
          </w:p>
        </w:tc>
        <w:tc>
          <w:tcPr>
            <w:tcW w:w="960" w:type="dxa"/>
            <w:noWrap/>
            <w:hideMark/>
          </w:tcPr>
          <w:p w14:paraId="004A44A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w:t>
            </w:r>
          </w:p>
        </w:tc>
      </w:tr>
      <w:tr w:rsidR="00282CCB" w:rsidRPr="00616F4F" w14:paraId="3FA2551A"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78434C6F" w14:textId="77777777" w:rsidR="00282CCB" w:rsidRPr="00616F4F" w:rsidRDefault="00282CCB" w:rsidP="00282CCB">
            <w:pPr>
              <w:spacing w:after="0" w:line="240" w:lineRule="auto"/>
              <w:rPr>
                <w:rFonts w:eastAsia="Times New Roman" w:cs="Arial"/>
                <w:color w:val="000000"/>
                <w:sz w:val="18"/>
                <w:szCs w:val="18"/>
              </w:rPr>
            </w:pPr>
            <w:r w:rsidRPr="00616F4F">
              <w:rPr>
                <w:rFonts w:eastAsia="Times New Roman" w:cs="Arial"/>
                <w:color w:val="000000"/>
                <w:sz w:val="18"/>
                <w:szCs w:val="18"/>
              </w:rPr>
              <w:t>30-40</w:t>
            </w:r>
          </w:p>
        </w:tc>
        <w:tc>
          <w:tcPr>
            <w:tcW w:w="1279" w:type="dxa"/>
            <w:noWrap/>
            <w:hideMark/>
          </w:tcPr>
          <w:p w14:paraId="48D83F20" w14:textId="77777777" w:rsidR="00282CCB" w:rsidRPr="00616F4F" w:rsidRDefault="00282CCB" w:rsidP="00282CC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LE</w:t>
            </w:r>
          </w:p>
        </w:tc>
        <w:tc>
          <w:tcPr>
            <w:tcW w:w="830" w:type="dxa"/>
            <w:noWrap/>
            <w:hideMark/>
          </w:tcPr>
          <w:p w14:paraId="2AFA91C2"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47.0</w:t>
            </w:r>
          </w:p>
        </w:tc>
        <w:tc>
          <w:tcPr>
            <w:tcW w:w="1090" w:type="dxa"/>
            <w:noWrap/>
            <w:hideMark/>
          </w:tcPr>
          <w:p w14:paraId="69B67EDD"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3.6</w:t>
            </w:r>
          </w:p>
        </w:tc>
        <w:tc>
          <w:tcPr>
            <w:tcW w:w="830" w:type="dxa"/>
            <w:noWrap/>
            <w:hideMark/>
          </w:tcPr>
          <w:p w14:paraId="192DD7C1"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46.2</w:t>
            </w:r>
          </w:p>
        </w:tc>
        <w:tc>
          <w:tcPr>
            <w:tcW w:w="1090" w:type="dxa"/>
            <w:noWrap/>
            <w:hideMark/>
          </w:tcPr>
          <w:p w14:paraId="0EBAB712"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w:t>
            </w:r>
          </w:p>
        </w:tc>
        <w:tc>
          <w:tcPr>
            <w:tcW w:w="1140" w:type="dxa"/>
            <w:noWrap/>
            <w:hideMark/>
          </w:tcPr>
          <w:p w14:paraId="2C0DEA9B"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47.1</w:t>
            </w:r>
          </w:p>
        </w:tc>
        <w:tc>
          <w:tcPr>
            <w:tcW w:w="780" w:type="dxa"/>
            <w:noWrap/>
            <w:hideMark/>
          </w:tcPr>
          <w:p w14:paraId="2CEE1793"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w:t>
            </w:r>
          </w:p>
        </w:tc>
        <w:tc>
          <w:tcPr>
            <w:tcW w:w="1140" w:type="dxa"/>
            <w:noWrap/>
            <w:hideMark/>
          </w:tcPr>
          <w:p w14:paraId="450B1F05"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46.6</w:t>
            </w:r>
          </w:p>
        </w:tc>
        <w:tc>
          <w:tcPr>
            <w:tcW w:w="780" w:type="dxa"/>
            <w:noWrap/>
            <w:hideMark/>
          </w:tcPr>
          <w:p w14:paraId="56B1DAA2"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w:t>
            </w:r>
          </w:p>
        </w:tc>
        <w:tc>
          <w:tcPr>
            <w:tcW w:w="960" w:type="dxa"/>
            <w:noWrap/>
            <w:hideMark/>
          </w:tcPr>
          <w:p w14:paraId="001D4E33"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46.1</w:t>
            </w:r>
          </w:p>
        </w:tc>
        <w:tc>
          <w:tcPr>
            <w:tcW w:w="960" w:type="dxa"/>
            <w:noWrap/>
            <w:hideMark/>
          </w:tcPr>
          <w:p w14:paraId="7F4DA9BB"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w:t>
            </w:r>
          </w:p>
        </w:tc>
        <w:tc>
          <w:tcPr>
            <w:tcW w:w="960" w:type="dxa"/>
            <w:noWrap/>
            <w:hideMark/>
          </w:tcPr>
          <w:p w14:paraId="61755568"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46.4</w:t>
            </w:r>
          </w:p>
        </w:tc>
        <w:tc>
          <w:tcPr>
            <w:tcW w:w="960" w:type="dxa"/>
            <w:noWrap/>
            <w:hideMark/>
          </w:tcPr>
          <w:p w14:paraId="6D5A635A"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w:t>
            </w:r>
          </w:p>
        </w:tc>
      </w:tr>
      <w:tr w:rsidR="006C491B" w:rsidRPr="00616F4F" w14:paraId="56FE8091"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51A7A561" w14:textId="77777777" w:rsidR="00282CCB" w:rsidRPr="00616F4F" w:rsidRDefault="00282CCB" w:rsidP="00282CCB">
            <w:pPr>
              <w:spacing w:after="0" w:line="240" w:lineRule="auto"/>
              <w:jc w:val="right"/>
              <w:rPr>
                <w:rFonts w:eastAsia="Times New Roman" w:cs="Arial"/>
                <w:color w:val="000000"/>
                <w:sz w:val="18"/>
                <w:szCs w:val="18"/>
              </w:rPr>
            </w:pPr>
          </w:p>
        </w:tc>
        <w:tc>
          <w:tcPr>
            <w:tcW w:w="1279" w:type="dxa"/>
            <w:noWrap/>
            <w:hideMark/>
          </w:tcPr>
          <w:p w14:paraId="27805966" w14:textId="77777777" w:rsidR="00282CCB" w:rsidRPr="00616F4F" w:rsidRDefault="00282CCB" w:rsidP="00282CC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HLE</w:t>
            </w:r>
          </w:p>
        </w:tc>
        <w:tc>
          <w:tcPr>
            <w:tcW w:w="830" w:type="dxa"/>
            <w:noWrap/>
            <w:hideMark/>
          </w:tcPr>
          <w:p w14:paraId="01F26BC2"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27.2</w:t>
            </w:r>
          </w:p>
        </w:tc>
        <w:tc>
          <w:tcPr>
            <w:tcW w:w="1090" w:type="dxa"/>
            <w:noWrap/>
            <w:hideMark/>
          </w:tcPr>
          <w:p w14:paraId="4C1CB2D0"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2.6</w:t>
            </w:r>
          </w:p>
        </w:tc>
        <w:tc>
          <w:tcPr>
            <w:tcW w:w="830" w:type="dxa"/>
            <w:noWrap/>
            <w:hideMark/>
          </w:tcPr>
          <w:p w14:paraId="0404BE65"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25.0</w:t>
            </w:r>
          </w:p>
        </w:tc>
        <w:tc>
          <w:tcPr>
            <w:tcW w:w="1090" w:type="dxa"/>
            <w:noWrap/>
            <w:hideMark/>
          </w:tcPr>
          <w:p w14:paraId="4508D13A"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w:t>
            </w:r>
          </w:p>
        </w:tc>
        <w:tc>
          <w:tcPr>
            <w:tcW w:w="1140" w:type="dxa"/>
            <w:noWrap/>
            <w:hideMark/>
          </w:tcPr>
          <w:p w14:paraId="7E4F822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26.0</w:t>
            </w:r>
          </w:p>
        </w:tc>
        <w:tc>
          <w:tcPr>
            <w:tcW w:w="780" w:type="dxa"/>
            <w:noWrap/>
            <w:hideMark/>
          </w:tcPr>
          <w:p w14:paraId="4B41C599"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2.4</w:t>
            </w:r>
          </w:p>
        </w:tc>
        <w:tc>
          <w:tcPr>
            <w:tcW w:w="1140" w:type="dxa"/>
            <w:noWrap/>
            <w:hideMark/>
          </w:tcPr>
          <w:p w14:paraId="354662E9"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25.3</w:t>
            </w:r>
          </w:p>
        </w:tc>
        <w:tc>
          <w:tcPr>
            <w:tcW w:w="780" w:type="dxa"/>
            <w:noWrap/>
            <w:hideMark/>
          </w:tcPr>
          <w:p w14:paraId="684D66C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w:t>
            </w:r>
          </w:p>
        </w:tc>
        <w:tc>
          <w:tcPr>
            <w:tcW w:w="960" w:type="dxa"/>
            <w:noWrap/>
            <w:hideMark/>
          </w:tcPr>
          <w:p w14:paraId="7C6D9E5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26.7</w:t>
            </w:r>
          </w:p>
        </w:tc>
        <w:tc>
          <w:tcPr>
            <w:tcW w:w="960" w:type="dxa"/>
            <w:noWrap/>
            <w:hideMark/>
          </w:tcPr>
          <w:p w14:paraId="1461321A"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w:t>
            </w:r>
          </w:p>
        </w:tc>
        <w:tc>
          <w:tcPr>
            <w:tcW w:w="960" w:type="dxa"/>
            <w:noWrap/>
            <w:hideMark/>
          </w:tcPr>
          <w:p w14:paraId="6FCBBA87"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24.8</w:t>
            </w:r>
          </w:p>
        </w:tc>
        <w:tc>
          <w:tcPr>
            <w:tcW w:w="960" w:type="dxa"/>
            <w:noWrap/>
            <w:hideMark/>
          </w:tcPr>
          <w:p w14:paraId="75BFB7E3"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w:t>
            </w:r>
          </w:p>
        </w:tc>
      </w:tr>
      <w:tr w:rsidR="00282CCB" w:rsidRPr="00616F4F" w14:paraId="53782793"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7C971350" w14:textId="77777777" w:rsidR="00282CCB" w:rsidRPr="00616F4F" w:rsidRDefault="00282CCB" w:rsidP="00282CCB">
            <w:pPr>
              <w:spacing w:after="0" w:line="240" w:lineRule="auto"/>
              <w:rPr>
                <w:rFonts w:eastAsia="Times New Roman" w:cs="Arial"/>
                <w:color w:val="000000"/>
                <w:sz w:val="18"/>
                <w:szCs w:val="18"/>
              </w:rPr>
            </w:pPr>
            <w:r w:rsidRPr="00616F4F">
              <w:rPr>
                <w:rFonts w:eastAsia="Times New Roman" w:cs="Arial"/>
                <w:color w:val="000000"/>
                <w:sz w:val="18"/>
                <w:szCs w:val="18"/>
              </w:rPr>
              <w:t>40-50</w:t>
            </w:r>
          </w:p>
        </w:tc>
        <w:tc>
          <w:tcPr>
            <w:tcW w:w="1279" w:type="dxa"/>
            <w:noWrap/>
            <w:hideMark/>
          </w:tcPr>
          <w:p w14:paraId="4ACCDFB2" w14:textId="77777777" w:rsidR="00282CCB" w:rsidRPr="00616F4F" w:rsidRDefault="00282CCB" w:rsidP="00282CC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LE</w:t>
            </w:r>
          </w:p>
        </w:tc>
        <w:tc>
          <w:tcPr>
            <w:tcW w:w="830" w:type="dxa"/>
            <w:noWrap/>
            <w:hideMark/>
          </w:tcPr>
          <w:p w14:paraId="30AE7E6A"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36.8</w:t>
            </w:r>
          </w:p>
        </w:tc>
        <w:tc>
          <w:tcPr>
            <w:tcW w:w="1090" w:type="dxa"/>
            <w:noWrap/>
            <w:hideMark/>
          </w:tcPr>
          <w:p w14:paraId="31347EAD"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w:t>
            </w:r>
          </w:p>
        </w:tc>
        <w:tc>
          <w:tcPr>
            <w:tcW w:w="830" w:type="dxa"/>
            <w:noWrap/>
            <w:hideMark/>
          </w:tcPr>
          <w:p w14:paraId="45EC8857"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36.6</w:t>
            </w:r>
          </w:p>
        </w:tc>
        <w:tc>
          <w:tcPr>
            <w:tcW w:w="1090" w:type="dxa"/>
            <w:noWrap/>
            <w:hideMark/>
          </w:tcPr>
          <w:p w14:paraId="1E37551D"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w:t>
            </w:r>
          </w:p>
        </w:tc>
        <w:tc>
          <w:tcPr>
            <w:tcW w:w="1140" w:type="dxa"/>
            <w:noWrap/>
            <w:hideMark/>
          </w:tcPr>
          <w:p w14:paraId="4BC8F567"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37.1</w:t>
            </w:r>
          </w:p>
        </w:tc>
        <w:tc>
          <w:tcPr>
            <w:tcW w:w="780" w:type="dxa"/>
            <w:noWrap/>
            <w:hideMark/>
          </w:tcPr>
          <w:p w14:paraId="777B4F46"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w:t>
            </w:r>
          </w:p>
        </w:tc>
        <w:tc>
          <w:tcPr>
            <w:tcW w:w="1140" w:type="dxa"/>
            <w:noWrap/>
            <w:hideMark/>
          </w:tcPr>
          <w:p w14:paraId="509D2EFC"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38.5</w:t>
            </w:r>
          </w:p>
        </w:tc>
        <w:tc>
          <w:tcPr>
            <w:tcW w:w="780" w:type="dxa"/>
            <w:noWrap/>
            <w:hideMark/>
          </w:tcPr>
          <w:p w14:paraId="39204B72"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2.9</w:t>
            </w:r>
          </w:p>
        </w:tc>
        <w:tc>
          <w:tcPr>
            <w:tcW w:w="960" w:type="dxa"/>
            <w:noWrap/>
            <w:hideMark/>
          </w:tcPr>
          <w:p w14:paraId="26FB1C59"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37.0</w:t>
            </w:r>
          </w:p>
        </w:tc>
        <w:tc>
          <w:tcPr>
            <w:tcW w:w="960" w:type="dxa"/>
            <w:noWrap/>
            <w:hideMark/>
          </w:tcPr>
          <w:p w14:paraId="0A7B4433"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w:t>
            </w:r>
          </w:p>
        </w:tc>
        <w:tc>
          <w:tcPr>
            <w:tcW w:w="960" w:type="dxa"/>
            <w:noWrap/>
            <w:hideMark/>
          </w:tcPr>
          <w:p w14:paraId="35F3FF0B"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36.8</w:t>
            </w:r>
          </w:p>
        </w:tc>
        <w:tc>
          <w:tcPr>
            <w:tcW w:w="960" w:type="dxa"/>
            <w:noWrap/>
            <w:hideMark/>
          </w:tcPr>
          <w:p w14:paraId="6C8C0A68"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3.4</w:t>
            </w:r>
          </w:p>
        </w:tc>
      </w:tr>
      <w:tr w:rsidR="006C491B" w:rsidRPr="00616F4F" w14:paraId="092A3450"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43930C8B" w14:textId="77777777" w:rsidR="00282CCB" w:rsidRPr="00616F4F" w:rsidRDefault="00282CCB" w:rsidP="00282CCB">
            <w:pPr>
              <w:spacing w:after="0" w:line="240" w:lineRule="auto"/>
              <w:jc w:val="right"/>
              <w:rPr>
                <w:rFonts w:eastAsia="Times New Roman" w:cs="Arial"/>
                <w:color w:val="000000"/>
                <w:sz w:val="18"/>
                <w:szCs w:val="18"/>
              </w:rPr>
            </w:pPr>
          </w:p>
        </w:tc>
        <w:tc>
          <w:tcPr>
            <w:tcW w:w="1279" w:type="dxa"/>
            <w:noWrap/>
            <w:hideMark/>
          </w:tcPr>
          <w:p w14:paraId="7B54F7AD" w14:textId="77777777" w:rsidR="00282CCB" w:rsidRPr="00616F4F" w:rsidRDefault="00282CCB" w:rsidP="00282CC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HLE</w:t>
            </w:r>
          </w:p>
        </w:tc>
        <w:tc>
          <w:tcPr>
            <w:tcW w:w="830" w:type="dxa"/>
            <w:noWrap/>
            <w:hideMark/>
          </w:tcPr>
          <w:p w14:paraId="05AE971F"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19.8</w:t>
            </w:r>
          </w:p>
        </w:tc>
        <w:tc>
          <w:tcPr>
            <w:tcW w:w="1090" w:type="dxa"/>
            <w:noWrap/>
            <w:hideMark/>
          </w:tcPr>
          <w:p w14:paraId="15E829B3"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w:t>
            </w:r>
          </w:p>
        </w:tc>
        <w:tc>
          <w:tcPr>
            <w:tcW w:w="830" w:type="dxa"/>
            <w:noWrap/>
            <w:hideMark/>
          </w:tcPr>
          <w:p w14:paraId="06947CAA"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18.4</w:t>
            </w:r>
          </w:p>
        </w:tc>
        <w:tc>
          <w:tcPr>
            <w:tcW w:w="1090" w:type="dxa"/>
            <w:noWrap/>
            <w:hideMark/>
          </w:tcPr>
          <w:p w14:paraId="097F47E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w:t>
            </w:r>
          </w:p>
        </w:tc>
        <w:tc>
          <w:tcPr>
            <w:tcW w:w="1140" w:type="dxa"/>
            <w:noWrap/>
            <w:hideMark/>
          </w:tcPr>
          <w:p w14:paraId="72F6EB1E"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19.0</w:t>
            </w:r>
          </w:p>
        </w:tc>
        <w:tc>
          <w:tcPr>
            <w:tcW w:w="780" w:type="dxa"/>
            <w:noWrap/>
            <w:hideMark/>
          </w:tcPr>
          <w:p w14:paraId="05A6DB8F"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w:t>
            </w:r>
          </w:p>
        </w:tc>
        <w:tc>
          <w:tcPr>
            <w:tcW w:w="1140" w:type="dxa"/>
            <w:noWrap/>
            <w:hideMark/>
          </w:tcPr>
          <w:p w14:paraId="6D41A196"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19.7</w:t>
            </w:r>
          </w:p>
        </w:tc>
        <w:tc>
          <w:tcPr>
            <w:tcW w:w="780" w:type="dxa"/>
            <w:noWrap/>
            <w:hideMark/>
          </w:tcPr>
          <w:p w14:paraId="09E0F0E1"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w:t>
            </w:r>
          </w:p>
        </w:tc>
        <w:tc>
          <w:tcPr>
            <w:tcW w:w="960" w:type="dxa"/>
            <w:noWrap/>
            <w:hideMark/>
          </w:tcPr>
          <w:p w14:paraId="1585A51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20.2</w:t>
            </w:r>
          </w:p>
        </w:tc>
        <w:tc>
          <w:tcPr>
            <w:tcW w:w="960" w:type="dxa"/>
            <w:noWrap/>
            <w:hideMark/>
          </w:tcPr>
          <w:p w14:paraId="431BCD95"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w:t>
            </w:r>
          </w:p>
        </w:tc>
        <w:tc>
          <w:tcPr>
            <w:tcW w:w="960" w:type="dxa"/>
            <w:noWrap/>
            <w:hideMark/>
          </w:tcPr>
          <w:p w14:paraId="1CAA9FA1"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18.2</w:t>
            </w:r>
          </w:p>
        </w:tc>
        <w:tc>
          <w:tcPr>
            <w:tcW w:w="960" w:type="dxa"/>
            <w:noWrap/>
            <w:hideMark/>
          </w:tcPr>
          <w:p w14:paraId="58BA9670"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w:t>
            </w:r>
          </w:p>
        </w:tc>
      </w:tr>
      <w:tr w:rsidR="00282CCB" w:rsidRPr="00616F4F" w14:paraId="2F7533D2"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33258A93" w14:textId="77777777" w:rsidR="00282CCB" w:rsidRPr="00616F4F" w:rsidRDefault="00282CCB" w:rsidP="00282CCB">
            <w:pPr>
              <w:spacing w:after="0" w:line="240" w:lineRule="auto"/>
              <w:rPr>
                <w:rFonts w:eastAsia="Times New Roman" w:cs="Arial"/>
                <w:color w:val="000000"/>
                <w:sz w:val="18"/>
                <w:szCs w:val="18"/>
              </w:rPr>
            </w:pPr>
            <w:r w:rsidRPr="00616F4F">
              <w:rPr>
                <w:rFonts w:eastAsia="Times New Roman" w:cs="Arial"/>
                <w:color w:val="000000"/>
                <w:sz w:val="18"/>
                <w:szCs w:val="18"/>
              </w:rPr>
              <w:t>50-60</w:t>
            </w:r>
          </w:p>
        </w:tc>
        <w:tc>
          <w:tcPr>
            <w:tcW w:w="1279" w:type="dxa"/>
            <w:noWrap/>
            <w:hideMark/>
          </w:tcPr>
          <w:p w14:paraId="4241F501" w14:textId="77777777" w:rsidR="00282CCB" w:rsidRPr="00616F4F" w:rsidRDefault="00282CCB" w:rsidP="00282CC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LE</w:t>
            </w:r>
          </w:p>
        </w:tc>
        <w:tc>
          <w:tcPr>
            <w:tcW w:w="830" w:type="dxa"/>
            <w:noWrap/>
            <w:hideMark/>
          </w:tcPr>
          <w:p w14:paraId="77610BC4"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27.0</w:t>
            </w:r>
          </w:p>
        </w:tc>
        <w:tc>
          <w:tcPr>
            <w:tcW w:w="1090" w:type="dxa"/>
            <w:noWrap/>
            <w:hideMark/>
          </w:tcPr>
          <w:p w14:paraId="610D4753"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w:t>
            </w:r>
          </w:p>
        </w:tc>
        <w:tc>
          <w:tcPr>
            <w:tcW w:w="830" w:type="dxa"/>
            <w:noWrap/>
            <w:hideMark/>
          </w:tcPr>
          <w:p w14:paraId="5576355C"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27.2</w:t>
            </w:r>
          </w:p>
        </w:tc>
        <w:tc>
          <w:tcPr>
            <w:tcW w:w="1090" w:type="dxa"/>
            <w:noWrap/>
            <w:hideMark/>
          </w:tcPr>
          <w:p w14:paraId="32E9EE14"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3.1</w:t>
            </w:r>
          </w:p>
        </w:tc>
        <w:tc>
          <w:tcPr>
            <w:tcW w:w="1140" w:type="dxa"/>
            <w:noWrap/>
            <w:hideMark/>
          </w:tcPr>
          <w:p w14:paraId="535F3F12"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27.5</w:t>
            </w:r>
          </w:p>
        </w:tc>
        <w:tc>
          <w:tcPr>
            <w:tcW w:w="780" w:type="dxa"/>
            <w:noWrap/>
            <w:hideMark/>
          </w:tcPr>
          <w:p w14:paraId="08036C29"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3.2</w:t>
            </w:r>
          </w:p>
        </w:tc>
        <w:tc>
          <w:tcPr>
            <w:tcW w:w="1140" w:type="dxa"/>
            <w:noWrap/>
            <w:hideMark/>
          </w:tcPr>
          <w:p w14:paraId="0659137A"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26.6</w:t>
            </w:r>
          </w:p>
        </w:tc>
        <w:tc>
          <w:tcPr>
            <w:tcW w:w="780" w:type="dxa"/>
            <w:noWrap/>
            <w:hideMark/>
          </w:tcPr>
          <w:p w14:paraId="224CD3BD"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2.6</w:t>
            </w:r>
          </w:p>
        </w:tc>
        <w:tc>
          <w:tcPr>
            <w:tcW w:w="960" w:type="dxa"/>
            <w:noWrap/>
            <w:hideMark/>
          </w:tcPr>
          <w:p w14:paraId="7863B7C6"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27.6</w:t>
            </w:r>
          </w:p>
        </w:tc>
        <w:tc>
          <w:tcPr>
            <w:tcW w:w="960" w:type="dxa"/>
            <w:noWrap/>
            <w:hideMark/>
          </w:tcPr>
          <w:p w14:paraId="248E1706"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3.2</w:t>
            </w:r>
          </w:p>
        </w:tc>
        <w:tc>
          <w:tcPr>
            <w:tcW w:w="960" w:type="dxa"/>
            <w:noWrap/>
            <w:hideMark/>
          </w:tcPr>
          <w:p w14:paraId="7A1610D3"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27.1</w:t>
            </w:r>
          </w:p>
        </w:tc>
        <w:tc>
          <w:tcPr>
            <w:tcW w:w="960" w:type="dxa"/>
            <w:noWrap/>
            <w:hideMark/>
          </w:tcPr>
          <w:p w14:paraId="3B907214"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3.2</w:t>
            </w:r>
          </w:p>
        </w:tc>
      </w:tr>
      <w:tr w:rsidR="006C491B" w:rsidRPr="00616F4F" w14:paraId="1F016C09"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3E51CEDD" w14:textId="77777777" w:rsidR="00282CCB" w:rsidRPr="00616F4F" w:rsidRDefault="00282CCB" w:rsidP="00282CCB">
            <w:pPr>
              <w:spacing w:after="0" w:line="240" w:lineRule="auto"/>
              <w:jc w:val="right"/>
              <w:rPr>
                <w:rFonts w:eastAsia="Times New Roman" w:cs="Arial"/>
                <w:color w:val="000000"/>
                <w:sz w:val="18"/>
                <w:szCs w:val="18"/>
              </w:rPr>
            </w:pPr>
          </w:p>
        </w:tc>
        <w:tc>
          <w:tcPr>
            <w:tcW w:w="1279" w:type="dxa"/>
            <w:noWrap/>
            <w:hideMark/>
          </w:tcPr>
          <w:p w14:paraId="6379CA60" w14:textId="77777777" w:rsidR="00282CCB" w:rsidRPr="00616F4F" w:rsidRDefault="00282CCB" w:rsidP="00282CC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HLE</w:t>
            </w:r>
          </w:p>
        </w:tc>
        <w:tc>
          <w:tcPr>
            <w:tcW w:w="830" w:type="dxa"/>
            <w:noWrap/>
            <w:hideMark/>
          </w:tcPr>
          <w:p w14:paraId="5255B9C3"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13.6</w:t>
            </w:r>
          </w:p>
        </w:tc>
        <w:tc>
          <w:tcPr>
            <w:tcW w:w="1090" w:type="dxa"/>
            <w:noWrap/>
            <w:hideMark/>
          </w:tcPr>
          <w:p w14:paraId="3DC45577"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w:t>
            </w:r>
          </w:p>
        </w:tc>
        <w:tc>
          <w:tcPr>
            <w:tcW w:w="830" w:type="dxa"/>
            <w:noWrap/>
            <w:hideMark/>
          </w:tcPr>
          <w:p w14:paraId="300F9817"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12.6</w:t>
            </w:r>
          </w:p>
        </w:tc>
        <w:tc>
          <w:tcPr>
            <w:tcW w:w="1090" w:type="dxa"/>
            <w:noWrap/>
            <w:hideMark/>
          </w:tcPr>
          <w:p w14:paraId="614A665F"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w:t>
            </w:r>
          </w:p>
        </w:tc>
        <w:tc>
          <w:tcPr>
            <w:tcW w:w="1140" w:type="dxa"/>
            <w:noWrap/>
            <w:hideMark/>
          </w:tcPr>
          <w:p w14:paraId="7E46374E"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13.1</w:t>
            </w:r>
          </w:p>
        </w:tc>
        <w:tc>
          <w:tcPr>
            <w:tcW w:w="780" w:type="dxa"/>
            <w:noWrap/>
            <w:hideMark/>
          </w:tcPr>
          <w:p w14:paraId="66C4A1A5"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w:t>
            </w:r>
          </w:p>
        </w:tc>
        <w:tc>
          <w:tcPr>
            <w:tcW w:w="1140" w:type="dxa"/>
            <w:noWrap/>
            <w:hideMark/>
          </w:tcPr>
          <w:p w14:paraId="207A2FF4"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12.6</w:t>
            </w:r>
          </w:p>
        </w:tc>
        <w:tc>
          <w:tcPr>
            <w:tcW w:w="780" w:type="dxa"/>
            <w:noWrap/>
            <w:hideMark/>
          </w:tcPr>
          <w:p w14:paraId="0A8E6488"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1.3</w:t>
            </w:r>
          </w:p>
        </w:tc>
        <w:tc>
          <w:tcPr>
            <w:tcW w:w="960" w:type="dxa"/>
            <w:noWrap/>
            <w:hideMark/>
          </w:tcPr>
          <w:p w14:paraId="13B3746D"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14.1</w:t>
            </w:r>
          </w:p>
        </w:tc>
        <w:tc>
          <w:tcPr>
            <w:tcW w:w="960" w:type="dxa"/>
            <w:noWrap/>
            <w:hideMark/>
          </w:tcPr>
          <w:p w14:paraId="668623DB"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w:t>
            </w:r>
          </w:p>
        </w:tc>
        <w:tc>
          <w:tcPr>
            <w:tcW w:w="960" w:type="dxa"/>
            <w:noWrap/>
            <w:hideMark/>
          </w:tcPr>
          <w:p w14:paraId="431A737B"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12.5</w:t>
            </w:r>
          </w:p>
        </w:tc>
        <w:tc>
          <w:tcPr>
            <w:tcW w:w="960" w:type="dxa"/>
            <w:noWrap/>
            <w:hideMark/>
          </w:tcPr>
          <w:p w14:paraId="68CD173D"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w:t>
            </w:r>
          </w:p>
        </w:tc>
      </w:tr>
      <w:tr w:rsidR="00282CCB" w:rsidRPr="00616F4F" w14:paraId="48704EF0"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149A45D3" w14:textId="77777777" w:rsidR="00282CCB" w:rsidRPr="00616F4F" w:rsidRDefault="00282CCB" w:rsidP="00282CCB">
            <w:pPr>
              <w:spacing w:after="0" w:line="240" w:lineRule="auto"/>
              <w:rPr>
                <w:rFonts w:eastAsia="Times New Roman" w:cs="Arial"/>
                <w:color w:val="000000"/>
                <w:sz w:val="18"/>
                <w:szCs w:val="18"/>
              </w:rPr>
            </w:pPr>
            <w:r w:rsidRPr="00616F4F">
              <w:rPr>
                <w:rFonts w:eastAsia="Times New Roman" w:cs="Arial"/>
                <w:color w:val="000000"/>
                <w:sz w:val="18"/>
                <w:szCs w:val="18"/>
              </w:rPr>
              <w:t>60-70</w:t>
            </w:r>
          </w:p>
        </w:tc>
        <w:tc>
          <w:tcPr>
            <w:tcW w:w="1279" w:type="dxa"/>
            <w:noWrap/>
            <w:hideMark/>
          </w:tcPr>
          <w:p w14:paraId="7D757E19" w14:textId="77777777" w:rsidR="00282CCB" w:rsidRPr="00616F4F" w:rsidRDefault="00282CCB" w:rsidP="00282CC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LE</w:t>
            </w:r>
          </w:p>
        </w:tc>
        <w:tc>
          <w:tcPr>
            <w:tcW w:w="830" w:type="dxa"/>
            <w:noWrap/>
            <w:hideMark/>
          </w:tcPr>
          <w:p w14:paraId="1F738C1B"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18.9</w:t>
            </w:r>
          </w:p>
        </w:tc>
        <w:tc>
          <w:tcPr>
            <w:tcW w:w="1090" w:type="dxa"/>
            <w:noWrap/>
            <w:hideMark/>
          </w:tcPr>
          <w:p w14:paraId="2ED2A793"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2.8</w:t>
            </w:r>
          </w:p>
        </w:tc>
        <w:tc>
          <w:tcPr>
            <w:tcW w:w="830" w:type="dxa"/>
            <w:noWrap/>
            <w:hideMark/>
          </w:tcPr>
          <w:p w14:paraId="62737BFB"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18.9</w:t>
            </w:r>
          </w:p>
        </w:tc>
        <w:tc>
          <w:tcPr>
            <w:tcW w:w="1090" w:type="dxa"/>
            <w:noWrap/>
            <w:hideMark/>
          </w:tcPr>
          <w:p w14:paraId="03683443"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2.8</w:t>
            </w:r>
          </w:p>
        </w:tc>
        <w:tc>
          <w:tcPr>
            <w:tcW w:w="1140" w:type="dxa"/>
            <w:noWrap/>
            <w:hideMark/>
          </w:tcPr>
          <w:p w14:paraId="4FA9AD47"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19.0</w:t>
            </w:r>
          </w:p>
        </w:tc>
        <w:tc>
          <w:tcPr>
            <w:tcW w:w="780" w:type="dxa"/>
            <w:noWrap/>
            <w:hideMark/>
          </w:tcPr>
          <w:p w14:paraId="3B696CD0"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2.8</w:t>
            </w:r>
          </w:p>
        </w:tc>
        <w:tc>
          <w:tcPr>
            <w:tcW w:w="1140" w:type="dxa"/>
            <w:noWrap/>
            <w:hideMark/>
          </w:tcPr>
          <w:p w14:paraId="5680303E"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19.0</w:t>
            </w:r>
          </w:p>
        </w:tc>
        <w:tc>
          <w:tcPr>
            <w:tcW w:w="780" w:type="dxa"/>
            <w:noWrap/>
            <w:hideMark/>
          </w:tcPr>
          <w:p w14:paraId="0EC79BB5"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2.8</w:t>
            </w:r>
          </w:p>
        </w:tc>
        <w:tc>
          <w:tcPr>
            <w:tcW w:w="960" w:type="dxa"/>
            <w:noWrap/>
            <w:hideMark/>
          </w:tcPr>
          <w:p w14:paraId="1AAD38C9"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19.4</w:t>
            </w:r>
          </w:p>
        </w:tc>
        <w:tc>
          <w:tcPr>
            <w:tcW w:w="960" w:type="dxa"/>
            <w:noWrap/>
            <w:hideMark/>
          </w:tcPr>
          <w:p w14:paraId="02683C2F"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2.9</w:t>
            </w:r>
          </w:p>
        </w:tc>
        <w:tc>
          <w:tcPr>
            <w:tcW w:w="960" w:type="dxa"/>
            <w:noWrap/>
            <w:hideMark/>
          </w:tcPr>
          <w:p w14:paraId="73D97D49"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19.0</w:t>
            </w:r>
          </w:p>
        </w:tc>
        <w:tc>
          <w:tcPr>
            <w:tcW w:w="960" w:type="dxa"/>
            <w:noWrap/>
            <w:hideMark/>
          </w:tcPr>
          <w:p w14:paraId="79A84BC9"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2.8</w:t>
            </w:r>
          </w:p>
        </w:tc>
      </w:tr>
      <w:tr w:rsidR="006C491B" w:rsidRPr="00616F4F" w14:paraId="2697F3AF"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17911CD7" w14:textId="77777777" w:rsidR="00282CCB" w:rsidRPr="00616F4F" w:rsidRDefault="00282CCB" w:rsidP="00282CCB">
            <w:pPr>
              <w:spacing w:after="0" w:line="240" w:lineRule="auto"/>
              <w:jc w:val="right"/>
              <w:rPr>
                <w:rFonts w:eastAsia="Times New Roman" w:cs="Arial"/>
                <w:color w:val="000000"/>
                <w:sz w:val="18"/>
                <w:szCs w:val="18"/>
              </w:rPr>
            </w:pPr>
          </w:p>
        </w:tc>
        <w:tc>
          <w:tcPr>
            <w:tcW w:w="1279" w:type="dxa"/>
            <w:noWrap/>
            <w:hideMark/>
          </w:tcPr>
          <w:p w14:paraId="350C1ACE" w14:textId="77777777" w:rsidR="00282CCB" w:rsidRPr="00616F4F" w:rsidRDefault="00282CCB" w:rsidP="00282CC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HLE</w:t>
            </w:r>
          </w:p>
        </w:tc>
        <w:tc>
          <w:tcPr>
            <w:tcW w:w="830" w:type="dxa"/>
            <w:noWrap/>
            <w:hideMark/>
          </w:tcPr>
          <w:p w14:paraId="2C6D1B3E"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8.9</w:t>
            </w:r>
          </w:p>
        </w:tc>
        <w:tc>
          <w:tcPr>
            <w:tcW w:w="1090" w:type="dxa"/>
            <w:noWrap/>
            <w:hideMark/>
          </w:tcPr>
          <w:p w14:paraId="70BADB28"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w:t>
            </w:r>
          </w:p>
        </w:tc>
        <w:tc>
          <w:tcPr>
            <w:tcW w:w="830" w:type="dxa"/>
            <w:noWrap/>
            <w:hideMark/>
          </w:tcPr>
          <w:p w14:paraId="4B76923B"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8.1</w:t>
            </w:r>
          </w:p>
        </w:tc>
        <w:tc>
          <w:tcPr>
            <w:tcW w:w="1090" w:type="dxa"/>
            <w:noWrap/>
            <w:hideMark/>
          </w:tcPr>
          <w:p w14:paraId="1ED4AF49"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c>
          <w:tcPr>
            <w:tcW w:w="1140" w:type="dxa"/>
            <w:noWrap/>
            <w:hideMark/>
          </w:tcPr>
          <w:p w14:paraId="605552CB"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8.2</w:t>
            </w:r>
          </w:p>
        </w:tc>
        <w:tc>
          <w:tcPr>
            <w:tcW w:w="780" w:type="dxa"/>
            <w:noWrap/>
            <w:hideMark/>
          </w:tcPr>
          <w:p w14:paraId="44561654"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c>
          <w:tcPr>
            <w:tcW w:w="1140" w:type="dxa"/>
            <w:noWrap/>
            <w:hideMark/>
          </w:tcPr>
          <w:p w14:paraId="35A37387"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8.4</w:t>
            </w:r>
          </w:p>
        </w:tc>
        <w:tc>
          <w:tcPr>
            <w:tcW w:w="780" w:type="dxa"/>
            <w:noWrap/>
            <w:hideMark/>
          </w:tcPr>
          <w:p w14:paraId="5A93C1CE"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c>
          <w:tcPr>
            <w:tcW w:w="960" w:type="dxa"/>
            <w:noWrap/>
            <w:hideMark/>
          </w:tcPr>
          <w:p w14:paraId="717EEBC7"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9.2</w:t>
            </w:r>
          </w:p>
        </w:tc>
        <w:tc>
          <w:tcPr>
            <w:tcW w:w="960" w:type="dxa"/>
            <w:noWrap/>
            <w:hideMark/>
          </w:tcPr>
          <w:p w14:paraId="2D28195F"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w:t>
            </w:r>
          </w:p>
        </w:tc>
        <w:tc>
          <w:tcPr>
            <w:tcW w:w="960" w:type="dxa"/>
            <w:noWrap/>
            <w:hideMark/>
          </w:tcPr>
          <w:p w14:paraId="76621086"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8.1</w:t>
            </w:r>
          </w:p>
        </w:tc>
        <w:tc>
          <w:tcPr>
            <w:tcW w:w="960" w:type="dxa"/>
            <w:noWrap/>
            <w:hideMark/>
          </w:tcPr>
          <w:p w14:paraId="2B20DBAB"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r>
      <w:tr w:rsidR="00282CCB" w:rsidRPr="00616F4F" w14:paraId="7F3C508F"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2E6C3BC5" w14:textId="77777777" w:rsidR="00282CCB" w:rsidRPr="00616F4F" w:rsidRDefault="00282CCB" w:rsidP="00282CCB">
            <w:pPr>
              <w:spacing w:after="0" w:line="240" w:lineRule="auto"/>
              <w:rPr>
                <w:rFonts w:eastAsia="Times New Roman" w:cs="Arial"/>
                <w:color w:val="000000"/>
                <w:sz w:val="18"/>
                <w:szCs w:val="18"/>
              </w:rPr>
            </w:pPr>
            <w:r w:rsidRPr="00616F4F">
              <w:rPr>
                <w:rFonts w:eastAsia="Times New Roman" w:cs="Arial"/>
                <w:color w:val="000000"/>
                <w:sz w:val="18"/>
                <w:szCs w:val="18"/>
              </w:rPr>
              <w:t>70-80</w:t>
            </w:r>
          </w:p>
        </w:tc>
        <w:tc>
          <w:tcPr>
            <w:tcW w:w="1279" w:type="dxa"/>
            <w:noWrap/>
            <w:hideMark/>
          </w:tcPr>
          <w:p w14:paraId="093DBB14" w14:textId="77777777" w:rsidR="00282CCB" w:rsidRPr="00616F4F" w:rsidRDefault="00282CCB" w:rsidP="00282CC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LE</w:t>
            </w:r>
          </w:p>
        </w:tc>
        <w:tc>
          <w:tcPr>
            <w:tcW w:w="830" w:type="dxa"/>
            <w:noWrap/>
            <w:hideMark/>
          </w:tcPr>
          <w:p w14:paraId="203E9ED2"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11.9</w:t>
            </w:r>
          </w:p>
        </w:tc>
        <w:tc>
          <w:tcPr>
            <w:tcW w:w="1090" w:type="dxa"/>
            <w:noWrap/>
            <w:hideMark/>
          </w:tcPr>
          <w:p w14:paraId="1D5FACBE"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w:t>
            </w:r>
          </w:p>
        </w:tc>
        <w:tc>
          <w:tcPr>
            <w:tcW w:w="830" w:type="dxa"/>
            <w:noWrap/>
            <w:hideMark/>
          </w:tcPr>
          <w:p w14:paraId="7A72AF50"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11.7</w:t>
            </w:r>
          </w:p>
        </w:tc>
        <w:tc>
          <w:tcPr>
            <w:tcW w:w="1090" w:type="dxa"/>
            <w:noWrap/>
            <w:hideMark/>
          </w:tcPr>
          <w:p w14:paraId="1CBC9C68"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w:t>
            </w:r>
          </w:p>
        </w:tc>
        <w:tc>
          <w:tcPr>
            <w:tcW w:w="1140" w:type="dxa"/>
            <w:noWrap/>
            <w:hideMark/>
          </w:tcPr>
          <w:p w14:paraId="0AC8FD81"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11.9</w:t>
            </w:r>
          </w:p>
        </w:tc>
        <w:tc>
          <w:tcPr>
            <w:tcW w:w="780" w:type="dxa"/>
            <w:noWrap/>
            <w:hideMark/>
          </w:tcPr>
          <w:p w14:paraId="5BB1E86C"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w:t>
            </w:r>
          </w:p>
        </w:tc>
        <w:tc>
          <w:tcPr>
            <w:tcW w:w="1140" w:type="dxa"/>
            <w:noWrap/>
            <w:hideMark/>
          </w:tcPr>
          <w:p w14:paraId="532E57AB"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12.0</w:t>
            </w:r>
          </w:p>
        </w:tc>
        <w:tc>
          <w:tcPr>
            <w:tcW w:w="780" w:type="dxa"/>
            <w:noWrap/>
            <w:hideMark/>
          </w:tcPr>
          <w:p w14:paraId="33E60C32"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w:t>
            </w:r>
          </w:p>
        </w:tc>
        <w:tc>
          <w:tcPr>
            <w:tcW w:w="960" w:type="dxa"/>
            <w:noWrap/>
            <w:hideMark/>
          </w:tcPr>
          <w:p w14:paraId="1B6EA22C"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12.2</w:t>
            </w:r>
          </w:p>
        </w:tc>
        <w:tc>
          <w:tcPr>
            <w:tcW w:w="960" w:type="dxa"/>
            <w:noWrap/>
            <w:hideMark/>
          </w:tcPr>
          <w:p w14:paraId="7E503AD0"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w:t>
            </w:r>
          </w:p>
        </w:tc>
        <w:tc>
          <w:tcPr>
            <w:tcW w:w="960" w:type="dxa"/>
            <w:noWrap/>
            <w:hideMark/>
          </w:tcPr>
          <w:p w14:paraId="66ED2CAE"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12.1</w:t>
            </w:r>
          </w:p>
        </w:tc>
        <w:tc>
          <w:tcPr>
            <w:tcW w:w="960" w:type="dxa"/>
            <w:noWrap/>
            <w:hideMark/>
          </w:tcPr>
          <w:p w14:paraId="33D7F770"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w:t>
            </w:r>
          </w:p>
        </w:tc>
      </w:tr>
      <w:tr w:rsidR="006C491B" w:rsidRPr="00616F4F" w14:paraId="26879C50"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47EB8C17" w14:textId="77777777" w:rsidR="00282CCB" w:rsidRPr="00616F4F" w:rsidRDefault="00282CCB" w:rsidP="00282CCB">
            <w:pPr>
              <w:spacing w:after="0" w:line="240" w:lineRule="auto"/>
              <w:jc w:val="right"/>
              <w:rPr>
                <w:rFonts w:eastAsia="Times New Roman" w:cs="Arial"/>
                <w:color w:val="000000"/>
                <w:sz w:val="18"/>
                <w:szCs w:val="18"/>
              </w:rPr>
            </w:pPr>
          </w:p>
        </w:tc>
        <w:tc>
          <w:tcPr>
            <w:tcW w:w="1279" w:type="dxa"/>
            <w:noWrap/>
            <w:hideMark/>
          </w:tcPr>
          <w:p w14:paraId="326A17DC" w14:textId="77777777" w:rsidR="00282CCB" w:rsidRPr="00616F4F" w:rsidRDefault="00282CCB" w:rsidP="00282CC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HLE</w:t>
            </w:r>
          </w:p>
        </w:tc>
        <w:tc>
          <w:tcPr>
            <w:tcW w:w="830" w:type="dxa"/>
            <w:noWrap/>
            <w:hideMark/>
          </w:tcPr>
          <w:p w14:paraId="2B223408"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5.3</w:t>
            </w:r>
          </w:p>
        </w:tc>
        <w:tc>
          <w:tcPr>
            <w:tcW w:w="1090" w:type="dxa"/>
            <w:noWrap/>
            <w:hideMark/>
          </w:tcPr>
          <w:p w14:paraId="5A32D9F7"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1.1</w:t>
            </w:r>
          </w:p>
        </w:tc>
        <w:tc>
          <w:tcPr>
            <w:tcW w:w="830" w:type="dxa"/>
            <w:noWrap/>
            <w:hideMark/>
          </w:tcPr>
          <w:p w14:paraId="6BE0C85F"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4.6</w:t>
            </w:r>
          </w:p>
        </w:tc>
        <w:tc>
          <w:tcPr>
            <w:tcW w:w="1090" w:type="dxa"/>
            <w:noWrap/>
            <w:hideMark/>
          </w:tcPr>
          <w:p w14:paraId="2973D714"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w:t>
            </w:r>
          </w:p>
        </w:tc>
        <w:tc>
          <w:tcPr>
            <w:tcW w:w="1140" w:type="dxa"/>
            <w:noWrap/>
            <w:hideMark/>
          </w:tcPr>
          <w:p w14:paraId="5C0EE9C3"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4.5</w:t>
            </w:r>
          </w:p>
        </w:tc>
        <w:tc>
          <w:tcPr>
            <w:tcW w:w="780" w:type="dxa"/>
            <w:noWrap/>
            <w:hideMark/>
          </w:tcPr>
          <w:p w14:paraId="432AD354"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w:t>
            </w:r>
          </w:p>
        </w:tc>
        <w:tc>
          <w:tcPr>
            <w:tcW w:w="1140" w:type="dxa"/>
            <w:noWrap/>
            <w:hideMark/>
          </w:tcPr>
          <w:p w14:paraId="5CFA1029"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4.9</w:t>
            </w:r>
          </w:p>
        </w:tc>
        <w:tc>
          <w:tcPr>
            <w:tcW w:w="780" w:type="dxa"/>
            <w:noWrap/>
            <w:hideMark/>
          </w:tcPr>
          <w:p w14:paraId="004ADC26"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1.1</w:t>
            </w:r>
          </w:p>
        </w:tc>
        <w:tc>
          <w:tcPr>
            <w:tcW w:w="960" w:type="dxa"/>
            <w:noWrap/>
            <w:hideMark/>
          </w:tcPr>
          <w:p w14:paraId="52EC5CD2"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5.3</w:t>
            </w:r>
          </w:p>
        </w:tc>
        <w:tc>
          <w:tcPr>
            <w:tcW w:w="960" w:type="dxa"/>
            <w:noWrap/>
            <w:hideMark/>
          </w:tcPr>
          <w:p w14:paraId="50B1B4EA"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w:t>
            </w:r>
          </w:p>
        </w:tc>
        <w:tc>
          <w:tcPr>
            <w:tcW w:w="960" w:type="dxa"/>
            <w:noWrap/>
            <w:hideMark/>
          </w:tcPr>
          <w:p w14:paraId="4C7647F4"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4.8</w:t>
            </w:r>
          </w:p>
        </w:tc>
        <w:tc>
          <w:tcPr>
            <w:tcW w:w="960" w:type="dxa"/>
            <w:noWrap/>
            <w:hideMark/>
          </w:tcPr>
          <w:p w14:paraId="70B33866"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w:t>
            </w:r>
          </w:p>
        </w:tc>
      </w:tr>
      <w:tr w:rsidR="00282CCB" w:rsidRPr="00616F4F" w14:paraId="2D9625C1"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3B847B42" w14:textId="77777777" w:rsidR="00282CCB" w:rsidRPr="00616F4F" w:rsidRDefault="00282CCB" w:rsidP="00282CCB">
            <w:pPr>
              <w:spacing w:after="0" w:line="240" w:lineRule="auto"/>
              <w:rPr>
                <w:rFonts w:eastAsia="Times New Roman" w:cs="Arial"/>
                <w:color w:val="000000"/>
                <w:sz w:val="18"/>
                <w:szCs w:val="18"/>
              </w:rPr>
            </w:pPr>
            <w:r w:rsidRPr="00616F4F">
              <w:rPr>
                <w:rFonts w:eastAsia="Times New Roman" w:cs="Arial"/>
                <w:color w:val="000000"/>
                <w:sz w:val="18"/>
                <w:szCs w:val="18"/>
              </w:rPr>
              <w:t>80-90</w:t>
            </w:r>
          </w:p>
        </w:tc>
        <w:tc>
          <w:tcPr>
            <w:tcW w:w="1279" w:type="dxa"/>
            <w:noWrap/>
            <w:hideMark/>
          </w:tcPr>
          <w:p w14:paraId="647976C7" w14:textId="77777777" w:rsidR="00282CCB" w:rsidRPr="00616F4F" w:rsidRDefault="00282CCB" w:rsidP="00282CC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LE</w:t>
            </w:r>
          </w:p>
        </w:tc>
        <w:tc>
          <w:tcPr>
            <w:tcW w:w="830" w:type="dxa"/>
            <w:noWrap/>
            <w:hideMark/>
          </w:tcPr>
          <w:p w14:paraId="22CEAE66"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7.0</w:t>
            </w:r>
          </w:p>
        </w:tc>
        <w:tc>
          <w:tcPr>
            <w:tcW w:w="1090" w:type="dxa"/>
            <w:noWrap/>
            <w:hideMark/>
          </w:tcPr>
          <w:p w14:paraId="6E054D6D"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c>
          <w:tcPr>
            <w:tcW w:w="830" w:type="dxa"/>
            <w:noWrap/>
            <w:hideMark/>
          </w:tcPr>
          <w:p w14:paraId="5C784EA6"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6.7</w:t>
            </w:r>
          </w:p>
        </w:tc>
        <w:tc>
          <w:tcPr>
            <w:tcW w:w="1090" w:type="dxa"/>
            <w:noWrap/>
            <w:hideMark/>
          </w:tcPr>
          <w:p w14:paraId="0E6E207B"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w:t>
            </w:r>
          </w:p>
        </w:tc>
        <w:tc>
          <w:tcPr>
            <w:tcW w:w="1140" w:type="dxa"/>
            <w:noWrap/>
            <w:hideMark/>
          </w:tcPr>
          <w:p w14:paraId="31E0D0EC"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6.8</w:t>
            </w:r>
          </w:p>
        </w:tc>
        <w:tc>
          <w:tcPr>
            <w:tcW w:w="780" w:type="dxa"/>
            <w:noWrap/>
            <w:hideMark/>
          </w:tcPr>
          <w:p w14:paraId="18BBB718"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c>
          <w:tcPr>
            <w:tcW w:w="1140" w:type="dxa"/>
            <w:noWrap/>
            <w:hideMark/>
          </w:tcPr>
          <w:p w14:paraId="746BC086"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7.1</w:t>
            </w:r>
          </w:p>
        </w:tc>
        <w:tc>
          <w:tcPr>
            <w:tcW w:w="780" w:type="dxa"/>
            <w:noWrap/>
            <w:hideMark/>
          </w:tcPr>
          <w:p w14:paraId="64C5C658"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w:t>
            </w:r>
          </w:p>
        </w:tc>
        <w:tc>
          <w:tcPr>
            <w:tcW w:w="960" w:type="dxa"/>
            <w:noWrap/>
            <w:hideMark/>
          </w:tcPr>
          <w:p w14:paraId="12570CF1"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7.1</w:t>
            </w:r>
          </w:p>
        </w:tc>
        <w:tc>
          <w:tcPr>
            <w:tcW w:w="960" w:type="dxa"/>
            <w:noWrap/>
            <w:hideMark/>
          </w:tcPr>
          <w:p w14:paraId="30982D67"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c>
          <w:tcPr>
            <w:tcW w:w="960" w:type="dxa"/>
            <w:noWrap/>
            <w:hideMark/>
          </w:tcPr>
          <w:p w14:paraId="59129691"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7.2</w:t>
            </w:r>
          </w:p>
        </w:tc>
        <w:tc>
          <w:tcPr>
            <w:tcW w:w="960" w:type="dxa"/>
            <w:noWrap/>
            <w:hideMark/>
          </w:tcPr>
          <w:p w14:paraId="392723D3"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r>
      <w:tr w:rsidR="006C491B" w:rsidRPr="00616F4F" w14:paraId="53CB9059"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74331741" w14:textId="77777777" w:rsidR="00282CCB" w:rsidRPr="00616F4F" w:rsidRDefault="00282CCB" w:rsidP="00282CCB">
            <w:pPr>
              <w:spacing w:after="0" w:line="240" w:lineRule="auto"/>
              <w:jc w:val="right"/>
              <w:rPr>
                <w:rFonts w:eastAsia="Times New Roman" w:cs="Arial"/>
                <w:color w:val="000000"/>
                <w:sz w:val="18"/>
                <w:szCs w:val="18"/>
              </w:rPr>
            </w:pPr>
          </w:p>
        </w:tc>
        <w:tc>
          <w:tcPr>
            <w:tcW w:w="1279" w:type="dxa"/>
            <w:noWrap/>
            <w:hideMark/>
          </w:tcPr>
          <w:p w14:paraId="67101704" w14:textId="77777777" w:rsidR="00282CCB" w:rsidRPr="00616F4F" w:rsidRDefault="00282CCB" w:rsidP="00282CC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HLE</w:t>
            </w:r>
          </w:p>
        </w:tc>
        <w:tc>
          <w:tcPr>
            <w:tcW w:w="830" w:type="dxa"/>
            <w:noWrap/>
            <w:hideMark/>
          </w:tcPr>
          <w:p w14:paraId="6F4FDEC6"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3.0</w:t>
            </w:r>
          </w:p>
        </w:tc>
        <w:tc>
          <w:tcPr>
            <w:tcW w:w="1090" w:type="dxa"/>
            <w:noWrap/>
            <w:hideMark/>
          </w:tcPr>
          <w:p w14:paraId="66224877"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0.6</w:t>
            </w:r>
          </w:p>
        </w:tc>
        <w:tc>
          <w:tcPr>
            <w:tcW w:w="830" w:type="dxa"/>
            <w:noWrap/>
            <w:hideMark/>
          </w:tcPr>
          <w:p w14:paraId="4C42E4DB"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2.5</w:t>
            </w:r>
          </w:p>
        </w:tc>
        <w:tc>
          <w:tcPr>
            <w:tcW w:w="1090" w:type="dxa"/>
            <w:noWrap/>
            <w:hideMark/>
          </w:tcPr>
          <w:p w14:paraId="3D52876A"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1140" w:type="dxa"/>
            <w:noWrap/>
            <w:hideMark/>
          </w:tcPr>
          <w:p w14:paraId="2221CFE4"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2.4</w:t>
            </w:r>
          </w:p>
        </w:tc>
        <w:tc>
          <w:tcPr>
            <w:tcW w:w="780" w:type="dxa"/>
            <w:noWrap/>
            <w:hideMark/>
          </w:tcPr>
          <w:p w14:paraId="06312444"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c>
          <w:tcPr>
            <w:tcW w:w="1140" w:type="dxa"/>
            <w:noWrap/>
            <w:hideMark/>
          </w:tcPr>
          <w:p w14:paraId="2648EE4A"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w:t>
            </w:r>
          </w:p>
        </w:tc>
        <w:tc>
          <w:tcPr>
            <w:tcW w:w="780" w:type="dxa"/>
            <w:noWrap/>
            <w:hideMark/>
          </w:tcPr>
          <w:p w14:paraId="56EA5F74"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0.6</w:t>
            </w:r>
          </w:p>
        </w:tc>
        <w:tc>
          <w:tcPr>
            <w:tcW w:w="960" w:type="dxa"/>
            <w:noWrap/>
            <w:hideMark/>
          </w:tcPr>
          <w:p w14:paraId="785CC56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2.9</w:t>
            </w:r>
          </w:p>
        </w:tc>
        <w:tc>
          <w:tcPr>
            <w:tcW w:w="960" w:type="dxa"/>
            <w:noWrap/>
            <w:hideMark/>
          </w:tcPr>
          <w:p w14:paraId="1A0EA9B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0.6</w:t>
            </w:r>
          </w:p>
        </w:tc>
        <w:tc>
          <w:tcPr>
            <w:tcW w:w="960" w:type="dxa"/>
            <w:noWrap/>
            <w:hideMark/>
          </w:tcPr>
          <w:p w14:paraId="3F92618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2.7</w:t>
            </w:r>
          </w:p>
        </w:tc>
        <w:tc>
          <w:tcPr>
            <w:tcW w:w="960" w:type="dxa"/>
            <w:noWrap/>
            <w:hideMark/>
          </w:tcPr>
          <w:p w14:paraId="6DB4FFF0"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0.5</w:t>
            </w:r>
          </w:p>
        </w:tc>
      </w:tr>
      <w:tr w:rsidR="00282CCB" w:rsidRPr="00616F4F" w14:paraId="56F22674" w14:textId="77777777" w:rsidTr="006C491B">
        <w:trPr>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436D9168" w14:textId="77777777" w:rsidR="00282CCB" w:rsidRPr="00616F4F" w:rsidRDefault="00282CCB" w:rsidP="00282CCB">
            <w:pPr>
              <w:spacing w:after="0" w:line="240" w:lineRule="auto"/>
              <w:rPr>
                <w:rFonts w:eastAsia="Times New Roman" w:cs="Arial"/>
                <w:color w:val="000000"/>
                <w:sz w:val="18"/>
                <w:szCs w:val="18"/>
              </w:rPr>
            </w:pPr>
            <w:r w:rsidRPr="00616F4F">
              <w:rPr>
                <w:rFonts w:eastAsia="Times New Roman" w:cs="Arial"/>
                <w:color w:val="000000"/>
                <w:sz w:val="18"/>
                <w:szCs w:val="18"/>
              </w:rPr>
              <w:t>90-100</w:t>
            </w:r>
          </w:p>
        </w:tc>
        <w:tc>
          <w:tcPr>
            <w:tcW w:w="1279" w:type="dxa"/>
            <w:noWrap/>
            <w:hideMark/>
          </w:tcPr>
          <w:p w14:paraId="5D700BE9" w14:textId="77777777" w:rsidR="00282CCB" w:rsidRPr="00616F4F" w:rsidRDefault="00282CCB" w:rsidP="00282CC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LE</w:t>
            </w:r>
          </w:p>
        </w:tc>
        <w:tc>
          <w:tcPr>
            <w:tcW w:w="830" w:type="dxa"/>
            <w:noWrap/>
            <w:hideMark/>
          </w:tcPr>
          <w:p w14:paraId="2E85CE46"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w:t>
            </w:r>
          </w:p>
        </w:tc>
        <w:tc>
          <w:tcPr>
            <w:tcW w:w="1090" w:type="dxa"/>
            <w:noWrap/>
            <w:hideMark/>
          </w:tcPr>
          <w:p w14:paraId="5E472B18"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0.6</w:t>
            </w:r>
          </w:p>
        </w:tc>
        <w:tc>
          <w:tcPr>
            <w:tcW w:w="830" w:type="dxa"/>
            <w:noWrap/>
            <w:hideMark/>
          </w:tcPr>
          <w:p w14:paraId="6B4D257D"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w:t>
            </w:r>
          </w:p>
        </w:tc>
        <w:tc>
          <w:tcPr>
            <w:tcW w:w="1090" w:type="dxa"/>
            <w:noWrap/>
            <w:hideMark/>
          </w:tcPr>
          <w:p w14:paraId="09A40A39"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0.7</w:t>
            </w:r>
          </w:p>
        </w:tc>
        <w:tc>
          <w:tcPr>
            <w:tcW w:w="1140" w:type="dxa"/>
            <w:noWrap/>
            <w:hideMark/>
          </w:tcPr>
          <w:p w14:paraId="7528F011"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3.7</w:t>
            </w:r>
          </w:p>
        </w:tc>
        <w:tc>
          <w:tcPr>
            <w:tcW w:w="780" w:type="dxa"/>
            <w:noWrap/>
            <w:hideMark/>
          </w:tcPr>
          <w:p w14:paraId="3E8EA154"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0.7</w:t>
            </w:r>
          </w:p>
        </w:tc>
        <w:tc>
          <w:tcPr>
            <w:tcW w:w="1140" w:type="dxa"/>
            <w:noWrap/>
            <w:hideMark/>
          </w:tcPr>
          <w:p w14:paraId="00CFF5C0"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3.8</w:t>
            </w:r>
          </w:p>
        </w:tc>
        <w:tc>
          <w:tcPr>
            <w:tcW w:w="780" w:type="dxa"/>
            <w:noWrap/>
            <w:hideMark/>
          </w:tcPr>
          <w:p w14:paraId="45137F3F"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0.6</w:t>
            </w:r>
          </w:p>
        </w:tc>
        <w:tc>
          <w:tcPr>
            <w:tcW w:w="960" w:type="dxa"/>
            <w:noWrap/>
            <w:hideMark/>
          </w:tcPr>
          <w:p w14:paraId="18056C15"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3.8</w:t>
            </w:r>
          </w:p>
        </w:tc>
        <w:tc>
          <w:tcPr>
            <w:tcW w:w="960" w:type="dxa"/>
            <w:noWrap/>
            <w:hideMark/>
          </w:tcPr>
          <w:p w14:paraId="2310188E"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0.6</w:t>
            </w:r>
          </w:p>
        </w:tc>
        <w:tc>
          <w:tcPr>
            <w:tcW w:w="960" w:type="dxa"/>
            <w:noWrap/>
            <w:hideMark/>
          </w:tcPr>
          <w:p w14:paraId="3B8AB888"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3.9</w:t>
            </w:r>
          </w:p>
        </w:tc>
        <w:tc>
          <w:tcPr>
            <w:tcW w:w="960" w:type="dxa"/>
            <w:noWrap/>
            <w:hideMark/>
          </w:tcPr>
          <w:p w14:paraId="53D6150B" w14:textId="77777777" w:rsidR="00282CCB" w:rsidRPr="00616F4F" w:rsidRDefault="00282CCB" w:rsidP="00282C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0.6</w:t>
            </w:r>
          </w:p>
        </w:tc>
      </w:tr>
      <w:tr w:rsidR="006C491B" w:rsidRPr="00616F4F" w14:paraId="679CD22C" w14:textId="77777777"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0" w:type="dxa"/>
            <w:noWrap/>
            <w:hideMark/>
          </w:tcPr>
          <w:p w14:paraId="22BA19B7" w14:textId="77777777" w:rsidR="00282CCB" w:rsidRPr="00616F4F" w:rsidRDefault="00282CCB" w:rsidP="00282CCB">
            <w:pPr>
              <w:spacing w:after="0" w:line="240" w:lineRule="auto"/>
              <w:jc w:val="right"/>
              <w:rPr>
                <w:rFonts w:eastAsia="Times New Roman" w:cs="Arial"/>
                <w:color w:val="000000"/>
                <w:sz w:val="18"/>
                <w:szCs w:val="18"/>
              </w:rPr>
            </w:pPr>
          </w:p>
        </w:tc>
        <w:tc>
          <w:tcPr>
            <w:tcW w:w="1279" w:type="dxa"/>
            <w:noWrap/>
            <w:hideMark/>
          </w:tcPr>
          <w:p w14:paraId="587958B2" w14:textId="77777777" w:rsidR="00282CCB" w:rsidRPr="00616F4F" w:rsidRDefault="00282CCB" w:rsidP="00282CC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HLE</w:t>
            </w:r>
          </w:p>
        </w:tc>
        <w:tc>
          <w:tcPr>
            <w:tcW w:w="830" w:type="dxa"/>
            <w:noWrap/>
            <w:hideMark/>
          </w:tcPr>
          <w:p w14:paraId="424C8EFD"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w:t>
            </w:r>
          </w:p>
        </w:tc>
        <w:tc>
          <w:tcPr>
            <w:tcW w:w="1090" w:type="dxa"/>
            <w:noWrap/>
            <w:hideMark/>
          </w:tcPr>
          <w:p w14:paraId="0E165016"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w:t>
            </w:r>
          </w:p>
        </w:tc>
        <w:tc>
          <w:tcPr>
            <w:tcW w:w="830" w:type="dxa"/>
            <w:noWrap/>
            <w:hideMark/>
          </w:tcPr>
          <w:p w14:paraId="090B1D1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w:t>
            </w:r>
          </w:p>
        </w:tc>
        <w:tc>
          <w:tcPr>
            <w:tcW w:w="1090" w:type="dxa"/>
            <w:noWrap/>
            <w:hideMark/>
          </w:tcPr>
          <w:p w14:paraId="0A6868BB"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w:t>
            </w:r>
          </w:p>
        </w:tc>
        <w:tc>
          <w:tcPr>
            <w:tcW w:w="1140" w:type="dxa"/>
            <w:noWrap/>
            <w:hideMark/>
          </w:tcPr>
          <w:p w14:paraId="62869231"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c>
          <w:tcPr>
            <w:tcW w:w="780" w:type="dxa"/>
            <w:noWrap/>
            <w:hideMark/>
          </w:tcPr>
          <w:p w14:paraId="5FA34DD9"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0.4</w:t>
            </w:r>
          </w:p>
        </w:tc>
        <w:tc>
          <w:tcPr>
            <w:tcW w:w="1140" w:type="dxa"/>
            <w:noWrap/>
            <w:hideMark/>
          </w:tcPr>
          <w:p w14:paraId="16EE54D4"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w:t>
            </w:r>
          </w:p>
        </w:tc>
        <w:tc>
          <w:tcPr>
            <w:tcW w:w="780" w:type="dxa"/>
            <w:noWrap/>
            <w:hideMark/>
          </w:tcPr>
          <w:p w14:paraId="5038F812"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w:t>
            </w:r>
          </w:p>
        </w:tc>
        <w:tc>
          <w:tcPr>
            <w:tcW w:w="960" w:type="dxa"/>
            <w:noWrap/>
            <w:hideMark/>
          </w:tcPr>
          <w:p w14:paraId="3491A714"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w:t>
            </w:r>
          </w:p>
        </w:tc>
        <w:tc>
          <w:tcPr>
            <w:tcW w:w="960" w:type="dxa"/>
            <w:noWrap/>
            <w:hideMark/>
          </w:tcPr>
          <w:p w14:paraId="52C36A41"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w:t>
            </w:r>
          </w:p>
        </w:tc>
        <w:tc>
          <w:tcPr>
            <w:tcW w:w="960" w:type="dxa"/>
            <w:noWrap/>
            <w:hideMark/>
          </w:tcPr>
          <w:p w14:paraId="2DD01E19"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w:t>
            </w:r>
          </w:p>
        </w:tc>
        <w:tc>
          <w:tcPr>
            <w:tcW w:w="960" w:type="dxa"/>
            <w:noWrap/>
            <w:hideMark/>
          </w:tcPr>
          <w:p w14:paraId="241F80CC" w14:textId="77777777" w:rsidR="00282CCB" w:rsidRPr="00616F4F" w:rsidRDefault="00282CCB" w:rsidP="00282C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0.3</w:t>
            </w:r>
          </w:p>
        </w:tc>
      </w:tr>
    </w:tbl>
    <w:p w14:paraId="2FB1C302" w14:textId="6FD85D1D" w:rsidR="00282CCB" w:rsidRPr="00616F4F" w:rsidRDefault="00282CCB" w:rsidP="009964C1">
      <w:pPr>
        <w:spacing w:before="240" w:after="160" w:line="259" w:lineRule="auto"/>
        <w:rPr>
          <w:rFonts w:eastAsiaTheme="majorEastAsia" w:cs="Arial"/>
          <w:color w:val="2E74B5" w:themeColor="accent1" w:themeShade="BF"/>
          <w:sz w:val="18"/>
          <w:szCs w:val="18"/>
        </w:rPr>
      </w:pPr>
      <w:r w:rsidRPr="00616F4F">
        <w:rPr>
          <w:rFonts w:cs="Arial"/>
          <w:sz w:val="18"/>
          <w:szCs w:val="18"/>
        </w:rPr>
        <w:t xml:space="preserve">Note: </w:t>
      </w:r>
      <w:r w:rsidR="00C32781" w:rsidRPr="00616F4F">
        <w:rPr>
          <w:rFonts w:cs="Arial"/>
          <w:sz w:val="18"/>
          <w:szCs w:val="18"/>
        </w:rPr>
        <w:t>The t</w:t>
      </w:r>
      <w:r w:rsidR="00D933E7" w:rsidRPr="00616F4F">
        <w:rPr>
          <w:rFonts w:cs="Arial"/>
          <w:sz w:val="18"/>
          <w:szCs w:val="18"/>
        </w:rPr>
        <w:t xml:space="preserve">able displays remaining life expectancy and healthy life expectancy for different age groups. </w:t>
      </w:r>
      <w:r w:rsidR="008A6E90" w:rsidRPr="00616F4F">
        <w:rPr>
          <w:rFonts w:cs="Arial"/>
          <w:sz w:val="18"/>
          <w:szCs w:val="18"/>
        </w:rPr>
        <w:t xml:space="preserve">These estimates are based on the matched control patients, and therefore do not incorporate the loss of health due to the safety incident. </w:t>
      </w:r>
      <w:r w:rsidR="00D933E7" w:rsidRPr="00616F4F">
        <w:rPr>
          <w:rFonts w:cs="Arial"/>
          <w:sz w:val="18"/>
          <w:szCs w:val="18"/>
        </w:rPr>
        <w:t xml:space="preserve">Healthy-life expectancy </w:t>
      </w:r>
      <w:r w:rsidR="00C32781" w:rsidRPr="00616F4F">
        <w:rPr>
          <w:rFonts w:cs="Arial"/>
          <w:sz w:val="18"/>
          <w:szCs w:val="18"/>
        </w:rPr>
        <w:t xml:space="preserve">considers the existence of 141 comorbidities in our sample of inpatients, and values life-years that are predicted to be lived in less than perfect as smaller than unity. </w:t>
      </w:r>
      <w:r w:rsidR="00C9658D" w:rsidRPr="00616F4F">
        <w:rPr>
          <w:rFonts w:cs="Arial"/>
          <w:sz w:val="18"/>
          <w:szCs w:val="18"/>
        </w:rPr>
        <w:t xml:space="preserve">We obtain healthy life-expectancy as the sum of these ‘devalued’ life years. </w:t>
      </w:r>
      <w:r w:rsidR="00C32781" w:rsidRPr="00616F4F">
        <w:rPr>
          <w:rFonts w:cs="Arial"/>
          <w:sz w:val="18"/>
          <w:szCs w:val="18"/>
        </w:rPr>
        <w:t xml:space="preserve">Therefore, healthy life-expectancy is smaller than life expectancy, which is not adjusted for quality-of-life. </w:t>
      </w:r>
      <w:r w:rsidR="00C9658D" w:rsidRPr="00616F4F">
        <w:rPr>
          <w:rFonts w:cs="Arial"/>
          <w:sz w:val="18"/>
          <w:szCs w:val="18"/>
        </w:rPr>
        <w:t xml:space="preserve">For example, a Hip fracture patient in the age-group 60-70 has a remaining life expectancy of 19 years, however, these years are predicted to be lived in less than perfect health. Hence, healthy life-expectancy is only estimated to be 8.4 years. This implies that the remaining 19 years are valued at just above 0.5, due to the presence of one or several of the 141 comorbidities. </w:t>
      </w:r>
      <w:r w:rsidRPr="00616F4F">
        <w:rPr>
          <w:rFonts w:cs="Arial"/>
          <w:sz w:val="18"/>
          <w:szCs w:val="18"/>
        </w:rPr>
        <w:br w:type="page"/>
      </w:r>
    </w:p>
    <w:p w14:paraId="73F48AA9" w14:textId="076FBD12" w:rsidR="00F34451" w:rsidRPr="00616F4F" w:rsidRDefault="00F34451" w:rsidP="00F34451">
      <w:pPr>
        <w:pStyle w:val="Heading2"/>
        <w:rPr>
          <w:rFonts w:asciiTheme="minorHAnsi" w:hAnsiTheme="minorHAnsi" w:cs="Arial"/>
          <w:sz w:val="22"/>
          <w:szCs w:val="22"/>
        </w:rPr>
      </w:pPr>
      <w:bookmarkStart w:id="28" w:name="_Toc457312924"/>
      <w:r w:rsidRPr="00616F4F">
        <w:rPr>
          <w:rFonts w:asciiTheme="minorHAnsi" w:hAnsiTheme="minorHAnsi" w:cs="Arial"/>
          <w:sz w:val="22"/>
          <w:szCs w:val="22"/>
        </w:rPr>
        <w:lastRenderedPageBreak/>
        <w:t xml:space="preserve">Table </w:t>
      </w:r>
      <w:r w:rsidR="00635E43" w:rsidRPr="00616F4F">
        <w:rPr>
          <w:rFonts w:asciiTheme="minorHAnsi" w:hAnsiTheme="minorHAnsi" w:cs="Arial"/>
          <w:sz w:val="22"/>
          <w:szCs w:val="22"/>
        </w:rPr>
        <w:t>S</w:t>
      </w:r>
      <w:r w:rsidR="00635E43">
        <w:rPr>
          <w:rFonts w:asciiTheme="minorHAnsi" w:hAnsiTheme="minorHAnsi" w:cs="Arial"/>
          <w:sz w:val="22"/>
          <w:szCs w:val="22"/>
        </w:rPr>
        <w:t>DC</w:t>
      </w:r>
      <w:r w:rsidR="00892AA4">
        <w:rPr>
          <w:rFonts w:asciiTheme="minorHAnsi" w:hAnsiTheme="minorHAnsi" w:cs="Arial"/>
          <w:sz w:val="22"/>
          <w:szCs w:val="22"/>
        </w:rPr>
        <w:t>10</w:t>
      </w:r>
      <w:r w:rsidRPr="00616F4F">
        <w:rPr>
          <w:rFonts w:asciiTheme="minorHAnsi" w:hAnsiTheme="minorHAnsi" w:cs="Arial"/>
          <w:sz w:val="22"/>
          <w:szCs w:val="22"/>
        </w:rPr>
        <w:t>: Loss of healthy-life-years due to six patient safety incidents, annual estimates for an average English hospital</w:t>
      </w:r>
      <w:bookmarkEnd w:id="28"/>
    </w:p>
    <w:p w14:paraId="1D18D5F9" w14:textId="77777777" w:rsidR="009454C1" w:rsidRPr="00616F4F" w:rsidRDefault="009454C1" w:rsidP="00F34451">
      <w:pPr>
        <w:rPr>
          <w:rFonts w:cs="Times New Roman"/>
          <w:sz w:val="18"/>
          <w:szCs w:val="18"/>
        </w:rPr>
      </w:pPr>
    </w:p>
    <w:tbl>
      <w:tblPr>
        <w:tblStyle w:val="GridTable4-Accent12"/>
        <w:tblpPr w:leftFromText="180" w:rightFromText="180" w:vertAnchor="text" w:horzAnchor="margin" w:tblpXSpec="center" w:tblpY="91"/>
        <w:tblW w:w="4939" w:type="pct"/>
        <w:tblLayout w:type="fixed"/>
        <w:tblLook w:val="04A0" w:firstRow="1" w:lastRow="0" w:firstColumn="1" w:lastColumn="0" w:noHBand="0" w:noVBand="1"/>
      </w:tblPr>
      <w:tblGrid>
        <w:gridCol w:w="1083"/>
        <w:gridCol w:w="829"/>
        <w:gridCol w:w="670"/>
        <w:gridCol w:w="603"/>
        <w:gridCol w:w="829"/>
        <w:gridCol w:w="816"/>
        <w:gridCol w:w="694"/>
        <w:gridCol w:w="692"/>
        <w:gridCol w:w="827"/>
        <w:gridCol w:w="741"/>
        <w:gridCol w:w="14"/>
        <w:gridCol w:w="565"/>
        <w:gridCol w:w="535"/>
        <w:gridCol w:w="697"/>
        <w:gridCol w:w="648"/>
        <w:gridCol w:w="609"/>
        <w:gridCol w:w="747"/>
        <w:gridCol w:w="650"/>
        <w:gridCol w:w="697"/>
        <w:gridCol w:w="832"/>
      </w:tblGrid>
      <w:tr w:rsidR="00EE421A" w:rsidRPr="00EE421A" w14:paraId="16ACA0F2" w14:textId="1758E333" w:rsidTr="006C491B">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93" w:type="pct"/>
            <w:noWrap/>
            <w:hideMark/>
          </w:tcPr>
          <w:p w14:paraId="61B59113" w14:textId="77777777" w:rsidR="0093356D" w:rsidRPr="00EE421A" w:rsidRDefault="0093356D" w:rsidP="00F34451">
            <w:pPr>
              <w:spacing w:after="0" w:line="240" w:lineRule="auto"/>
              <w:rPr>
                <w:rFonts w:eastAsia="Times New Roman" w:cs="Arial"/>
                <w:b w:val="0"/>
                <w:sz w:val="18"/>
                <w:szCs w:val="18"/>
              </w:rPr>
            </w:pPr>
          </w:p>
        </w:tc>
        <w:tc>
          <w:tcPr>
            <w:tcW w:w="763" w:type="pct"/>
            <w:gridSpan w:val="3"/>
            <w:noWrap/>
            <w:vAlign w:val="center"/>
            <w:hideMark/>
          </w:tcPr>
          <w:p w14:paraId="0D8B7A45" w14:textId="77777777" w:rsidR="0093356D" w:rsidRPr="006C491B" w:rsidRDefault="0093356D" w:rsidP="00EE421A">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Death in low-mortality HRG</w:t>
            </w:r>
          </w:p>
        </w:tc>
        <w:tc>
          <w:tcPr>
            <w:tcW w:w="849" w:type="pct"/>
            <w:gridSpan w:val="3"/>
            <w:noWrap/>
            <w:vAlign w:val="center"/>
            <w:hideMark/>
          </w:tcPr>
          <w:p w14:paraId="3ADE5FEA" w14:textId="77777777" w:rsidR="0093356D" w:rsidRPr="006C491B" w:rsidRDefault="0093356D" w:rsidP="00EE421A">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Pressure Ulcer</w:t>
            </w:r>
          </w:p>
        </w:tc>
        <w:tc>
          <w:tcPr>
            <w:tcW w:w="551" w:type="pct"/>
            <w:gridSpan w:val="2"/>
            <w:noWrap/>
            <w:vAlign w:val="center"/>
            <w:hideMark/>
          </w:tcPr>
          <w:p w14:paraId="00126C5A" w14:textId="77777777" w:rsidR="0093356D" w:rsidRPr="006C491B" w:rsidRDefault="0093356D" w:rsidP="00EE421A">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Central line infection</w:t>
            </w:r>
          </w:p>
        </w:tc>
        <w:tc>
          <w:tcPr>
            <w:tcW w:w="673" w:type="pct"/>
            <w:gridSpan w:val="4"/>
            <w:noWrap/>
            <w:vAlign w:val="center"/>
            <w:hideMark/>
          </w:tcPr>
          <w:p w14:paraId="5DD37217" w14:textId="77777777" w:rsidR="0093356D" w:rsidRPr="006C491B" w:rsidRDefault="0093356D" w:rsidP="00EE421A">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Hip fracture</w:t>
            </w:r>
          </w:p>
        </w:tc>
        <w:tc>
          <w:tcPr>
            <w:tcW w:w="709" w:type="pct"/>
            <w:gridSpan w:val="3"/>
            <w:vAlign w:val="center"/>
            <w:hideMark/>
          </w:tcPr>
          <w:p w14:paraId="13CCBB72" w14:textId="77777777" w:rsidR="0093356D" w:rsidRPr="006C491B" w:rsidRDefault="0093356D" w:rsidP="00EE421A">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DVT/PE</w:t>
            </w:r>
          </w:p>
        </w:tc>
        <w:tc>
          <w:tcPr>
            <w:tcW w:w="760" w:type="pct"/>
            <w:gridSpan w:val="3"/>
            <w:noWrap/>
            <w:vAlign w:val="center"/>
            <w:hideMark/>
          </w:tcPr>
          <w:p w14:paraId="303FB26C" w14:textId="77777777" w:rsidR="0093356D" w:rsidRPr="006C491B" w:rsidRDefault="0093356D" w:rsidP="00EE421A">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Sepsis</w:t>
            </w:r>
          </w:p>
        </w:tc>
        <w:tc>
          <w:tcPr>
            <w:tcW w:w="302" w:type="pct"/>
            <w:vAlign w:val="center"/>
          </w:tcPr>
          <w:p w14:paraId="4810DC7D" w14:textId="096741CF" w:rsidR="0093356D" w:rsidRPr="006C491B" w:rsidRDefault="0093356D" w:rsidP="00EE421A">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C491B">
              <w:rPr>
                <w:rFonts w:cs="Arial"/>
                <w:sz w:val="18"/>
                <w:szCs w:val="18"/>
              </w:rPr>
              <w:t>Total</w:t>
            </w:r>
          </w:p>
        </w:tc>
      </w:tr>
      <w:tr w:rsidR="006C491B" w:rsidRPr="00EE421A" w14:paraId="7B67E751" w14:textId="49E793C2" w:rsidTr="006C491B">
        <w:trPr>
          <w:cnfStyle w:val="000000100000" w:firstRow="0" w:lastRow="0" w:firstColumn="0" w:lastColumn="0" w:oddVBand="0" w:evenVBand="0" w:oddHBand="1" w:evenHBand="0" w:firstRowFirstColumn="0" w:firstRowLastColumn="0" w:lastRowFirstColumn="0" w:lastRowLastColumn="0"/>
          <w:trHeight w:hRule="exact" w:val="647"/>
        </w:trPr>
        <w:tc>
          <w:tcPr>
            <w:cnfStyle w:val="001000000000" w:firstRow="0" w:lastRow="0" w:firstColumn="1" w:lastColumn="0" w:oddVBand="0" w:evenVBand="0" w:oddHBand="0" w:evenHBand="0" w:firstRowFirstColumn="0" w:firstRowLastColumn="0" w:lastRowFirstColumn="0" w:lastRowLastColumn="0"/>
            <w:tcW w:w="393" w:type="pct"/>
            <w:noWrap/>
            <w:vAlign w:val="center"/>
            <w:hideMark/>
          </w:tcPr>
          <w:p w14:paraId="77A710DE" w14:textId="77777777" w:rsidR="0093356D" w:rsidRPr="00EE421A" w:rsidRDefault="0093356D" w:rsidP="00F34451">
            <w:pPr>
              <w:rPr>
                <w:rFonts w:cs="Arial"/>
                <w:color w:val="000000"/>
                <w:sz w:val="18"/>
                <w:szCs w:val="18"/>
              </w:rPr>
            </w:pPr>
            <w:r w:rsidRPr="00EE421A">
              <w:rPr>
                <w:rFonts w:cs="Arial"/>
                <w:color w:val="000000"/>
                <w:sz w:val="18"/>
                <w:szCs w:val="18"/>
              </w:rPr>
              <w:t>year</w:t>
            </w:r>
          </w:p>
        </w:tc>
        <w:tc>
          <w:tcPr>
            <w:tcW w:w="301" w:type="pct"/>
            <w:noWrap/>
            <w:vAlign w:val="center"/>
            <w:hideMark/>
          </w:tcPr>
          <w:p w14:paraId="5F3F1440"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HLYs lost</w:t>
            </w:r>
          </w:p>
        </w:tc>
        <w:tc>
          <w:tcPr>
            <w:tcW w:w="462" w:type="pct"/>
            <w:gridSpan w:val="2"/>
            <w:noWrap/>
            <w:vAlign w:val="center"/>
            <w:hideMark/>
          </w:tcPr>
          <w:p w14:paraId="11F8C1FB"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95% CI</w:t>
            </w:r>
          </w:p>
        </w:tc>
        <w:tc>
          <w:tcPr>
            <w:tcW w:w="301" w:type="pct"/>
            <w:noWrap/>
            <w:vAlign w:val="center"/>
            <w:hideMark/>
          </w:tcPr>
          <w:p w14:paraId="0F366EC9"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HLYs lost</w:t>
            </w:r>
          </w:p>
        </w:tc>
        <w:tc>
          <w:tcPr>
            <w:tcW w:w="548" w:type="pct"/>
            <w:gridSpan w:val="2"/>
            <w:noWrap/>
            <w:vAlign w:val="center"/>
            <w:hideMark/>
          </w:tcPr>
          <w:p w14:paraId="3644DC21"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95% CI</w:t>
            </w:r>
          </w:p>
        </w:tc>
        <w:tc>
          <w:tcPr>
            <w:tcW w:w="251" w:type="pct"/>
            <w:noWrap/>
            <w:vAlign w:val="center"/>
            <w:hideMark/>
          </w:tcPr>
          <w:p w14:paraId="0ABD9FEE"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HLYs lost</w:t>
            </w:r>
          </w:p>
        </w:tc>
        <w:tc>
          <w:tcPr>
            <w:tcW w:w="300" w:type="pct"/>
            <w:noWrap/>
            <w:vAlign w:val="center"/>
            <w:hideMark/>
          </w:tcPr>
          <w:p w14:paraId="27AD1AF2"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95% CI</w:t>
            </w:r>
          </w:p>
        </w:tc>
        <w:tc>
          <w:tcPr>
            <w:tcW w:w="274" w:type="pct"/>
            <w:gridSpan w:val="2"/>
            <w:noWrap/>
            <w:vAlign w:val="center"/>
            <w:hideMark/>
          </w:tcPr>
          <w:p w14:paraId="36EF7335"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HLYs lost</w:t>
            </w:r>
          </w:p>
        </w:tc>
        <w:tc>
          <w:tcPr>
            <w:tcW w:w="399" w:type="pct"/>
            <w:gridSpan w:val="2"/>
            <w:noWrap/>
            <w:vAlign w:val="center"/>
            <w:hideMark/>
          </w:tcPr>
          <w:p w14:paraId="1B238210"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95% CI</w:t>
            </w:r>
          </w:p>
        </w:tc>
        <w:tc>
          <w:tcPr>
            <w:tcW w:w="253" w:type="pct"/>
            <w:noWrap/>
            <w:vAlign w:val="center"/>
            <w:hideMark/>
          </w:tcPr>
          <w:p w14:paraId="3C415011"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HLYs lost</w:t>
            </w:r>
          </w:p>
        </w:tc>
        <w:tc>
          <w:tcPr>
            <w:tcW w:w="456" w:type="pct"/>
            <w:gridSpan w:val="2"/>
            <w:noWrap/>
            <w:vAlign w:val="center"/>
            <w:hideMark/>
          </w:tcPr>
          <w:p w14:paraId="30A9751E"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95% CI</w:t>
            </w:r>
          </w:p>
        </w:tc>
        <w:tc>
          <w:tcPr>
            <w:tcW w:w="271" w:type="pct"/>
            <w:noWrap/>
            <w:vAlign w:val="center"/>
            <w:hideMark/>
          </w:tcPr>
          <w:p w14:paraId="6FFECAAD"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HLYs lost</w:t>
            </w:r>
          </w:p>
        </w:tc>
        <w:tc>
          <w:tcPr>
            <w:tcW w:w="489" w:type="pct"/>
            <w:gridSpan w:val="2"/>
            <w:noWrap/>
            <w:vAlign w:val="center"/>
            <w:hideMark/>
          </w:tcPr>
          <w:p w14:paraId="1CB23354"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EE421A">
              <w:rPr>
                <w:rFonts w:cs="Arial"/>
                <w:b/>
                <w:color w:val="000000"/>
                <w:sz w:val="18"/>
                <w:szCs w:val="18"/>
              </w:rPr>
              <w:t>95% CI</w:t>
            </w:r>
          </w:p>
        </w:tc>
        <w:tc>
          <w:tcPr>
            <w:tcW w:w="302" w:type="pct"/>
            <w:vAlign w:val="center"/>
          </w:tcPr>
          <w:p w14:paraId="541C45FA" w14:textId="77777777" w:rsidR="0093356D" w:rsidRPr="00EE421A" w:rsidRDefault="0093356D" w:rsidP="00EE421A">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p>
        </w:tc>
      </w:tr>
      <w:tr w:rsidR="00EE421A" w:rsidRPr="00EE421A" w14:paraId="30758E1F" w14:textId="5BB5731E" w:rsidTr="006C491B">
        <w:trPr>
          <w:trHeight w:hRule="exact" w:val="397"/>
        </w:trPr>
        <w:tc>
          <w:tcPr>
            <w:cnfStyle w:val="001000000000" w:firstRow="0" w:lastRow="0" w:firstColumn="1" w:lastColumn="0" w:oddVBand="0" w:evenVBand="0" w:oddHBand="0" w:evenHBand="0" w:firstRowFirstColumn="0" w:firstRowLastColumn="0" w:lastRowFirstColumn="0" w:lastRowLastColumn="0"/>
            <w:tcW w:w="393" w:type="pct"/>
            <w:noWrap/>
            <w:vAlign w:val="center"/>
            <w:hideMark/>
          </w:tcPr>
          <w:p w14:paraId="5C220B68" w14:textId="77777777" w:rsidR="00EE421A" w:rsidRPr="00EE421A" w:rsidRDefault="00EE421A" w:rsidP="00F34451">
            <w:pPr>
              <w:rPr>
                <w:rFonts w:cs="Arial"/>
                <w:color w:val="000000"/>
                <w:sz w:val="18"/>
                <w:szCs w:val="18"/>
              </w:rPr>
            </w:pPr>
            <w:r w:rsidRPr="00EE421A">
              <w:rPr>
                <w:rFonts w:cs="Arial"/>
                <w:color w:val="000000"/>
                <w:sz w:val="18"/>
                <w:szCs w:val="18"/>
              </w:rPr>
              <w:t>2005/06</w:t>
            </w:r>
          </w:p>
        </w:tc>
        <w:tc>
          <w:tcPr>
            <w:tcW w:w="301" w:type="pct"/>
            <w:noWrap/>
            <w:vAlign w:val="center"/>
            <w:hideMark/>
          </w:tcPr>
          <w:p w14:paraId="211C6DB9"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60.4</w:t>
            </w:r>
          </w:p>
        </w:tc>
        <w:tc>
          <w:tcPr>
            <w:tcW w:w="243" w:type="pct"/>
            <w:noWrap/>
            <w:vAlign w:val="center"/>
            <w:hideMark/>
          </w:tcPr>
          <w:p w14:paraId="5AAA1CFC" w14:textId="15ADA841"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[60.4;</w:t>
            </w:r>
          </w:p>
        </w:tc>
        <w:tc>
          <w:tcPr>
            <w:tcW w:w="219" w:type="pct"/>
            <w:noWrap/>
            <w:vAlign w:val="center"/>
            <w:hideMark/>
          </w:tcPr>
          <w:p w14:paraId="4B26D406"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60.4]</w:t>
            </w:r>
          </w:p>
        </w:tc>
        <w:tc>
          <w:tcPr>
            <w:tcW w:w="301" w:type="pct"/>
            <w:noWrap/>
            <w:vAlign w:val="center"/>
            <w:hideMark/>
          </w:tcPr>
          <w:p w14:paraId="2BA0DA46"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49.5</w:t>
            </w:r>
          </w:p>
        </w:tc>
        <w:tc>
          <w:tcPr>
            <w:tcW w:w="296" w:type="pct"/>
            <w:noWrap/>
            <w:vAlign w:val="center"/>
            <w:hideMark/>
          </w:tcPr>
          <w:p w14:paraId="54E27F14" w14:textId="421C80CF"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[46.5;</w:t>
            </w:r>
          </w:p>
        </w:tc>
        <w:tc>
          <w:tcPr>
            <w:tcW w:w="252" w:type="pct"/>
            <w:noWrap/>
            <w:vAlign w:val="center"/>
            <w:hideMark/>
          </w:tcPr>
          <w:p w14:paraId="1031FF54"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52.4]</w:t>
            </w:r>
          </w:p>
        </w:tc>
        <w:tc>
          <w:tcPr>
            <w:tcW w:w="251" w:type="pct"/>
            <w:noWrap/>
            <w:vAlign w:val="center"/>
            <w:hideMark/>
          </w:tcPr>
          <w:p w14:paraId="691D03EB"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0</w:t>
            </w:r>
          </w:p>
        </w:tc>
        <w:tc>
          <w:tcPr>
            <w:tcW w:w="300" w:type="pct"/>
            <w:noWrap/>
            <w:vAlign w:val="center"/>
            <w:hideMark/>
          </w:tcPr>
          <w:p w14:paraId="192C3660"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roofErr w:type="spellStart"/>
            <w:r w:rsidRPr="00EE421A">
              <w:rPr>
                <w:rFonts w:cs="Arial"/>
                <w:color w:val="000000"/>
                <w:sz w:val="18"/>
                <w:szCs w:val="18"/>
              </w:rPr>
              <w:t>n.a</w:t>
            </w:r>
            <w:proofErr w:type="spellEnd"/>
            <w:r w:rsidRPr="00EE421A">
              <w:rPr>
                <w:rFonts w:cs="Arial"/>
                <w:color w:val="000000"/>
                <w:sz w:val="18"/>
                <w:szCs w:val="18"/>
              </w:rPr>
              <w:t>.</w:t>
            </w:r>
          </w:p>
        </w:tc>
        <w:tc>
          <w:tcPr>
            <w:tcW w:w="269" w:type="pct"/>
            <w:noWrap/>
            <w:vAlign w:val="center"/>
            <w:hideMark/>
          </w:tcPr>
          <w:p w14:paraId="2B762A9C"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0.8</w:t>
            </w:r>
          </w:p>
        </w:tc>
        <w:tc>
          <w:tcPr>
            <w:tcW w:w="210" w:type="pct"/>
            <w:gridSpan w:val="2"/>
            <w:noWrap/>
            <w:vAlign w:val="center"/>
            <w:hideMark/>
          </w:tcPr>
          <w:p w14:paraId="6F4D6AFA" w14:textId="5A864BB5"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[0.4;</w:t>
            </w:r>
          </w:p>
        </w:tc>
        <w:tc>
          <w:tcPr>
            <w:tcW w:w="194" w:type="pct"/>
            <w:noWrap/>
            <w:vAlign w:val="center"/>
            <w:hideMark/>
          </w:tcPr>
          <w:p w14:paraId="080DDD87"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1.3]</w:t>
            </w:r>
          </w:p>
        </w:tc>
        <w:tc>
          <w:tcPr>
            <w:tcW w:w="253" w:type="pct"/>
            <w:noWrap/>
            <w:vAlign w:val="center"/>
            <w:hideMark/>
          </w:tcPr>
          <w:p w14:paraId="16F83C51"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30.3</w:t>
            </w:r>
          </w:p>
        </w:tc>
        <w:tc>
          <w:tcPr>
            <w:tcW w:w="235" w:type="pct"/>
            <w:noWrap/>
            <w:vAlign w:val="center"/>
            <w:hideMark/>
          </w:tcPr>
          <w:p w14:paraId="4C2EB2B6" w14:textId="6D1335AB"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[26.7;</w:t>
            </w:r>
          </w:p>
        </w:tc>
        <w:tc>
          <w:tcPr>
            <w:tcW w:w="221" w:type="pct"/>
            <w:noWrap/>
            <w:vAlign w:val="center"/>
            <w:hideMark/>
          </w:tcPr>
          <w:p w14:paraId="368ACE4E"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33.9]</w:t>
            </w:r>
          </w:p>
        </w:tc>
        <w:tc>
          <w:tcPr>
            <w:tcW w:w="271" w:type="pct"/>
            <w:noWrap/>
            <w:vAlign w:val="center"/>
            <w:hideMark/>
          </w:tcPr>
          <w:p w14:paraId="0619462E"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18.1</w:t>
            </w:r>
          </w:p>
        </w:tc>
        <w:tc>
          <w:tcPr>
            <w:tcW w:w="236" w:type="pct"/>
            <w:noWrap/>
            <w:vAlign w:val="center"/>
            <w:hideMark/>
          </w:tcPr>
          <w:p w14:paraId="12A5FCE6" w14:textId="14FED5F0"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[16.1;</w:t>
            </w:r>
          </w:p>
        </w:tc>
        <w:tc>
          <w:tcPr>
            <w:tcW w:w="253" w:type="pct"/>
            <w:noWrap/>
            <w:vAlign w:val="center"/>
            <w:hideMark/>
          </w:tcPr>
          <w:p w14:paraId="04E3C126"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20.2]</w:t>
            </w:r>
          </w:p>
        </w:tc>
        <w:tc>
          <w:tcPr>
            <w:tcW w:w="302" w:type="pct"/>
            <w:vAlign w:val="center"/>
          </w:tcPr>
          <w:p w14:paraId="5B0E23EF" w14:textId="20190DBC"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159.1</w:t>
            </w:r>
          </w:p>
        </w:tc>
      </w:tr>
      <w:tr w:rsidR="00B9468A" w:rsidRPr="00EE421A" w14:paraId="5E50A445" w14:textId="48856017" w:rsidTr="006C491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 w:type="pct"/>
            <w:noWrap/>
            <w:vAlign w:val="center"/>
            <w:hideMark/>
          </w:tcPr>
          <w:p w14:paraId="28DA0165" w14:textId="77777777" w:rsidR="00EE421A" w:rsidRPr="00EE421A" w:rsidRDefault="00EE421A" w:rsidP="00F34451">
            <w:pPr>
              <w:rPr>
                <w:rFonts w:cs="Arial"/>
                <w:color w:val="000000"/>
                <w:sz w:val="18"/>
                <w:szCs w:val="18"/>
              </w:rPr>
            </w:pPr>
            <w:r w:rsidRPr="00EE421A">
              <w:rPr>
                <w:rFonts w:cs="Arial"/>
                <w:color w:val="000000"/>
                <w:sz w:val="18"/>
                <w:szCs w:val="18"/>
              </w:rPr>
              <w:t>2006/07</w:t>
            </w:r>
          </w:p>
        </w:tc>
        <w:tc>
          <w:tcPr>
            <w:tcW w:w="301" w:type="pct"/>
            <w:noWrap/>
            <w:vAlign w:val="center"/>
            <w:hideMark/>
          </w:tcPr>
          <w:p w14:paraId="4E745A21"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58.3</w:t>
            </w:r>
          </w:p>
        </w:tc>
        <w:tc>
          <w:tcPr>
            <w:tcW w:w="243" w:type="pct"/>
            <w:noWrap/>
            <w:vAlign w:val="center"/>
            <w:hideMark/>
          </w:tcPr>
          <w:p w14:paraId="60B2870B" w14:textId="0F62128F" w:rsidR="00EE421A" w:rsidRPr="00EE421A" w:rsidRDefault="00EE421A" w:rsidP="00EE421A">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[58.3;</w:t>
            </w:r>
          </w:p>
        </w:tc>
        <w:tc>
          <w:tcPr>
            <w:tcW w:w="219" w:type="pct"/>
            <w:noWrap/>
            <w:vAlign w:val="center"/>
            <w:hideMark/>
          </w:tcPr>
          <w:p w14:paraId="3BF38FC8"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58.3]</w:t>
            </w:r>
          </w:p>
        </w:tc>
        <w:tc>
          <w:tcPr>
            <w:tcW w:w="301" w:type="pct"/>
            <w:noWrap/>
            <w:vAlign w:val="center"/>
            <w:hideMark/>
          </w:tcPr>
          <w:p w14:paraId="09DFBCE2"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52.3</w:t>
            </w:r>
          </w:p>
        </w:tc>
        <w:tc>
          <w:tcPr>
            <w:tcW w:w="296" w:type="pct"/>
            <w:noWrap/>
            <w:vAlign w:val="center"/>
            <w:hideMark/>
          </w:tcPr>
          <w:p w14:paraId="675DD9AE" w14:textId="406EBE88"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[49.6;</w:t>
            </w:r>
          </w:p>
        </w:tc>
        <w:tc>
          <w:tcPr>
            <w:tcW w:w="252" w:type="pct"/>
            <w:noWrap/>
            <w:vAlign w:val="center"/>
            <w:hideMark/>
          </w:tcPr>
          <w:p w14:paraId="1674CF2A" w14:textId="77777777" w:rsidR="00EE421A" w:rsidRPr="00EE421A" w:rsidRDefault="00EE421A" w:rsidP="00EE421A">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55]</w:t>
            </w:r>
          </w:p>
        </w:tc>
        <w:tc>
          <w:tcPr>
            <w:tcW w:w="251" w:type="pct"/>
            <w:noWrap/>
            <w:vAlign w:val="center"/>
            <w:hideMark/>
          </w:tcPr>
          <w:p w14:paraId="1A3C47C4"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0</w:t>
            </w:r>
          </w:p>
        </w:tc>
        <w:tc>
          <w:tcPr>
            <w:tcW w:w="300" w:type="pct"/>
            <w:noWrap/>
            <w:vAlign w:val="center"/>
            <w:hideMark/>
          </w:tcPr>
          <w:p w14:paraId="1599E4F3"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roofErr w:type="spellStart"/>
            <w:r w:rsidRPr="00EE421A">
              <w:rPr>
                <w:rFonts w:cs="Arial"/>
                <w:color w:val="000000"/>
                <w:sz w:val="18"/>
                <w:szCs w:val="18"/>
              </w:rPr>
              <w:t>n.a</w:t>
            </w:r>
            <w:proofErr w:type="spellEnd"/>
            <w:r w:rsidRPr="00EE421A">
              <w:rPr>
                <w:rFonts w:cs="Arial"/>
                <w:color w:val="000000"/>
                <w:sz w:val="18"/>
                <w:szCs w:val="18"/>
              </w:rPr>
              <w:t>.</w:t>
            </w:r>
          </w:p>
        </w:tc>
        <w:tc>
          <w:tcPr>
            <w:tcW w:w="269" w:type="pct"/>
            <w:noWrap/>
            <w:vAlign w:val="center"/>
            <w:hideMark/>
          </w:tcPr>
          <w:p w14:paraId="77CD2FE2"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1.8</w:t>
            </w:r>
          </w:p>
        </w:tc>
        <w:tc>
          <w:tcPr>
            <w:tcW w:w="210" w:type="pct"/>
            <w:gridSpan w:val="2"/>
            <w:noWrap/>
            <w:vAlign w:val="center"/>
            <w:hideMark/>
          </w:tcPr>
          <w:p w14:paraId="15B2E3AB" w14:textId="7390454A" w:rsidR="00EE421A" w:rsidRPr="00EE421A" w:rsidRDefault="00EE421A" w:rsidP="00EE421A">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[1.3;</w:t>
            </w:r>
          </w:p>
        </w:tc>
        <w:tc>
          <w:tcPr>
            <w:tcW w:w="194" w:type="pct"/>
            <w:noWrap/>
            <w:vAlign w:val="center"/>
            <w:hideMark/>
          </w:tcPr>
          <w:p w14:paraId="0AD4E6A0" w14:textId="77777777" w:rsidR="00EE421A" w:rsidRPr="00EE421A" w:rsidRDefault="00EE421A" w:rsidP="00EE421A">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2.3]</w:t>
            </w:r>
          </w:p>
        </w:tc>
        <w:tc>
          <w:tcPr>
            <w:tcW w:w="253" w:type="pct"/>
            <w:noWrap/>
            <w:vAlign w:val="center"/>
            <w:hideMark/>
          </w:tcPr>
          <w:p w14:paraId="24A030E3"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29.5</w:t>
            </w:r>
          </w:p>
        </w:tc>
        <w:tc>
          <w:tcPr>
            <w:tcW w:w="235" w:type="pct"/>
            <w:noWrap/>
            <w:vAlign w:val="center"/>
            <w:hideMark/>
          </w:tcPr>
          <w:p w14:paraId="3080471D" w14:textId="00BF1894" w:rsidR="00EE421A" w:rsidRPr="00EE421A" w:rsidRDefault="00EE421A" w:rsidP="00EE421A">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[26.2;</w:t>
            </w:r>
          </w:p>
        </w:tc>
        <w:tc>
          <w:tcPr>
            <w:tcW w:w="221" w:type="pct"/>
            <w:noWrap/>
            <w:vAlign w:val="center"/>
            <w:hideMark/>
          </w:tcPr>
          <w:p w14:paraId="4434E46C" w14:textId="77777777" w:rsidR="00EE421A" w:rsidRPr="00EE421A" w:rsidRDefault="00EE421A" w:rsidP="00EE421A">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32.8]</w:t>
            </w:r>
          </w:p>
        </w:tc>
        <w:tc>
          <w:tcPr>
            <w:tcW w:w="271" w:type="pct"/>
            <w:noWrap/>
            <w:vAlign w:val="center"/>
            <w:hideMark/>
          </w:tcPr>
          <w:p w14:paraId="3C2BE89D"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19.3</w:t>
            </w:r>
          </w:p>
        </w:tc>
        <w:tc>
          <w:tcPr>
            <w:tcW w:w="236" w:type="pct"/>
            <w:noWrap/>
            <w:vAlign w:val="center"/>
            <w:hideMark/>
          </w:tcPr>
          <w:p w14:paraId="7B879FA8" w14:textId="3E1EA06F" w:rsidR="00EE421A" w:rsidRPr="00EE421A" w:rsidRDefault="00EE421A" w:rsidP="00EE421A">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[17.4;</w:t>
            </w:r>
          </w:p>
        </w:tc>
        <w:tc>
          <w:tcPr>
            <w:tcW w:w="253" w:type="pct"/>
            <w:noWrap/>
            <w:vAlign w:val="center"/>
            <w:hideMark/>
          </w:tcPr>
          <w:p w14:paraId="1D04DAF5" w14:textId="77777777" w:rsidR="00EE421A" w:rsidRPr="00EE421A" w:rsidRDefault="00EE421A" w:rsidP="00EE421A">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21.2]</w:t>
            </w:r>
          </w:p>
        </w:tc>
        <w:tc>
          <w:tcPr>
            <w:tcW w:w="302" w:type="pct"/>
            <w:vAlign w:val="center"/>
          </w:tcPr>
          <w:p w14:paraId="3FC42B25" w14:textId="7C30A150"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161.2</w:t>
            </w:r>
          </w:p>
        </w:tc>
      </w:tr>
      <w:tr w:rsidR="00EE421A" w:rsidRPr="00EE421A" w14:paraId="7D0251C8" w14:textId="63B80DA5" w:rsidTr="006C491B">
        <w:trPr>
          <w:trHeight w:hRule="exact" w:val="397"/>
        </w:trPr>
        <w:tc>
          <w:tcPr>
            <w:cnfStyle w:val="001000000000" w:firstRow="0" w:lastRow="0" w:firstColumn="1" w:lastColumn="0" w:oddVBand="0" w:evenVBand="0" w:oddHBand="0" w:evenHBand="0" w:firstRowFirstColumn="0" w:firstRowLastColumn="0" w:lastRowFirstColumn="0" w:lastRowLastColumn="0"/>
            <w:tcW w:w="393" w:type="pct"/>
            <w:noWrap/>
            <w:vAlign w:val="center"/>
            <w:hideMark/>
          </w:tcPr>
          <w:p w14:paraId="56BADEE8" w14:textId="77777777" w:rsidR="00EE421A" w:rsidRPr="00EE421A" w:rsidRDefault="00EE421A" w:rsidP="00F34451">
            <w:pPr>
              <w:rPr>
                <w:rFonts w:cs="Arial"/>
                <w:color w:val="000000"/>
                <w:sz w:val="18"/>
                <w:szCs w:val="18"/>
              </w:rPr>
            </w:pPr>
            <w:r w:rsidRPr="00EE421A">
              <w:rPr>
                <w:rFonts w:cs="Arial"/>
                <w:color w:val="000000"/>
                <w:sz w:val="18"/>
                <w:szCs w:val="18"/>
              </w:rPr>
              <w:t>2007/08</w:t>
            </w:r>
          </w:p>
        </w:tc>
        <w:tc>
          <w:tcPr>
            <w:tcW w:w="301" w:type="pct"/>
            <w:noWrap/>
            <w:vAlign w:val="center"/>
            <w:hideMark/>
          </w:tcPr>
          <w:p w14:paraId="5A063D13"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55.6</w:t>
            </w:r>
          </w:p>
        </w:tc>
        <w:tc>
          <w:tcPr>
            <w:tcW w:w="243" w:type="pct"/>
            <w:noWrap/>
            <w:vAlign w:val="center"/>
            <w:hideMark/>
          </w:tcPr>
          <w:p w14:paraId="3C61F717" w14:textId="37FDA4C8"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[55.6;</w:t>
            </w:r>
          </w:p>
        </w:tc>
        <w:tc>
          <w:tcPr>
            <w:tcW w:w="219" w:type="pct"/>
            <w:noWrap/>
            <w:vAlign w:val="center"/>
            <w:hideMark/>
          </w:tcPr>
          <w:p w14:paraId="15510A7F"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55.6]</w:t>
            </w:r>
          </w:p>
        </w:tc>
        <w:tc>
          <w:tcPr>
            <w:tcW w:w="301" w:type="pct"/>
            <w:noWrap/>
            <w:vAlign w:val="center"/>
            <w:hideMark/>
          </w:tcPr>
          <w:p w14:paraId="610C5525"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54.6</w:t>
            </w:r>
          </w:p>
        </w:tc>
        <w:tc>
          <w:tcPr>
            <w:tcW w:w="296" w:type="pct"/>
            <w:noWrap/>
            <w:vAlign w:val="center"/>
            <w:hideMark/>
          </w:tcPr>
          <w:p w14:paraId="312B5052" w14:textId="18A76586"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[51.7;</w:t>
            </w:r>
          </w:p>
        </w:tc>
        <w:tc>
          <w:tcPr>
            <w:tcW w:w="252" w:type="pct"/>
            <w:noWrap/>
            <w:vAlign w:val="center"/>
            <w:hideMark/>
          </w:tcPr>
          <w:p w14:paraId="65B5387F"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57.5]</w:t>
            </w:r>
          </w:p>
        </w:tc>
        <w:tc>
          <w:tcPr>
            <w:tcW w:w="251" w:type="pct"/>
            <w:noWrap/>
            <w:vAlign w:val="center"/>
            <w:hideMark/>
          </w:tcPr>
          <w:p w14:paraId="744550C0"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0</w:t>
            </w:r>
          </w:p>
        </w:tc>
        <w:tc>
          <w:tcPr>
            <w:tcW w:w="300" w:type="pct"/>
            <w:noWrap/>
            <w:vAlign w:val="center"/>
            <w:hideMark/>
          </w:tcPr>
          <w:p w14:paraId="2237D62E"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roofErr w:type="spellStart"/>
            <w:r w:rsidRPr="00EE421A">
              <w:rPr>
                <w:rFonts w:cs="Arial"/>
                <w:color w:val="000000"/>
                <w:sz w:val="18"/>
                <w:szCs w:val="18"/>
              </w:rPr>
              <w:t>n.a</w:t>
            </w:r>
            <w:proofErr w:type="spellEnd"/>
            <w:r w:rsidRPr="00EE421A">
              <w:rPr>
                <w:rFonts w:cs="Arial"/>
                <w:color w:val="000000"/>
                <w:sz w:val="18"/>
                <w:szCs w:val="18"/>
              </w:rPr>
              <w:t>.</w:t>
            </w:r>
          </w:p>
        </w:tc>
        <w:tc>
          <w:tcPr>
            <w:tcW w:w="269" w:type="pct"/>
            <w:noWrap/>
            <w:vAlign w:val="center"/>
            <w:hideMark/>
          </w:tcPr>
          <w:p w14:paraId="1C85AADE"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w:t>
            </w:r>
          </w:p>
        </w:tc>
        <w:tc>
          <w:tcPr>
            <w:tcW w:w="210" w:type="pct"/>
            <w:gridSpan w:val="2"/>
            <w:noWrap/>
            <w:vAlign w:val="center"/>
            <w:hideMark/>
          </w:tcPr>
          <w:p w14:paraId="4EF8CDC1" w14:textId="68EE897D"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[0.5;</w:t>
            </w:r>
          </w:p>
        </w:tc>
        <w:tc>
          <w:tcPr>
            <w:tcW w:w="194" w:type="pct"/>
            <w:noWrap/>
            <w:vAlign w:val="center"/>
            <w:hideMark/>
          </w:tcPr>
          <w:p w14:paraId="39FA4D6A"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1.4]</w:t>
            </w:r>
          </w:p>
        </w:tc>
        <w:tc>
          <w:tcPr>
            <w:tcW w:w="253" w:type="pct"/>
            <w:noWrap/>
            <w:vAlign w:val="center"/>
            <w:hideMark/>
          </w:tcPr>
          <w:p w14:paraId="5278AF5A"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37.8</w:t>
            </w:r>
          </w:p>
        </w:tc>
        <w:tc>
          <w:tcPr>
            <w:tcW w:w="235" w:type="pct"/>
            <w:noWrap/>
            <w:vAlign w:val="center"/>
            <w:hideMark/>
          </w:tcPr>
          <w:p w14:paraId="7AEBF359" w14:textId="221D6903"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[34.1;</w:t>
            </w:r>
          </w:p>
        </w:tc>
        <w:tc>
          <w:tcPr>
            <w:tcW w:w="221" w:type="pct"/>
            <w:noWrap/>
            <w:vAlign w:val="center"/>
            <w:hideMark/>
          </w:tcPr>
          <w:p w14:paraId="48E38D80"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41.6]</w:t>
            </w:r>
          </w:p>
        </w:tc>
        <w:tc>
          <w:tcPr>
            <w:tcW w:w="271" w:type="pct"/>
            <w:noWrap/>
            <w:vAlign w:val="center"/>
            <w:hideMark/>
          </w:tcPr>
          <w:p w14:paraId="5CB83E31"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18</w:t>
            </w:r>
          </w:p>
        </w:tc>
        <w:tc>
          <w:tcPr>
            <w:tcW w:w="236" w:type="pct"/>
            <w:noWrap/>
            <w:vAlign w:val="center"/>
            <w:hideMark/>
          </w:tcPr>
          <w:p w14:paraId="2336BDB6" w14:textId="5D526171"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[16.1;</w:t>
            </w:r>
          </w:p>
        </w:tc>
        <w:tc>
          <w:tcPr>
            <w:tcW w:w="253" w:type="pct"/>
            <w:noWrap/>
            <w:vAlign w:val="center"/>
            <w:hideMark/>
          </w:tcPr>
          <w:p w14:paraId="0618B5C7"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19.9]</w:t>
            </w:r>
          </w:p>
        </w:tc>
        <w:tc>
          <w:tcPr>
            <w:tcW w:w="302" w:type="pct"/>
            <w:vAlign w:val="center"/>
          </w:tcPr>
          <w:p w14:paraId="26F05FAA" w14:textId="70A966DB"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167</w:t>
            </w:r>
          </w:p>
        </w:tc>
      </w:tr>
      <w:tr w:rsidR="00B9468A" w:rsidRPr="00EE421A" w14:paraId="4422E2A4" w14:textId="6E92C5BC" w:rsidTr="006C491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 w:type="pct"/>
            <w:noWrap/>
            <w:vAlign w:val="center"/>
            <w:hideMark/>
          </w:tcPr>
          <w:p w14:paraId="5D08523A" w14:textId="77777777" w:rsidR="00EE421A" w:rsidRPr="00EE421A" w:rsidRDefault="00EE421A" w:rsidP="00F34451">
            <w:pPr>
              <w:rPr>
                <w:rFonts w:cs="Arial"/>
                <w:color w:val="000000"/>
                <w:sz w:val="18"/>
                <w:szCs w:val="18"/>
              </w:rPr>
            </w:pPr>
            <w:r w:rsidRPr="00EE421A">
              <w:rPr>
                <w:rFonts w:cs="Arial"/>
                <w:color w:val="000000"/>
                <w:sz w:val="18"/>
                <w:szCs w:val="18"/>
              </w:rPr>
              <w:t>2008/09</w:t>
            </w:r>
          </w:p>
        </w:tc>
        <w:tc>
          <w:tcPr>
            <w:tcW w:w="301" w:type="pct"/>
            <w:noWrap/>
            <w:vAlign w:val="center"/>
            <w:hideMark/>
          </w:tcPr>
          <w:p w14:paraId="23475C8E"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50</w:t>
            </w:r>
          </w:p>
        </w:tc>
        <w:tc>
          <w:tcPr>
            <w:tcW w:w="243" w:type="pct"/>
            <w:noWrap/>
            <w:vAlign w:val="center"/>
            <w:hideMark/>
          </w:tcPr>
          <w:p w14:paraId="03B67321" w14:textId="3C712596" w:rsidR="00EE421A" w:rsidRPr="00EE421A" w:rsidRDefault="00EE421A" w:rsidP="00EE421A">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[50;</w:t>
            </w:r>
          </w:p>
        </w:tc>
        <w:tc>
          <w:tcPr>
            <w:tcW w:w="219" w:type="pct"/>
            <w:noWrap/>
            <w:vAlign w:val="center"/>
            <w:hideMark/>
          </w:tcPr>
          <w:p w14:paraId="096B6DAB"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50]</w:t>
            </w:r>
          </w:p>
        </w:tc>
        <w:tc>
          <w:tcPr>
            <w:tcW w:w="301" w:type="pct"/>
            <w:noWrap/>
            <w:vAlign w:val="center"/>
            <w:hideMark/>
          </w:tcPr>
          <w:p w14:paraId="795AE0D4"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59.7</w:t>
            </w:r>
          </w:p>
        </w:tc>
        <w:tc>
          <w:tcPr>
            <w:tcW w:w="296" w:type="pct"/>
            <w:noWrap/>
            <w:vAlign w:val="center"/>
            <w:hideMark/>
          </w:tcPr>
          <w:p w14:paraId="2E702F8F" w14:textId="5BBBB6CB"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[56.6;</w:t>
            </w:r>
          </w:p>
        </w:tc>
        <w:tc>
          <w:tcPr>
            <w:tcW w:w="252" w:type="pct"/>
            <w:noWrap/>
            <w:vAlign w:val="center"/>
            <w:hideMark/>
          </w:tcPr>
          <w:p w14:paraId="20DD553F" w14:textId="77777777" w:rsidR="00EE421A" w:rsidRPr="00EE421A" w:rsidRDefault="00EE421A" w:rsidP="00EE421A">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62.7]</w:t>
            </w:r>
          </w:p>
        </w:tc>
        <w:tc>
          <w:tcPr>
            <w:tcW w:w="251" w:type="pct"/>
            <w:noWrap/>
            <w:vAlign w:val="center"/>
            <w:hideMark/>
          </w:tcPr>
          <w:p w14:paraId="661C129F"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0</w:t>
            </w:r>
          </w:p>
        </w:tc>
        <w:tc>
          <w:tcPr>
            <w:tcW w:w="300" w:type="pct"/>
            <w:noWrap/>
            <w:vAlign w:val="center"/>
            <w:hideMark/>
          </w:tcPr>
          <w:p w14:paraId="5E035B91"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roofErr w:type="spellStart"/>
            <w:r w:rsidRPr="00EE421A">
              <w:rPr>
                <w:rFonts w:cs="Arial"/>
                <w:color w:val="000000"/>
                <w:sz w:val="18"/>
                <w:szCs w:val="18"/>
              </w:rPr>
              <w:t>n.a</w:t>
            </w:r>
            <w:proofErr w:type="spellEnd"/>
            <w:r w:rsidRPr="00EE421A">
              <w:rPr>
                <w:rFonts w:cs="Arial"/>
                <w:color w:val="000000"/>
                <w:sz w:val="18"/>
                <w:szCs w:val="18"/>
              </w:rPr>
              <w:t>.</w:t>
            </w:r>
          </w:p>
        </w:tc>
        <w:tc>
          <w:tcPr>
            <w:tcW w:w="269" w:type="pct"/>
            <w:noWrap/>
            <w:vAlign w:val="center"/>
            <w:hideMark/>
          </w:tcPr>
          <w:p w14:paraId="4854724E"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1.1</w:t>
            </w:r>
          </w:p>
        </w:tc>
        <w:tc>
          <w:tcPr>
            <w:tcW w:w="210" w:type="pct"/>
            <w:gridSpan w:val="2"/>
            <w:noWrap/>
            <w:vAlign w:val="center"/>
            <w:hideMark/>
          </w:tcPr>
          <w:p w14:paraId="6AB202EF" w14:textId="4B6078A4" w:rsidR="00EE421A" w:rsidRPr="00EE421A" w:rsidRDefault="00EE421A" w:rsidP="00EE421A">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[0.6;</w:t>
            </w:r>
          </w:p>
        </w:tc>
        <w:tc>
          <w:tcPr>
            <w:tcW w:w="194" w:type="pct"/>
            <w:noWrap/>
            <w:vAlign w:val="center"/>
            <w:hideMark/>
          </w:tcPr>
          <w:p w14:paraId="4A277A8B" w14:textId="77777777" w:rsidR="00EE421A" w:rsidRPr="00EE421A" w:rsidRDefault="00EE421A" w:rsidP="00EE421A">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1.6]</w:t>
            </w:r>
          </w:p>
        </w:tc>
        <w:tc>
          <w:tcPr>
            <w:tcW w:w="253" w:type="pct"/>
            <w:noWrap/>
            <w:vAlign w:val="center"/>
            <w:hideMark/>
          </w:tcPr>
          <w:p w14:paraId="6794F9AA"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37.6</w:t>
            </w:r>
          </w:p>
        </w:tc>
        <w:tc>
          <w:tcPr>
            <w:tcW w:w="235" w:type="pct"/>
            <w:noWrap/>
            <w:vAlign w:val="center"/>
            <w:hideMark/>
          </w:tcPr>
          <w:p w14:paraId="593AE06C" w14:textId="4F00FED3" w:rsidR="00EE421A" w:rsidRPr="00EE421A" w:rsidRDefault="00EE421A" w:rsidP="00EE421A">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[33.9;</w:t>
            </w:r>
          </w:p>
        </w:tc>
        <w:tc>
          <w:tcPr>
            <w:tcW w:w="221" w:type="pct"/>
            <w:noWrap/>
            <w:vAlign w:val="center"/>
            <w:hideMark/>
          </w:tcPr>
          <w:p w14:paraId="42C07E21" w14:textId="77777777" w:rsidR="00EE421A" w:rsidRPr="00EE421A" w:rsidRDefault="00EE421A" w:rsidP="00EE421A">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41.2]</w:t>
            </w:r>
          </w:p>
        </w:tc>
        <w:tc>
          <w:tcPr>
            <w:tcW w:w="271" w:type="pct"/>
            <w:noWrap/>
            <w:vAlign w:val="center"/>
            <w:hideMark/>
          </w:tcPr>
          <w:p w14:paraId="6DB38B3B"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15.3</w:t>
            </w:r>
          </w:p>
        </w:tc>
        <w:tc>
          <w:tcPr>
            <w:tcW w:w="236" w:type="pct"/>
            <w:noWrap/>
            <w:vAlign w:val="center"/>
            <w:hideMark/>
          </w:tcPr>
          <w:p w14:paraId="1BF14F12" w14:textId="743CB6EC" w:rsidR="00EE421A" w:rsidRPr="00EE421A" w:rsidRDefault="00EE421A" w:rsidP="00EE421A">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[13.4;</w:t>
            </w:r>
          </w:p>
        </w:tc>
        <w:tc>
          <w:tcPr>
            <w:tcW w:w="253" w:type="pct"/>
            <w:noWrap/>
            <w:vAlign w:val="center"/>
            <w:hideMark/>
          </w:tcPr>
          <w:p w14:paraId="13732A1A" w14:textId="77777777" w:rsidR="00EE421A" w:rsidRPr="00EE421A" w:rsidRDefault="00EE421A" w:rsidP="00EE421A">
            <w:pP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cs="Arial"/>
                <w:color w:val="000000"/>
                <w:sz w:val="18"/>
                <w:szCs w:val="18"/>
              </w:rPr>
              <w:t>17.2]</w:t>
            </w:r>
          </w:p>
        </w:tc>
        <w:tc>
          <w:tcPr>
            <w:tcW w:w="302" w:type="pct"/>
            <w:vAlign w:val="center"/>
          </w:tcPr>
          <w:p w14:paraId="0FB8BA5B" w14:textId="2DDBD5DF"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163.7</w:t>
            </w:r>
          </w:p>
        </w:tc>
      </w:tr>
      <w:tr w:rsidR="00EE421A" w:rsidRPr="00EE421A" w14:paraId="5437C342" w14:textId="3CD1EEAE" w:rsidTr="006C491B">
        <w:trPr>
          <w:trHeight w:hRule="exact" w:val="397"/>
        </w:trPr>
        <w:tc>
          <w:tcPr>
            <w:cnfStyle w:val="001000000000" w:firstRow="0" w:lastRow="0" w:firstColumn="1" w:lastColumn="0" w:oddVBand="0" w:evenVBand="0" w:oddHBand="0" w:evenHBand="0" w:firstRowFirstColumn="0" w:firstRowLastColumn="0" w:lastRowFirstColumn="0" w:lastRowLastColumn="0"/>
            <w:tcW w:w="393" w:type="pct"/>
            <w:noWrap/>
            <w:vAlign w:val="center"/>
            <w:hideMark/>
          </w:tcPr>
          <w:p w14:paraId="095D7417" w14:textId="77777777" w:rsidR="00EE421A" w:rsidRPr="00EE421A" w:rsidRDefault="00EE421A" w:rsidP="00F34451">
            <w:pPr>
              <w:rPr>
                <w:rFonts w:cs="Arial"/>
                <w:color w:val="000000"/>
                <w:sz w:val="18"/>
                <w:szCs w:val="18"/>
              </w:rPr>
            </w:pPr>
            <w:r w:rsidRPr="00EE421A">
              <w:rPr>
                <w:rFonts w:cs="Arial"/>
                <w:color w:val="000000"/>
                <w:sz w:val="18"/>
                <w:szCs w:val="18"/>
              </w:rPr>
              <w:t>2009/10</w:t>
            </w:r>
          </w:p>
        </w:tc>
        <w:tc>
          <w:tcPr>
            <w:tcW w:w="301" w:type="pct"/>
            <w:noWrap/>
            <w:vAlign w:val="center"/>
            <w:hideMark/>
          </w:tcPr>
          <w:p w14:paraId="613B46E8"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51</w:t>
            </w:r>
          </w:p>
        </w:tc>
        <w:tc>
          <w:tcPr>
            <w:tcW w:w="243" w:type="pct"/>
            <w:noWrap/>
            <w:vAlign w:val="center"/>
            <w:hideMark/>
          </w:tcPr>
          <w:p w14:paraId="3A1C2718" w14:textId="58426682"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[51;</w:t>
            </w:r>
          </w:p>
        </w:tc>
        <w:tc>
          <w:tcPr>
            <w:tcW w:w="219" w:type="pct"/>
            <w:noWrap/>
            <w:vAlign w:val="center"/>
            <w:hideMark/>
          </w:tcPr>
          <w:p w14:paraId="6514A460"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51]</w:t>
            </w:r>
          </w:p>
        </w:tc>
        <w:tc>
          <w:tcPr>
            <w:tcW w:w="301" w:type="pct"/>
            <w:noWrap/>
            <w:vAlign w:val="center"/>
            <w:hideMark/>
          </w:tcPr>
          <w:p w14:paraId="63F2DCDA"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74.1</w:t>
            </w:r>
          </w:p>
        </w:tc>
        <w:tc>
          <w:tcPr>
            <w:tcW w:w="296" w:type="pct"/>
            <w:noWrap/>
            <w:vAlign w:val="center"/>
            <w:hideMark/>
          </w:tcPr>
          <w:p w14:paraId="770F7933" w14:textId="06635CED"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[70.9;</w:t>
            </w:r>
          </w:p>
        </w:tc>
        <w:tc>
          <w:tcPr>
            <w:tcW w:w="252" w:type="pct"/>
            <w:noWrap/>
            <w:vAlign w:val="center"/>
            <w:hideMark/>
          </w:tcPr>
          <w:p w14:paraId="27A989D9"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77.4]</w:t>
            </w:r>
          </w:p>
        </w:tc>
        <w:tc>
          <w:tcPr>
            <w:tcW w:w="251" w:type="pct"/>
            <w:noWrap/>
            <w:vAlign w:val="center"/>
            <w:hideMark/>
          </w:tcPr>
          <w:p w14:paraId="2E1A0819"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0</w:t>
            </w:r>
          </w:p>
        </w:tc>
        <w:tc>
          <w:tcPr>
            <w:tcW w:w="300" w:type="pct"/>
            <w:noWrap/>
            <w:vAlign w:val="center"/>
            <w:hideMark/>
          </w:tcPr>
          <w:p w14:paraId="37B57EC0"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roofErr w:type="spellStart"/>
            <w:r w:rsidRPr="00EE421A">
              <w:rPr>
                <w:rFonts w:cs="Arial"/>
                <w:color w:val="000000"/>
                <w:sz w:val="18"/>
                <w:szCs w:val="18"/>
              </w:rPr>
              <w:t>n.a</w:t>
            </w:r>
            <w:proofErr w:type="spellEnd"/>
            <w:r w:rsidRPr="00EE421A">
              <w:rPr>
                <w:rFonts w:cs="Arial"/>
                <w:color w:val="000000"/>
                <w:sz w:val="18"/>
                <w:szCs w:val="18"/>
              </w:rPr>
              <w:t>.</w:t>
            </w:r>
          </w:p>
        </w:tc>
        <w:tc>
          <w:tcPr>
            <w:tcW w:w="269" w:type="pct"/>
            <w:noWrap/>
            <w:vAlign w:val="center"/>
            <w:hideMark/>
          </w:tcPr>
          <w:p w14:paraId="619F0357"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1.1</w:t>
            </w:r>
          </w:p>
        </w:tc>
        <w:tc>
          <w:tcPr>
            <w:tcW w:w="210" w:type="pct"/>
            <w:gridSpan w:val="2"/>
            <w:noWrap/>
            <w:vAlign w:val="center"/>
            <w:hideMark/>
          </w:tcPr>
          <w:p w14:paraId="2C500A55" w14:textId="2CF09F74"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[0.7;</w:t>
            </w:r>
          </w:p>
        </w:tc>
        <w:tc>
          <w:tcPr>
            <w:tcW w:w="194" w:type="pct"/>
            <w:noWrap/>
            <w:vAlign w:val="center"/>
            <w:hideMark/>
          </w:tcPr>
          <w:p w14:paraId="15A91DAC"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1.6]</w:t>
            </w:r>
          </w:p>
        </w:tc>
        <w:tc>
          <w:tcPr>
            <w:tcW w:w="253" w:type="pct"/>
            <w:noWrap/>
            <w:vAlign w:val="center"/>
            <w:hideMark/>
          </w:tcPr>
          <w:p w14:paraId="13E40B35"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32.7</w:t>
            </w:r>
          </w:p>
        </w:tc>
        <w:tc>
          <w:tcPr>
            <w:tcW w:w="235" w:type="pct"/>
            <w:noWrap/>
            <w:vAlign w:val="center"/>
            <w:hideMark/>
          </w:tcPr>
          <w:p w14:paraId="2E8E9AD1" w14:textId="2621F730"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[28.9;</w:t>
            </w:r>
          </w:p>
        </w:tc>
        <w:tc>
          <w:tcPr>
            <w:tcW w:w="221" w:type="pct"/>
            <w:noWrap/>
            <w:vAlign w:val="center"/>
            <w:hideMark/>
          </w:tcPr>
          <w:p w14:paraId="2FD5FDFF"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36.5]</w:t>
            </w:r>
          </w:p>
        </w:tc>
        <w:tc>
          <w:tcPr>
            <w:tcW w:w="271" w:type="pct"/>
            <w:noWrap/>
            <w:vAlign w:val="center"/>
            <w:hideMark/>
          </w:tcPr>
          <w:p w14:paraId="3F7DF0B6" w14:textId="77777777"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15.2</w:t>
            </w:r>
          </w:p>
        </w:tc>
        <w:tc>
          <w:tcPr>
            <w:tcW w:w="236" w:type="pct"/>
            <w:noWrap/>
            <w:vAlign w:val="center"/>
            <w:hideMark/>
          </w:tcPr>
          <w:p w14:paraId="5D883E1F" w14:textId="0014C24F" w:rsidR="00EE421A" w:rsidRPr="00EE421A" w:rsidRDefault="00EE421A" w:rsidP="00EE421A">
            <w:pPr>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[13.3;</w:t>
            </w:r>
          </w:p>
        </w:tc>
        <w:tc>
          <w:tcPr>
            <w:tcW w:w="253" w:type="pct"/>
            <w:noWrap/>
            <w:vAlign w:val="center"/>
            <w:hideMark/>
          </w:tcPr>
          <w:p w14:paraId="4EC41A74" w14:textId="77777777" w:rsidR="00EE421A" w:rsidRPr="00EE421A" w:rsidRDefault="00EE421A" w:rsidP="00EE421A">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cs="Arial"/>
                <w:color w:val="000000"/>
                <w:sz w:val="18"/>
                <w:szCs w:val="18"/>
              </w:rPr>
              <w:t>17.1]</w:t>
            </w:r>
          </w:p>
        </w:tc>
        <w:tc>
          <w:tcPr>
            <w:tcW w:w="302" w:type="pct"/>
            <w:vAlign w:val="center"/>
          </w:tcPr>
          <w:p w14:paraId="5CBE56D6" w14:textId="65A89EA8" w:rsidR="00EE421A" w:rsidRPr="00EE421A" w:rsidRDefault="00EE421A" w:rsidP="00EE421A">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174.1</w:t>
            </w:r>
          </w:p>
        </w:tc>
      </w:tr>
      <w:tr w:rsidR="00B9468A" w:rsidRPr="00EE421A" w14:paraId="5D09D8DA" w14:textId="0D16307A" w:rsidTr="006C491B">
        <w:trPr>
          <w:cnfStyle w:val="000000100000" w:firstRow="0" w:lastRow="0" w:firstColumn="0" w:lastColumn="0" w:oddVBand="0" w:evenVBand="0" w:oddHBand="1" w:evenHBand="0" w:firstRowFirstColumn="0" w:firstRowLastColumn="0" w:lastRowFirstColumn="0" w:lastRowLastColumn="0"/>
          <w:trHeight w:hRule="exact" w:val="858"/>
        </w:trPr>
        <w:tc>
          <w:tcPr>
            <w:cnfStyle w:val="001000000000" w:firstRow="0" w:lastRow="0" w:firstColumn="1" w:lastColumn="0" w:oddVBand="0" w:evenVBand="0" w:oddHBand="0" w:evenHBand="0" w:firstRowFirstColumn="0" w:firstRowLastColumn="0" w:lastRowFirstColumn="0" w:lastRowLastColumn="0"/>
            <w:tcW w:w="393" w:type="pct"/>
            <w:noWrap/>
            <w:vAlign w:val="center"/>
          </w:tcPr>
          <w:p w14:paraId="40888BC3" w14:textId="5DD11D7A" w:rsidR="00EE421A" w:rsidRPr="00EE421A" w:rsidRDefault="00EE421A" w:rsidP="00F34451">
            <w:pPr>
              <w:rPr>
                <w:rFonts w:cs="Arial"/>
                <w:color w:val="000000"/>
                <w:sz w:val="18"/>
                <w:szCs w:val="18"/>
              </w:rPr>
            </w:pPr>
            <w:r w:rsidRPr="00EE421A">
              <w:rPr>
                <w:rFonts w:cs="Arial"/>
                <w:color w:val="000000"/>
                <w:sz w:val="18"/>
                <w:szCs w:val="18"/>
              </w:rPr>
              <w:t>Average across all years</w:t>
            </w:r>
          </w:p>
        </w:tc>
        <w:tc>
          <w:tcPr>
            <w:tcW w:w="301" w:type="pct"/>
            <w:noWrap/>
            <w:vAlign w:val="center"/>
          </w:tcPr>
          <w:p w14:paraId="51669D24" w14:textId="78CEDAAA"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55.06</w:t>
            </w:r>
          </w:p>
        </w:tc>
        <w:tc>
          <w:tcPr>
            <w:tcW w:w="243" w:type="pct"/>
            <w:noWrap/>
            <w:vAlign w:val="center"/>
          </w:tcPr>
          <w:p w14:paraId="68A75E18"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219" w:type="pct"/>
            <w:noWrap/>
            <w:vAlign w:val="center"/>
          </w:tcPr>
          <w:p w14:paraId="77D1ADC2"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301" w:type="pct"/>
            <w:noWrap/>
            <w:vAlign w:val="center"/>
          </w:tcPr>
          <w:p w14:paraId="4203F306" w14:textId="32A7A7B1"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58.04</w:t>
            </w:r>
          </w:p>
        </w:tc>
        <w:tc>
          <w:tcPr>
            <w:tcW w:w="296" w:type="pct"/>
            <w:noWrap/>
            <w:vAlign w:val="center"/>
          </w:tcPr>
          <w:p w14:paraId="2C8EF749"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252" w:type="pct"/>
            <w:noWrap/>
            <w:vAlign w:val="center"/>
          </w:tcPr>
          <w:p w14:paraId="03B177A7"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251" w:type="pct"/>
            <w:noWrap/>
            <w:vAlign w:val="center"/>
          </w:tcPr>
          <w:p w14:paraId="4A47E3C3" w14:textId="64D8F58F"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0</w:t>
            </w:r>
          </w:p>
        </w:tc>
        <w:tc>
          <w:tcPr>
            <w:tcW w:w="300" w:type="pct"/>
            <w:noWrap/>
            <w:vAlign w:val="center"/>
          </w:tcPr>
          <w:p w14:paraId="42F97C1E"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269" w:type="pct"/>
            <w:noWrap/>
            <w:vAlign w:val="center"/>
          </w:tcPr>
          <w:p w14:paraId="4D703E48" w14:textId="72515AFE"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1.16</w:t>
            </w:r>
          </w:p>
        </w:tc>
        <w:tc>
          <w:tcPr>
            <w:tcW w:w="210" w:type="pct"/>
            <w:gridSpan w:val="2"/>
            <w:noWrap/>
            <w:vAlign w:val="center"/>
          </w:tcPr>
          <w:p w14:paraId="6612274C"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194" w:type="pct"/>
            <w:noWrap/>
            <w:vAlign w:val="center"/>
          </w:tcPr>
          <w:p w14:paraId="617A71F6"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253" w:type="pct"/>
            <w:noWrap/>
            <w:vAlign w:val="center"/>
          </w:tcPr>
          <w:p w14:paraId="3172E507" w14:textId="361CBFA1"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33.58</w:t>
            </w:r>
          </w:p>
        </w:tc>
        <w:tc>
          <w:tcPr>
            <w:tcW w:w="235" w:type="pct"/>
            <w:noWrap/>
            <w:vAlign w:val="center"/>
          </w:tcPr>
          <w:p w14:paraId="1FC8FE49"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221" w:type="pct"/>
            <w:noWrap/>
            <w:vAlign w:val="center"/>
          </w:tcPr>
          <w:p w14:paraId="7CCFE798"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271" w:type="pct"/>
            <w:noWrap/>
            <w:vAlign w:val="center"/>
          </w:tcPr>
          <w:p w14:paraId="4EF4B172" w14:textId="07F058FC"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17.18</w:t>
            </w:r>
          </w:p>
        </w:tc>
        <w:tc>
          <w:tcPr>
            <w:tcW w:w="236" w:type="pct"/>
            <w:noWrap/>
            <w:vAlign w:val="center"/>
          </w:tcPr>
          <w:p w14:paraId="1C484CBD"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253" w:type="pct"/>
            <w:noWrap/>
            <w:vAlign w:val="center"/>
          </w:tcPr>
          <w:p w14:paraId="1CB4BED6" w14:textId="77777777"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302" w:type="pct"/>
            <w:vAlign w:val="center"/>
          </w:tcPr>
          <w:p w14:paraId="274E7EE8" w14:textId="10DB7A49" w:rsidR="00EE421A" w:rsidRPr="00EE421A" w:rsidRDefault="00EE421A" w:rsidP="00EE421A">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E421A">
              <w:rPr>
                <w:rFonts w:eastAsia="Times New Roman" w:cs="Times New Roman"/>
                <w:color w:val="000000"/>
                <w:sz w:val="18"/>
                <w:szCs w:val="18"/>
              </w:rPr>
              <w:t>165.02</w:t>
            </w:r>
          </w:p>
        </w:tc>
      </w:tr>
    </w:tbl>
    <w:p w14:paraId="3313629A" w14:textId="77777777" w:rsidR="00F34451" w:rsidRDefault="00F34451">
      <w:pPr>
        <w:spacing w:after="160" w:line="259" w:lineRule="auto"/>
        <w:rPr>
          <w:rFonts w:cs="Times New Roman"/>
          <w:sz w:val="18"/>
          <w:szCs w:val="18"/>
        </w:rPr>
      </w:pPr>
    </w:p>
    <w:p w14:paraId="5939E526" w14:textId="77777777" w:rsidR="009454C1" w:rsidRPr="00616F4F" w:rsidRDefault="009454C1">
      <w:pPr>
        <w:spacing w:after="160" w:line="259" w:lineRule="auto"/>
        <w:rPr>
          <w:rFonts w:cs="Times New Roman"/>
          <w:sz w:val="18"/>
          <w:szCs w:val="18"/>
        </w:rPr>
      </w:pPr>
    </w:p>
    <w:p w14:paraId="598BC98D" w14:textId="54983DE8" w:rsidR="00E23FFA" w:rsidRPr="00616F4F" w:rsidRDefault="00E23FFA">
      <w:pPr>
        <w:spacing w:after="160" w:line="259" w:lineRule="auto"/>
        <w:rPr>
          <w:rFonts w:cs="Times New Roman"/>
          <w:sz w:val="18"/>
          <w:szCs w:val="18"/>
        </w:rPr>
      </w:pPr>
      <w:r w:rsidRPr="00616F4F">
        <w:rPr>
          <w:rFonts w:cs="Times New Roman"/>
          <w:sz w:val="18"/>
          <w:szCs w:val="18"/>
        </w:rPr>
        <w:br w:type="page"/>
      </w:r>
    </w:p>
    <w:p w14:paraId="13825646" w14:textId="71A028F9" w:rsidR="00F34451" w:rsidRPr="00616F4F" w:rsidRDefault="00F34451" w:rsidP="00F34451">
      <w:pPr>
        <w:pStyle w:val="Heading2"/>
        <w:rPr>
          <w:rFonts w:asciiTheme="minorHAnsi" w:hAnsiTheme="minorHAnsi" w:cs="Arial"/>
          <w:sz w:val="22"/>
          <w:szCs w:val="22"/>
        </w:rPr>
      </w:pPr>
      <w:bookmarkStart w:id="29" w:name="_Toc457312925"/>
      <w:r w:rsidRPr="00616F4F">
        <w:rPr>
          <w:rFonts w:asciiTheme="minorHAnsi" w:hAnsiTheme="minorHAnsi" w:cs="Arial"/>
          <w:sz w:val="22"/>
          <w:szCs w:val="22"/>
        </w:rPr>
        <w:lastRenderedPageBreak/>
        <w:t xml:space="preserve">Table </w:t>
      </w:r>
      <w:r w:rsidR="00635E43" w:rsidRPr="00616F4F">
        <w:rPr>
          <w:rFonts w:asciiTheme="minorHAnsi" w:hAnsiTheme="minorHAnsi" w:cs="Arial"/>
          <w:sz w:val="22"/>
          <w:szCs w:val="22"/>
        </w:rPr>
        <w:t>S</w:t>
      </w:r>
      <w:r w:rsidR="00635E43">
        <w:rPr>
          <w:rFonts w:asciiTheme="minorHAnsi" w:hAnsiTheme="minorHAnsi" w:cs="Arial"/>
          <w:sz w:val="22"/>
          <w:szCs w:val="22"/>
        </w:rPr>
        <w:t>DC</w:t>
      </w:r>
      <w:r w:rsidR="00892AA4">
        <w:rPr>
          <w:rFonts w:asciiTheme="minorHAnsi" w:hAnsiTheme="minorHAnsi" w:cs="Arial"/>
          <w:sz w:val="22"/>
          <w:szCs w:val="22"/>
        </w:rPr>
        <w:t>11</w:t>
      </w:r>
      <w:r w:rsidRPr="00616F4F">
        <w:rPr>
          <w:rFonts w:asciiTheme="minorHAnsi" w:hAnsiTheme="minorHAnsi" w:cs="Arial"/>
          <w:sz w:val="22"/>
          <w:szCs w:val="22"/>
        </w:rPr>
        <w:t>: Excess bed days due to six patient safety incidents, annual estimates for an average English hospital</w:t>
      </w:r>
      <w:bookmarkEnd w:id="29"/>
    </w:p>
    <w:p w14:paraId="4B3065BD" w14:textId="77777777" w:rsidR="00F34451" w:rsidRPr="00616F4F" w:rsidRDefault="00F34451">
      <w:pPr>
        <w:spacing w:after="160" w:line="259" w:lineRule="auto"/>
        <w:rPr>
          <w:rFonts w:cs="Times New Roman"/>
          <w:sz w:val="18"/>
          <w:szCs w:val="18"/>
        </w:rPr>
      </w:pPr>
    </w:p>
    <w:tbl>
      <w:tblPr>
        <w:tblStyle w:val="GridTable4-Accent12"/>
        <w:tblW w:w="5140" w:type="pct"/>
        <w:tblLayout w:type="fixed"/>
        <w:tblLook w:val="04A0" w:firstRow="1" w:lastRow="0" w:firstColumn="1" w:lastColumn="0" w:noHBand="0" w:noVBand="1"/>
      </w:tblPr>
      <w:tblGrid>
        <w:gridCol w:w="1002"/>
        <w:gridCol w:w="666"/>
        <w:gridCol w:w="1256"/>
        <w:gridCol w:w="837"/>
        <w:gridCol w:w="1402"/>
        <w:gridCol w:w="691"/>
        <w:gridCol w:w="1121"/>
        <w:gridCol w:w="691"/>
        <w:gridCol w:w="1121"/>
        <w:gridCol w:w="837"/>
        <w:gridCol w:w="1262"/>
        <w:gridCol w:w="837"/>
        <w:gridCol w:w="1262"/>
        <w:gridCol w:w="1354"/>
      </w:tblGrid>
      <w:tr w:rsidR="00FA6F29" w:rsidRPr="00616F4F" w14:paraId="7AEB31E8" w14:textId="53347FF7" w:rsidTr="006C491B">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49" w:type="pct"/>
            <w:noWrap/>
            <w:hideMark/>
          </w:tcPr>
          <w:p w14:paraId="7C0C48A0" w14:textId="77777777" w:rsidR="00FA6F29" w:rsidRPr="00616F4F" w:rsidRDefault="00FA6F29" w:rsidP="00F34451">
            <w:pPr>
              <w:spacing w:after="0" w:line="240" w:lineRule="auto"/>
              <w:rPr>
                <w:rFonts w:eastAsia="Times New Roman" w:cs="Arial"/>
                <w:b w:val="0"/>
                <w:sz w:val="18"/>
                <w:szCs w:val="18"/>
              </w:rPr>
            </w:pPr>
          </w:p>
        </w:tc>
        <w:tc>
          <w:tcPr>
            <w:tcW w:w="670" w:type="pct"/>
            <w:gridSpan w:val="2"/>
            <w:noWrap/>
            <w:vAlign w:val="center"/>
            <w:hideMark/>
          </w:tcPr>
          <w:p w14:paraId="7E4B2CAA" w14:textId="77777777" w:rsidR="00FA6F29" w:rsidRPr="00616F4F" w:rsidRDefault="00FA6F29" w:rsidP="00F344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rPr>
            </w:pPr>
            <w:r w:rsidRPr="00616F4F">
              <w:rPr>
                <w:rFonts w:eastAsia="Times New Roman" w:cs="Arial"/>
                <w:sz w:val="18"/>
                <w:szCs w:val="18"/>
              </w:rPr>
              <w:t>Death in low-mortality HRG</w:t>
            </w:r>
          </w:p>
        </w:tc>
        <w:tc>
          <w:tcPr>
            <w:tcW w:w="781" w:type="pct"/>
            <w:gridSpan w:val="2"/>
            <w:noWrap/>
            <w:vAlign w:val="center"/>
            <w:hideMark/>
          </w:tcPr>
          <w:p w14:paraId="24FD706B" w14:textId="77777777" w:rsidR="00FA6F29" w:rsidRPr="00616F4F" w:rsidRDefault="00FA6F29" w:rsidP="00F344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rPr>
            </w:pPr>
            <w:r w:rsidRPr="00616F4F">
              <w:rPr>
                <w:rFonts w:eastAsia="Times New Roman" w:cs="Arial"/>
                <w:sz w:val="18"/>
                <w:szCs w:val="18"/>
              </w:rPr>
              <w:t>Pressure Ulcer</w:t>
            </w:r>
          </w:p>
        </w:tc>
        <w:tc>
          <w:tcPr>
            <w:tcW w:w="632" w:type="pct"/>
            <w:gridSpan w:val="2"/>
            <w:noWrap/>
            <w:vAlign w:val="center"/>
            <w:hideMark/>
          </w:tcPr>
          <w:p w14:paraId="29CE79B0" w14:textId="77777777" w:rsidR="00FA6F29" w:rsidRPr="00616F4F" w:rsidRDefault="00FA6F29" w:rsidP="00F344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rPr>
            </w:pPr>
            <w:r w:rsidRPr="00616F4F">
              <w:rPr>
                <w:rFonts w:eastAsia="Times New Roman" w:cs="Arial"/>
                <w:sz w:val="18"/>
                <w:szCs w:val="18"/>
              </w:rPr>
              <w:t>Central line infection</w:t>
            </w:r>
          </w:p>
        </w:tc>
        <w:tc>
          <w:tcPr>
            <w:tcW w:w="632" w:type="pct"/>
            <w:gridSpan w:val="2"/>
            <w:noWrap/>
            <w:vAlign w:val="center"/>
            <w:hideMark/>
          </w:tcPr>
          <w:p w14:paraId="711F0CFB" w14:textId="77777777" w:rsidR="00FA6F29" w:rsidRPr="00616F4F" w:rsidRDefault="00FA6F29" w:rsidP="00F344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rPr>
            </w:pPr>
            <w:r w:rsidRPr="00616F4F">
              <w:rPr>
                <w:rFonts w:eastAsia="Times New Roman" w:cs="Arial"/>
                <w:sz w:val="18"/>
                <w:szCs w:val="18"/>
              </w:rPr>
              <w:t>Hip fracture</w:t>
            </w:r>
          </w:p>
        </w:tc>
        <w:tc>
          <w:tcPr>
            <w:tcW w:w="732" w:type="pct"/>
            <w:gridSpan w:val="2"/>
            <w:vAlign w:val="center"/>
            <w:hideMark/>
          </w:tcPr>
          <w:p w14:paraId="4F41F44A" w14:textId="369CE9CF" w:rsidR="00FA6F29" w:rsidRPr="00616F4F" w:rsidRDefault="00FA6F29" w:rsidP="00F344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rPr>
            </w:pPr>
            <w:r w:rsidRPr="00616F4F">
              <w:rPr>
                <w:rFonts w:eastAsia="Times New Roman" w:cs="Arial"/>
                <w:sz w:val="18"/>
                <w:szCs w:val="18"/>
              </w:rPr>
              <w:t>DVT/PE</w:t>
            </w:r>
          </w:p>
        </w:tc>
        <w:tc>
          <w:tcPr>
            <w:tcW w:w="732" w:type="pct"/>
            <w:gridSpan w:val="2"/>
            <w:noWrap/>
            <w:vAlign w:val="center"/>
            <w:hideMark/>
          </w:tcPr>
          <w:p w14:paraId="3045A582" w14:textId="77777777" w:rsidR="00FA6F29" w:rsidRPr="00616F4F" w:rsidRDefault="00FA6F29" w:rsidP="00F344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rPr>
            </w:pPr>
            <w:r w:rsidRPr="00616F4F">
              <w:rPr>
                <w:rFonts w:eastAsia="Times New Roman" w:cs="Arial"/>
                <w:sz w:val="18"/>
                <w:szCs w:val="18"/>
              </w:rPr>
              <w:t>Sepsis</w:t>
            </w:r>
          </w:p>
        </w:tc>
        <w:tc>
          <w:tcPr>
            <w:tcW w:w="472" w:type="pct"/>
            <w:vAlign w:val="center"/>
          </w:tcPr>
          <w:p w14:paraId="201E0584" w14:textId="5FD4326B" w:rsidR="00FA6F29" w:rsidRPr="00616F4F" w:rsidRDefault="00903CDE" w:rsidP="00F344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18"/>
                <w:szCs w:val="18"/>
              </w:rPr>
            </w:pPr>
            <w:r>
              <w:rPr>
                <w:rFonts w:eastAsia="Times New Roman" w:cs="Arial"/>
                <w:sz w:val="18"/>
                <w:szCs w:val="18"/>
              </w:rPr>
              <w:t>Total</w:t>
            </w:r>
          </w:p>
        </w:tc>
      </w:tr>
      <w:tr w:rsidR="00FA6F29" w:rsidRPr="00616F4F" w14:paraId="33D18C4D" w14:textId="3AC66A2D" w:rsidTr="006C4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 w:type="pct"/>
            <w:noWrap/>
            <w:vAlign w:val="center"/>
            <w:hideMark/>
          </w:tcPr>
          <w:p w14:paraId="2BE68EA3" w14:textId="77777777" w:rsidR="00FA6F29" w:rsidRPr="00616F4F" w:rsidRDefault="00FA6F29" w:rsidP="00F34451">
            <w:pPr>
              <w:spacing w:after="0" w:line="240" w:lineRule="auto"/>
              <w:rPr>
                <w:rFonts w:eastAsia="Times New Roman" w:cs="Arial"/>
                <w:b w:val="0"/>
                <w:color w:val="000000"/>
                <w:sz w:val="18"/>
                <w:szCs w:val="18"/>
              </w:rPr>
            </w:pPr>
            <w:r w:rsidRPr="00616F4F">
              <w:rPr>
                <w:rFonts w:eastAsia="Times New Roman" w:cs="Arial"/>
                <w:color w:val="000000"/>
                <w:sz w:val="18"/>
                <w:szCs w:val="18"/>
              </w:rPr>
              <w:t>year</w:t>
            </w:r>
          </w:p>
        </w:tc>
        <w:tc>
          <w:tcPr>
            <w:tcW w:w="232" w:type="pct"/>
            <w:noWrap/>
            <w:vAlign w:val="center"/>
            <w:hideMark/>
          </w:tcPr>
          <w:p w14:paraId="46FAD8B5" w14:textId="13E215B7" w:rsidR="00FA6F29" w:rsidRPr="00616F4F" w:rsidRDefault="00FA6F29" w:rsidP="00F947F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Bed days</w:t>
            </w:r>
          </w:p>
        </w:tc>
        <w:tc>
          <w:tcPr>
            <w:tcW w:w="438" w:type="pct"/>
            <w:noWrap/>
            <w:vAlign w:val="center"/>
            <w:hideMark/>
          </w:tcPr>
          <w:p w14:paraId="20587B43" w14:textId="77777777" w:rsidR="00FA6F29" w:rsidRPr="00616F4F" w:rsidRDefault="00FA6F29"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95% CI</w:t>
            </w:r>
          </w:p>
        </w:tc>
        <w:tc>
          <w:tcPr>
            <w:tcW w:w="292" w:type="pct"/>
            <w:noWrap/>
            <w:vAlign w:val="center"/>
            <w:hideMark/>
          </w:tcPr>
          <w:p w14:paraId="7D7D7534" w14:textId="6C8C911D" w:rsidR="00FA6F29" w:rsidRPr="00616F4F" w:rsidRDefault="00FA6F29" w:rsidP="00F3445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Bed days</w:t>
            </w:r>
          </w:p>
        </w:tc>
        <w:tc>
          <w:tcPr>
            <w:tcW w:w="489" w:type="pct"/>
            <w:noWrap/>
            <w:vAlign w:val="center"/>
            <w:hideMark/>
          </w:tcPr>
          <w:p w14:paraId="5106511D" w14:textId="77777777" w:rsidR="00FA6F29" w:rsidRPr="00616F4F" w:rsidRDefault="00FA6F29"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 xml:space="preserve">95% CI </w:t>
            </w:r>
          </w:p>
        </w:tc>
        <w:tc>
          <w:tcPr>
            <w:tcW w:w="241" w:type="pct"/>
            <w:noWrap/>
            <w:vAlign w:val="center"/>
            <w:hideMark/>
          </w:tcPr>
          <w:p w14:paraId="7A629DDF" w14:textId="33305DFF" w:rsidR="00FA6F29" w:rsidRPr="00616F4F" w:rsidRDefault="00FA6F29" w:rsidP="00F3445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Bed days</w:t>
            </w:r>
          </w:p>
        </w:tc>
        <w:tc>
          <w:tcPr>
            <w:tcW w:w="391" w:type="pct"/>
            <w:noWrap/>
            <w:vAlign w:val="center"/>
            <w:hideMark/>
          </w:tcPr>
          <w:p w14:paraId="344F7A22" w14:textId="77777777" w:rsidR="00FA6F29" w:rsidRPr="00616F4F" w:rsidRDefault="00FA6F29"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95% CI</w:t>
            </w:r>
          </w:p>
        </w:tc>
        <w:tc>
          <w:tcPr>
            <w:tcW w:w="241" w:type="pct"/>
            <w:noWrap/>
            <w:vAlign w:val="center"/>
            <w:hideMark/>
          </w:tcPr>
          <w:p w14:paraId="680D4995" w14:textId="5ABF02B4" w:rsidR="00FA6F29" w:rsidRPr="00616F4F" w:rsidRDefault="00FA6F29" w:rsidP="00F3445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Bed days</w:t>
            </w:r>
          </w:p>
        </w:tc>
        <w:tc>
          <w:tcPr>
            <w:tcW w:w="391" w:type="pct"/>
            <w:noWrap/>
            <w:vAlign w:val="center"/>
            <w:hideMark/>
          </w:tcPr>
          <w:p w14:paraId="60CCD429" w14:textId="77777777" w:rsidR="00FA6F29" w:rsidRPr="00616F4F" w:rsidRDefault="00FA6F29"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95% CI</w:t>
            </w:r>
          </w:p>
        </w:tc>
        <w:tc>
          <w:tcPr>
            <w:tcW w:w="292" w:type="pct"/>
            <w:noWrap/>
            <w:vAlign w:val="center"/>
            <w:hideMark/>
          </w:tcPr>
          <w:p w14:paraId="2CF40C7A" w14:textId="28D28E3F" w:rsidR="00FA6F29" w:rsidRPr="00616F4F" w:rsidRDefault="00FA6F29" w:rsidP="00F3445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Bed days</w:t>
            </w:r>
          </w:p>
        </w:tc>
        <w:tc>
          <w:tcPr>
            <w:tcW w:w="440" w:type="pct"/>
            <w:noWrap/>
            <w:vAlign w:val="center"/>
            <w:hideMark/>
          </w:tcPr>
          <w:p w14:paraId="298F6728" w14:textId="77777777" w:rsidR="00FA6F29" w:rsidRPr="00616F4F" w:rsidRDefault="00FA6F29"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95% CI</w:t>
            </w:r>
          </w:p>
        </w:tc>
        <w:tc>
          <w:tcPr>
            <w:tcW w:w="292" w:type="pct"/>
            <w:noWrap/>
            <w:vAlign w:val="center"/>
            <w:hideMark/>
          </w:tcPr>
          <w:p w14:paraId="7D754444" w14:textId="32E696EF" w:rsidR="00FA6F29" w:rsidRPr="00616F4F" w:rsidRDefault="00FA6F29" w:rsidP="00F3445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Bed days</w:t>
            </w:r>
          </w:p>
        </w:tc>
        <w:tc>
          <w:tcPr>
            <w:tcW w:w="440" w:type="pct"/>
            <w:noWrap/>
            <w:vAlign w:val="center"/>
            <w:hideMark/>
          </w:tcPr>
          <w:p w14:paraId="16C8E3A2" w14:textId="77777777" w:rsidR="00FA6F29" w:rsidRPr="00616F4F" w:rsidRDefault="00FA6F29"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sidRPr="00616F4F">
              <w:rPr>
                <w:rFonts w:eastAsia="Times New Roman" w:cs="Arial"/>
                <w:b/>
                <w:color w:val="000000"/>
                <w:sz w:val="18"/>
                <w:szCs w:val="18"/>
              </w:rPr>
              <w:t>95% CI</w:t>
            </w:r>
          </w:p>
        </w:tc>
        <w:tc>
          <w:tcPr>
            <w:tcW w:w="472" w:type="pct"/>
            <w:vAlign w:val="center"/>
          </w:tcPr>
          <w:p w14:paraId="68E4164A" w14:textId="27F1DE6F" w:rsidR="00FA6F29" w:rsidRPr="00616F4F" w:rsidRDefault="00FA6F29"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p>
        </w:tc>
      </w:tr>
      <w:tr w:rsidR="00903CDE" w:rsidRPr="00616F4F" w14:paraId="2B65209C" w14:textId="1137FBD6" w:rsidTr="006C491B">
        <w:trPr>
          <w:trHeight w:val="397"/>
        </w:trPr>
        <w:tc>
          <w:tcPr>
            <w:cnfStyle w:val="001000000000" w:firstRow="0" w:lastRow="0" w:firstColumn="1" w:lastColumn="0" w:oddVBand="0" w:evenVBand="0" w:oddHBand="0" w:evenHBand="0" w:firstRowFirstColumn="0" w:firstRowLastColumn="0" w:lastRowFirstColumn="0" w:lastRowLastColumn="0"/>
            <w:tcW w:w="349" w:type="pct"/>
            <w:noWrap/>
            <w:vAlign w:val="center"/>
            <w:hideMark/>
          </w:tcPr>
          <w:p w14:paraId="090046A2" w14:textId="77777777" w:rsidR="00903CDE" w:rsidRPr="00616F4F" w:rsidRDefault="00903CDE" w:rsidP="00F34451">
            <w:pPr>
              <w:spacing w:after="0" w:line="240" w:lineRule="auto"/>
              <w:rPr>
                <w:rFonts w:eastAsia="Times New Roman" w:cs="Arial"/>
                <w:color w:val="000000"/>
                <w:sz w:val="18"/>
                <w:szCs w:val="18"/>
              </w:rPr>
            </w:pPr>
            <w:r w:rsidRPr="00616F4F">
              <w:rPr>
                <w:rFonts w:eastAsia="Times New Roman" w:cs="Arial"/>
                <w:color w:val="000000"/>
                <w:sz w:val="18"/>
                <w:szCs w:val="18"/>
              </w:rPr>
              <w:t>2005/06</w:t>
            </w:r>
          </w:p>
        </w:tc>
        <w:tc>
          <w:tcPr>
            <w:tcW w:w="232" w:type="pct"/>
            <w:noWrap/>
            <w:vAlign w:val="center"/>
            <w:hideMark/>
          </w:tcPr>
          <w:p w14:paraId="6AA27477"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124.6</w:t>
            </w:r>
          </w:p>
        </w:tc>
        <w:tc>
          <w:tcPr>
            <w:tcW w:w="438" w:type="pct"/>
            <w:noWrap/>
            <w:vAlign w:val="center"/>
            <w:hideMark/>
          </w:tcPr>
          <w:p w14:paraId="39997D1D" w14:textId="52953CBB"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[105.3; 144]</w:t>
            </w:r>
          </w:p>
        </w:tc>
        <w:tc>
          <w:tcPr>
            <w:tcW w:w="292" w:type="pct"/>
            <w:noWrap/>
            <w:vAlign w:val="center"/>
            <w:hideMark/>
          </w:tcPr>
          <w:p w14:paraId="5061A62A"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885.5</w:t>
            </w:r>
          </w:p>
        </w:tc>
        <w:tc>
          <w:tcPr>
            <w:tcW w:w="489" w:type="pct"/>
            <w:noWrap/>
            <w:vAlign w:val="center"/>
            <w:hideMark/>
          </w:tcPr>
          <w:p w14:paraId="5668FB81" w14:textId="608045C6"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[747.7; 1023.2]</w:t>
            </w:r>
          </w:p>
        </w:tc>
        <w:tc>
          <w:tcPr>
            <w:tcW w:w="241" w:type="pct"/>
            <w:noWrap/>
            <w:vAlign w:val="center"/>
            <w:hideMark/>
          </w:tcPr>
          <w:p w14:paraId="148561AD"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41.9</w:t>
            </w:r>
          </w:p>
        </w:tc>
        <w:tc>
          <w:tcPr>
            <w:tcW w:w="391" w:type="pct"/>
            <w:noWrap/>
            <w:vAlign w:val="center"/>
            <w:hideMark/>
          </w:tcPr>
          <w:p w14:paraId="2A98EF69" w14:textId="324CC385"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[35.4; 48.5]</w:t>
            </w:r>
          </w:p>
        </w:tc>
        <w:tc>
          <w:tcPr>
            <w:tcW w:w="241" w:type="pct"/>
            <w:noWrap/>
            <w:vAlign w:val="center"/>
            <w:hideMark/>
          </w:tcPr>
          <w:p w14:paraId="48254ADD"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w:t>
            </w:r>
          </w:p>
        </w:tc>
        <w:tc>
          <w:tcPr>
            <w:tcW w:w="391" w:type="pct"/>
            <w:noWrap/>
            <w:vAlign w:val="center"/>
            <w:hideMark/>
          </w:tcPr>
          <w:p w14:paraId="2F27BEB0" w14:textId="1BA7D07B"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 21.9]</w:t>
            </w:r>
          </w:p>
        </w:tc>
        <w:tc>
          <w:tcPr>
            <w:tcW w:w="292" w:type="pct"/>
            <w:noWrap/>
            <w:vAlign w:val="center"/>
            <w:hideMark/>
          </w:tcPr>
          <w:p w14:paraId="22CB3703"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460.3</w:t>
            </w:r>
          </w:p>
        </w:tc>
        <w:tc>
          <w:tcPr>
            <w:tcW w:w="440" w:type="pct"/>
            <w:noWrap/>
            <w:vAlign w:val="center"/>
            <w:hideMark/>
          </w:tcPr>
          <w:p w14:paraId="47CA25EA" w14:textId="4209F0E0"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[388.7; 531.9]</w:t>
            </w:r>
          </w:p>
        </w:tc>
        <w:tc>
          <w:tcPr>
            <w:tcW w:w="292" w:type="pct"/>
            <w:noWrap/>
            <w:vAlign w:val="center"/>
            <w:hideMark/>
          </w:tcPr>
          <w:p w14:paraId="311D4AC4"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165.7</w:t>
            </w:r>
          </w:p>
        </w:tc>
        <w:tc>
          <w:tcPr>
            <w:tcW w:w="440" w:type="pct"/>
            <w:noWrap/>
            <w:vAlign w:val="center"/>
            <w:hideMark/>
          </w:tcPr>
          <w:p w14:paraId="1FE1902F" w14:textId="06186A7A"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[139.9; 191.5]</w:t>
            </w:r>
          </w:p>
        </w:tc>
        <w:tc>
          <w:tcPr>
            <w:tcW w:w="472" w:type="pct"/>
            <w:vAlign w:val="center"/>
          </w:tcPr>
          <w:p w14:paraId="2BC50A40" w14:textId="46D18E46" w:rsidR="00903CDE" w:rsidRPr="00903CDE"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1697</w:t>
            </w:r>
          </w:p>
        </w:tc>
      </w:tr>
      <w:tr w:rsidR="00903CDE" w:rsidRPr="00616F4F" w14:paraId="7D772276" w14:textId="4126F3FE" w:rsidTr="006C4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9" w:type="pct"/>
            <w:noWrap/>
            <w:vAlign w:val="center"/>
            <w:hideMark/>
          </w:tcPr>
          <w:p w14:paraId="61A0C9BA" w14:textId="77777777" w:rsidR="00903CDE" w:rsidRPr="00616F4F" w:rsidRDefault="00903CDE" w:rsidP="00F34451">
            <w:pPr>
              <w:spacing w:after="0" w:line="240" w:lineRule="auto"/>
              <w:rPr>
                <w:rFonts w:eastAsia="Times New Roman" w:cs="Arial"/>
                <w:color w:val="000000"/>
                <w:sz w:val="18"/>
                <w:szCs w:val="18"/>
              </w:rPr>
            </w:pPr>
            <w:r w:rsidRPr="00616F4F">
              <w:rPr>
                <w:rFonts w:eastAsia="Times New Roman" w:cs="Arial"/>
                <w:color w:val="000000"/>
                <w:sz w:val="18"/>
                <w:szCs w:val="18"/>
              </w:rPr>
              <w:t>2006/07</w:t>
            </w:r>
          </w:p>
        </w:tc>
        <w:tc>
          <w:tcPr>
            <w:tcW w:w="232" w:type="pct"/>
            <w:noWrap/>
            <w:vAlign w:val="center"/>
            <w:hideMark/>
          </w:tcPr>
          <w:p w14:paraId="7067C23A"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109.5</w:t>
            </w:r>
          </w:p>
        </w:tc>
        <w:tc>
          <w:tcPr>
            <w:tcW w:w="438" w:type="pct"/>
            <w:noWrap/>
            <w:vAlign w:val="center"/>
            <w:hideMark/>
          </w:tcPr>
          <w:p w14:paraId="443AAAD0" w14:textId="347447C0"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[92.5; 126.5]</w:t>
            </w:r>
          </w:p>
        </w:tc>
        <w:tc>
          <w:tcPr>
            <w:tcW w:w="292" w:type="pct"/>
            <w:noWrap/>
            <w:vAlign w:val="center"/>
            <w:hideMark/>
          </w:tcPr>
          <w:p w14:paraId="19B7D5DE"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946.1</w:t>
            </w:r>
          </w:p>
        </w:tc>
        <w:tc>
          <w:tcPr>
            <w:tcW w:w="489" w:type="pct"/>
            <w:noWrap/>
            <w:vAlign w:val="center"/>
            <w:hideMark/>
          </w:tcPr>
          <w:p w14:paraId="2145FCA5" w14:textId="3BD6B72E"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[799; 1093.3]</w:t>
            </w:r>
          </w:p>
        </w:tc>
        <w:tc>
          <w:tcPr>
            <w:tcW w:w="241" w:type="pct"/>
            <w:noWrap/>
            <w:vAlign w:val="center"/>
            <w:hideMark/>
          </w:tcPr>
          <w:p w14:paraId="14FA0FC0"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43.2</w:t>
            </w:r>
          </w:p>
        </w:tc>
        <w:tc>
          <w:tcPr>
            <w:tcW w:w="391" w:type="pct"/>
            <w:noWrap/>
            <w:vAlign w:val="center"/>
            <w:hideMark/>
          </w:tcPr>
          <w:p w14:paraId="6709A44D" w14:textId="77BA17CD"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[36.5; 50]</w:t>
            </w:r>
          </w:p>
        </w:tc>
        <w:tc>
          <w:tcPr>
            <w:tcW w:w="241" w:type="pct"/>
            <w:noWrap/>
            <w:vAlign w:val="center"/>
            <w:hideMark/>
          </w:tcPr>
          <w:p w14:paraId="77F10F1C"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19.9</w:t>
            </w:r>
          </w:p>
        </w:tc>
        <w:tc>
          <w:tcPr>
            <w:tcW w:w="391" w:type="pct"/>
            <w:noWrap/>
            <w:vAlign w:val="center"/>
            <w:hideMark/>
          </w:tcPr>
          <w:p w14:paraId="54B65342" w14:textId="62A35F54"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[16.8; 23]</w:t>
            </w:r>
          </w:p>
        </w:tc>
        <w:tc>
          <w:tcPr>
            <w:tcW w:w="292" w:type="pct"/>
            <w:noWrap/>
            <w:vAlign w:val="center"/>
            <w:hideMark/>
          </w:tcPr>
          <w:p w14:paraId="71A4E1AA"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514.2</w:t>
            </w:r>
          </w:p>
        </w:tc>
        <w:tc>
          <w:tcPr>
            <w:tcW w:w="440" w:type="pct"/>
            <w:noWrap/>
            <w:vAlign w:val="center"/>
            <w:hideMark/>
          </w:tcPr>
          <w:p w14:paraId="029C2291" w14:textId="2004F0D1"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[434.2; 594.1]</w:t>
            </w:r>
          </w:p>
        </w:tc>
        <w:tc>
          <w:tcPr>
            <w:tcW w:w="292" w:type="pct"/>
            <w:noWrap/>
            <w:vAlign w:val="center"/>
            <w:hideMark/>
          </w:tcPr>
          <w:p w14:paraId="3AE6D32B"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181.2</w:t>
            </w:r>
          </w:p>
        </w:tc>
        <w:tc>
          <w:tcPr>
            <w:tcW w:w="440" w:type="pct"/>
            <w:noWrap/>
            <w:vAlign w:val="center"/>
            <w:hideMark/>
          </w:tcPr>
          <w:p w14:paraId="6154636C" w14:textId="7557FE8D"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[153; 209.4]</w:t>
            </w:r>
          </w:p>
        </w:tc>
        <w:tc>
          <w:tcPr>
            <w:tcW w:w="472" w:type="pct"/>
            <w:vAlign w:val="center"/>
          </w:tcPr>
          <w:p w14:paraId="0E6B40B3" w14:textId="704BF38F" w:rsidR="00903CDE" w:rsidRPr="00903CDE"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1814.1</w:t>
            </w:r>
          </w:p>
        </w:tc>
      </w:tr>
      <w:tr w:rsidR="00903CDE" w:rsidRPr="00616F4F" w14:paraId="317D7008" w14:textId="439DDC4F" w:rsidTr="006C491B">
        <w:trPr>
          <w:trHeight w:val="397"/>
        </w:trPr>
        <w:tc>
          <w:tcPr>
            <w:cnfStyle w:val="001000000000" w:firstRow="0" w:lastRow="0" w:firstColumn="1" w:lastColumn="0" w:oddVBand="0" w:evenVBand="0" w:oddHBand="0" w:evenHBand="0" w:firstRowFirstColumn="0" w:firstRowLastColumn="0" w:lastRowFirstColumn="0" w:lastRowLastColumn="0"/>
            <w:tcW w:w="349" w:type="pct"/>
            <w:noWrap/>
            <w:vAlign w:val="center"/>
            <w:hideMark/>
          </w:tcPr>
          <w:p w14:paraId="5E720F36" w14:textId="77777777" w:rsidR="00903CDE" w:rsidRPr="00616F4F" w:rsidRDefault="00903CDE" w:rsidP="00F34451">
            <w:pPr>
              <w:spacing w:after="0" w:line="240" w:lineRule="auto"/>
              <w:rPr>
                <w:rFonts w:eastAsia="Times New Roman" w:cs="Arial"/>
                <w:color w:val="000000"/>
                <w:sz w:val="18"/>
                <w:szCs w:val="18"/>
              </w:rPr>
            </w:pPr>
            <w:r w:rsidRPr="00616F4F">
              <w:rPr>
                <w:rFonts w:eastAsia="Times New Roman" w:cs="Arial"/>
                <w:color w:val="000000"/>
                <w:sz w:val="18"/>
                <w:szCs w:val="18"/>
              </w:rPr>
              <w:t>2007/08</w:t>
            </w:r>
          </w:p>
        </w:tc>
        <w:tc>
          <w:tcPr>
            <w:tcW w:w="232" w:type="pct"/>
            <w:noWrap/>
            <w:vAlign w:val="center"/>
            <w:hideMark/>
          </w:tcPr>
          <w:p w14:paraId="58BE7EAE"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103.8</w:t>
            </w:r>
          </w:p>
        </w:tc>
        <w:tc>
          <w:tcPr>
            <w:tcW w:w="438" w:type="pct"/>
            <w:noWrap/>
            <w:vAlign w:val="center"/>
            <w:hideMark/>
          </w:tcPr>
          <w:p w14:paraId="140B9379" w14:textId="279E7403"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[87.7; 119.9]</w:t>
            </w:r>
          </w:p>
        </w:tc>
        <w:tc>
          <w:tcPr>
            <w:tcW w:w="292" w:type="pct"/>
            <w:noWrap/>
            <w:vAlign w:val="center"/>
            <w:hideMark/>
          </w:tcPr>
          <w:p w14:paraId="1B2540DB"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1055.6</w:t>
            </w:r>
          </w:p>
        </w:tc>
        <w:tc>
          <w:tcPr>
            <w:tcW w:w="489" w:type="pct"/>
            <w:noWrap/>
            <w:vAlign w:val="center"/>
            <w:hideMark/>
          </w:tcPr>
          <w:p w14:paraId="4FBA5A93" w14:textId="66E56267"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[891.4; 1219.7]</w:t>
            </w:r>
          </w:p>
        </w:tc>
        <w:tc>
          <w:tcPr>
            <w:tcW w:w="241" w:type="pct"/>
            <w:noWrap/>
            <w:vAlign w:val="center"/>
            <w:hideMark/>
          </w:tcPr>
          <w:p w14:paraId="3B319DBB"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39.8</w:t>
            </w:r>
          </w:p>
        </w:tc>
        <w:tc>
          <w:tcPr>
            <w:tcW w:w="391" w:type="pct"/>
            <w:noWrap/>
            <w:vAlign w:val="center"/>
            <w:hideMark/>
          </w:tcPr>
          <w:p w14:paraId="4939D73F" w14:textId="00EBEE27"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[33.6; 46]</w:t>
            </w:r>
          </w:p>
        </w:tc>
        <w:tc>
          <w:tcPr>
            <w:tcW w:w="241" w:type="pct"/>
            <w:noWrap/>
            <w:vAlign w:val="center"/>
            <w:hideMark/>
          </w:tcPr>
          <w:p w14:paraId="4B036846"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20.6</w:t>
            </w:r>
          </w:p>
        </w:tc>
        <w:tc>
          <w:tcPr>
            <w:tcW w:w="391" w:type="pct"/>
            <w:noWrap/>
            <w:vAlign w:val="center"/>
            <w:hideMark/>
          </w:tcPr>
          <w:p w14:paraId="6AB9CE31" w14:textId="2C914283"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[17.4; 23.8]</w:t>
            </w:r>
          </w:p>
        </w:tc>
        <w:tc>
          <w:tcPr>
            <w:tcW w:w="292" w:type="pct"/>
            <w:noWrap/>
            <w:vAlign w:val="center"/>
            <w:hideMark/>
          </w:tcPr>
          <w:p w14:paraId="75282F20"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559.3</w:t>
            </w:r>
          </w:p>
        </w:tc>
        <w:tc>
          <w:tcPr>
            <w:tcW w:w="440" w:type="pct"/>
            <w:noWrap/>
            <w:vAlign w:val="center"/>
            <w:hideMark/>
          </w:tcPr>
          <w:p w14:paraId="4A369D18" w14:textId="5EBFC15E"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[472.3; 646.2]</w:t>
            </w:r>
          </w:p>
        </w:tc>
        <w:tc>
          <w:tcPr>
            <w:tcW w:w="292" w:type="pct"/>
            <w:noWrap/>
            <w:vAlign w:val="center"/>
            <w:hideMark/>
          </w:tcPr>
          <w:p w14:paraId="2C357C89"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180.3</w:t>
            </w:r>
          </w:p>
        </w:tc>
        <w:tc>
          <w:tcPr>
            <w:tcW w:w="440" w:type="pct"/>
            <w:noWrap/>
            <w:vAlign w:val="center"/>
            <w:hideMark/>
          </w:tcPr>
          <w:p w14:paraId="1C4F83BB" w14:textId="230286F7"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[152.3; 208.4]</w:t>
            </w:r>
          </w:p>
        </w:tc>
        <w:tc>
          <w:tcPr>
            <w:tcW w:w="472" w:type="pct"/>
            <w:vAlign w:val="center"/>
          </w:tcPr>
          <w:p w14:paraId="1A198EE7" w14:textId="2CCBB6E0" w:rsidR="00903CDE" w:rsidRPr="00903CDE"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1959.4</w:t>
            </w:r>
          </w:p>
        </w:tc>
      </w:tr>
      <w:tr w:rsidR="00903CDE" w:rsidRPr="00616F4F" w14:paraId="767591F0" w14:textId="618C0357" w:rsidTr="006C4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9" w:type="pct"/>
            <w:noWrap/>
            <w:vAlign w:val="center"/>
            <w:hideMark/>
          </w:tcPr>
          <w:p w14:paraId="343FA73E" w14:textId="77777777" w:rsidR="00903CDE" w:rsidRPr="00616F4F" w:rsidRDefault="00903CDE" w:rsidP="00F34451">
            <w:pPr>
              <w:spacing w:after="0" w:line="240" w:lineRule="auto"/>
              <w:rPr>
                <w:rFonts w:eastAsia="Times New Roman" w:cs="Arial"/>
                <w:color w:val="000000"/>
                <w:sz w:val="18"/>
                <w:szCs w:val="18"/>
              </w:rPr>
            </w:pPr>
            <w:r w:rsidRPr="00616F4F">
              <w:rPr>
                <w:rFonts w:eastAsia="Times New Roman" w:cs="Arial"/>
                <w:color w:val="000000"/>
                <w:sz w:val="18"/>
                <w:szCs w:val="18"/>
              </w:rPr>
              <w:t>2008/09</w:t>
            </w:r>
          </w:p>
        </w:tc>
        <w:tc>
          <w:tcPr>
            <w:tcW w:w="232" w:type="pct"/>
            <w:noWrap/>
            <w:vAlign w:val="center"/>
            <w:hideMark/>
          </w:tcPr>
          <w:p w14:paraId="08FFC22E"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94.8</w:t>
            </w:r>
          </w:p>
        </w:tc>
        <w:tc>
          <w:tcPr>
            <w:tcW w:w="438" w:type="pct"/>
            <w:noWrap/>
            <w:vAlign w:val="center"/>
            <w:hideMark/>
          </w:tcPr>
          <w:p w14:paraId="79C03922" w14:textId="08D6491B"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[80.1; 109.6]</w:t>
            </w:r>
          </w:p>
        </w:tc>
        <w:tc>
          <w:tcPr>
            <w:tcW w:w="292" w:type="pct"/>
            <w:noWrap/>
            <w:vAlign w:val="center"/>
            <w:hideMark/>
          </w:tcPr>
          <w:p w14:paraId="5E5CCCBA"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1243.8</w:t>
            </w:r>
          </w:p>
        </w:tc>
        <w:tc>
          <w:tcPr>
            <w:tcW w:w="489" w:type="pct"/>
            <w:noWrap/>
            <w:vAlign w:val="center"/>
            <w:hideMark/>
          </w:tcPr>
          <w:p w14:paraId="565F3A91" w14:textId="6E7549C9"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[1050.3; 1437.2]</w:t>
            </w:r>
          </w:p>
        </w:tc>
        <w:tc>
          <w:tcPr>
            <w:tcW w:w="241" w:type="pct"/>
            <w:noWrap/>
            <w:vAlign w:val="center"/>
            <w:hideMark/>
          </w:tcPr>
          <w:p w14:paraId="1E56BD25"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28.1</w:t>
            </w:r>
          </w:p>
        </w:tc>
        <w:tc>
          <w:tcPr>
            <w:tcW w:w="391" w:type="pct"/>
            <w:noWrap/>
            <w:vAlign w:val="center"/>
            <w:hideMark/>
          </w:tcPr>
          <w:p w14:paraId="0859A980" w14:textId="2B528A4C"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[23.7; 32.5]</w:t>
            </w:r>
          </w:p>
        </w:tc>
        <w:tc>
          <w:tcPr>
            <w:tcW w:w="241" w:type="pct"/>
            <w:noWrap/>
            <w:vAlign w:val="center"/>
            <w:hideMark/>
          </w:tcPr>
          <w:p w14:paraId="72C8396A"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22.6</w:t>
            </w:r>
          </w:p>
        </w:tc>
        <w:tc>
          <w:tcPr>
            <w:tcW w:w="391" w:type="pct"/>
            <w:noWrap/>
            <w:vAlign w:val="center"/>
            <w:hideMark/>
          </w:tcPr>
          <w:p w14:paraId="31F13737" w14:textId="422F2BEB"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[19.1; 26.1]</w:t>
            </w:r>
          </w:p>
        </w:tc>
        <w:tc>
          <w:tcPr>
            <w:tcW w:w="292" w:type="pct"/>
            <w:noWrap/>
            <w:vAlign w:val="center"/>
            <w:hideMark/>
          </w:tcPr>
          <w:p w14:paraId="0DE007CF"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608.9</w:t>
            </w:r>
          </w:p>
        </w:tc>
        <w:tc>
          <w:tcPr>
            <w:tcW w:w="440" w:type="pct"/>
            <w:noWrap/>
            <w:vAlign w:val="center"/>
            <w:hideMark/>
          </w:tcPr>
          <w:p w14:paraId="7AE78FD3" w14:textId="6D2CE1C8"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[514.2; 703.6]</w:t>
            </w:r>
          </w:p>
        </w:tc>
        <w:tc>
          <w:tcPr>
            <w:tcW w:w="292" w:type="pct"/>
            <w:noWrap/>
            <w:vAlign w:val="center"/>
            <w:hideMark/>
          </w:tcPr>
          <w:p w14:paraId="20859BE6" w14:textId="77777777" w:rsidR="00903CDE" w:rsidRPr="00616F4F"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170.9</w:t>
            </w:r>
          </w:p>
        </w:tc>
        <w:tc>
          <w:tcPr>
            <w:tcW w:w="440" w:type="pct"/>
            <w:noWrap/>
            <w:vAlign w:val="center"/>
            <w:hideMark/>
          </w:tcPr>
          <w:p w14:paraId="4DA60E0B" w14:textId="35566477" w:rsidR="00903CDE" w:rsidRPr="00616F4F"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[144.3; 197.5]</w:t>
            </w:r>
          </w:p>
        </w:tc>
        <w:tc>
          <w:tcPr>
            <w:tcW w:w="472" w:type="pct"/>
            <w:vAlign w:val="center"/>
          </w:tcPr>
          <w:p w14:paraId="53690F20" w14:textId="1E338804" w:rsidR="00903CDE" w:rsidRPr="00903CDE"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2169.1</w:t>
            </w:r>
          </w:p>
        </w:tc>
      </w:tr>
      <w:tr w:rsidR="00903CDE" w:rsidRPr="00616F4F" w14:paraId="3E2ACFC3" w14:textId="00761565" w:rsidTr="006C491B">
        <w:trPr>
          <w:trHeight w:val="397"/>
        </w:trPr>
        <w:tc>
          <w:tcPr>
            <w:cnfStyle w:val="001000000000" w:firstRow="0" w:lastRow="0" w:firstColumn="1" w:lastColumn="0" w:oddVBand="0" w:evenVBand="0" w:oddHBand="0" w:evenHBand="0" w:firstRowFirstColumn="0" w:firstRowLastColumn="0" w:lastRowFirstColumn="0" w:lastRowLastColumn="0"/>
            <w:tcW w:w="349" w:type="pct"/>
            <w:noWrap/>
            <w:vAlign w:val="center"/>
            <w:hideMark/>
          </w:tcPr>
          <w:p w14:paraId="176C8B24" w14:textId="77777777" w:rsidR="00903CDE" w:rsidRPr="00616F4F" w:rsidRDefault="00903CDE" w:rsidP="00F34451">
            <w:pPr>
              <w:spacing w:after="0" w:line="240" w:lineRule="auto"/>
              <w:rPr>
                <w:rFonts w:eastAsia="Times New Roman" w:cs="Arial"/>
                <w:color w:val="000000"/>
                <w:sz w:val="18"/>
                <w:szCs w:val="18"/>
              </w:rPr>
            </w:pPr>
            <w:r w:rsidRPr="00616F4F">
              <w:rPr>
                <w:rFonts w:eastAsia="Times New Roman" w:cs="Arial"/>
                <w:color w:val="000000"/>
                <w:sz w:val="18"/>
                <w:szCs w:val="18"/>
              </w:rPr>
              <w:t>2009/10</w:t>
            </w:r>
          </w:p>
        </w:tc>
        <w:tc>
          <w:tcPr>
            <w:tcW w:w="232" w:type="pct"/>
            <w:noWrap/>
            <w:vAlign w:val="center"/>
            <w:hideMark/>
          </w:tcPr>
          <w:p w14:paraId="3A22ADBC"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92.3</w:t>
            </w:r>
          </w:p>
        </w:tc>
        <w:tc>
          <w:tcPr>
            <w:tcW w:w="438" w:type="pct"/>
            <w:noWrap/>
            <w:vAlign w:val="center"/>
            <w:hideMark/>
          </w:tcPr>
          <w:p w14:paraId="5F3DD100" w14:textId="07F632D5"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[77.9; 106.7]</w:t>
            </w:r>
          </w:p>
        </w:tc>
        <w:tc>
          <w:tcPr>
            <w:tcW w:w="292" w:type="pct"/>
            <w:noWrap/>
            <w:vAlign w:val="center"/>
            <w:hideMark/>
          </w:tcPr>
          <w:p w14:paraId="6187DD64"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1506.2</w:t>
            </w:r>
          </w:p>
        </w:tc>
        <w:tc>
          <w:tcPr>
            <w:tcW w:w="489" w:type="pct"/>
            <w:noWrap/>
            <w:vAlign w:val="center"/>
            <w:hideMark/>
          </w:tcPr>
          <w:p w14:paraId="5D6FE7C5" w14:textId="252D34DF"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[1271.9; 1740.4]</w:t>
            </w:r>
          </w:p>
        </w:tc>
        <w:tc>
          <w:tcPr>
            <w:tcW w:w="241" w:type="pct"/>
            <w:noWrap/>
            <w:vAlign w:val="center"/>
            <w:hideMark/>
          </w:tcPr>
          <w:p w14:paraId="291B62D5"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22.7</w:t>
            </w:r>
          </w:p>
        </w:tc>
        <w:tc>
          <w:tcPr>
            <w:tcW w:w="391" w:type="pct"/>
            <w:noWrap/>
            <w:vAlign w:val="center"/>
            <w:hideMark/>
          </w:tcPr>
          <w:p w14:paraId="3B7398E3" w14:textId="73DEA523"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[19.2; 26.2]</w:t>
            </w:r>
          </w:p>
        </w:tc>
        <w:tc>
          <w:tcPr>
            <w:tcW w:w="241" w:type="pct"/>
            <w:noWrap/>
            <w:vAlign w:val="center"/>
            <w:hideMark/>
          </w:tcPr>
          <w:p w14:paraId="5CBD11BB"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21.8</w:t>
            </w:r>
          </w:p>
        </w:tc>
        <w:tc>
          <w:tcPr>
            <w:tcW w:w="391" w:type="pct"/>
            <w:noWrap/>
            <w:vAlign w:val="center"/>
            <w:hideMark/>
          </w:tcPr>
          <w:p w14:paraId="232D6ACA" w14:textId="7B4F0B01"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[18.4; 25.1]</w:t>
            </w:r>
          </w:p>
        </w:tc>
        <w:tc>
          <w:tcPr>
            <w:tcW w:w="292" w:type="pct"/>
            <w:noWrap/>
            <w:vAlign w:val="center"/>
            <w:hideMark/>
          </w:tcPr>
          <w:p w14:paraId="20667EC2"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660.4</w:t>
            </w:r>
          </w:p>
        </w:tc>
        <w:tc>
          <w:tcPr>
            <w:tcW w:w="440" w:type="pct"/>
            <w:noWrap/>
            <w:vAlign w:val="center"/>
            <w:hideMark/>
          </w:tcPr>
          <w:p w14:paraId="4B70F1EC" w14:textId="0FF438B6"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[557.7; 763.1]</w:t>
            </w:r>
          </w:p>
        </w:tc>
        <w:tc>
          <w:tcPr>
            <w:tcW w:w="292" w:type="pct"/>
            <w:noWrap/>
            <w:vAlign w:val="center"/>
            <w:hideMark/>
          </w:tcPr>
          <w:p w14:paraId="46FDCC71" w14:textId="77777777" w:rsidR="00903CDE" w:rsidRPr="00616F4F" w:rsidRDefault="00903CDE" w:rsidP="00F344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177.6</w:t>
            </w:r>
          </w:p>
        </w:tc>
        <w:tc>
          <w:tcPr>
            <w:tcW w:w="440" w:type="pct"/>
            <w:noWrap/>
            <w:vAlign w:val="center"/>
            <w:hideMark/>
          </w:tcPr>
          <w:p w14:paraId="30C2D9D0" w14:textId="4556980D" w:rsidR="00903CDE" w:rsidRPr="00616F4F"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616F4F">
              <w:rPr>
                <w:rFonts w:eastAsia="Times New Roman" w:cs="Arial"/>
                <w:color w:val="000000"/>
                <w:sz w:val="18"/>
                <w:szCs w:val="18"/>
              </w:rPr>
              <w:t>[150; 205.2]</w:t>
            </w:r>
          </w:p>
        </w:tc>
        <w:tc>
          <w:tcPr>
            <w:tcW w:w="472" w:type="pct"/>
            <w:vAlign w:val="center"/>
          </w:tcPr>
          <w:p w14:paraId="4D1F8434" w14:textId="39F5D6B9" w:rsidR="00903CDE" w:rsidRPr="00903CDE" w:rsidRDefault="00903CDE" w:rsidP="001B09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2481</w:t>
            </w:r>
          </w:p>
        </w:tc>
      </w:tr>
      <w:tr w:rsidR="00903CDE" w:rsidRPr="00616F4F" w14:paraId="1745A802" w14:textId="4D1FA7CA" w:rsidTr="006C4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9" w:type="pct"/>
            <w:noWrap/>
            <w:vAlign w:val="center"/>
          </w:tcPr>
          <w:p w14:paraId="42053EEB" w14:textId="2C3E9148" w:rsidR="00903CDE" w:rsidRPr="00616F4F" w:rsidRDefault="00903CDE" w:rsidP="00F34451">
            <w:pPr>
              <w:spacing w:after="0" w:line="240" w:lineRule="auto"/>
              <w:rPr>
                <w:rFonts w:eastAsia="Times New Roman" w:cs="Arial"/>
                <w:color w:val="000000"/>
                <w:sz w:val="18"/>
                <w:szCs w:val="18"/>
              </w:rPr>
            </w:pPr>
            <w:r>
              <w:rPr>
                <w:rFonts w:eastAsia="Times New Roman" w:cs="Arial"/>
                <w:color w:val="000000"/>
                <w:sz w:val="18"/>
                <w:szCs w:val="18"/>
              </w:rPr>
              <w:t>Average across all years</w:t>
            </w:r>
          </w:p>
        </w:tc>
        <w:tc>
          <w:tcPr>
            <w:tcW w:w="232" w:type="pct"/>
            <w:noWrap/>
            <w:vAlign w:val="center"/>
          </w:tcPr>
          <w:p w14:paraId="5E4B91F7" w14:textId="29C0EE4E" w:rsidR="00903CDE" w:rsidRPr="00903CDE"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105</w:t>
            </w:r>
          </w:p>
        </w:tc>
        <w:tc>
          <w:tcPr>
            <w:tcW w:w="438" w:type="pct"/>
            <w:noWrap/>
            <w:vAlign w:val="center"/>
          </w:tcPr>
          <w:p w14:paraId="142B8D58" w14:textId="77777777" w:rsidR="00903CDE" w:rsidRPr="00903CDE"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292" w:type="pct"/>
            <w:noWrap/>
            <w:vAlign w:val="center"/>
          </w:tcPr>
          <w:p w14:paraId="65DA2FED" w14:textId="6982F95B" w:rsidR="00903CDE" w:rsidRPr="00903CDE"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1127.44</w:t>
            </w:r>
          </w:p>
        </w:tc>
        <w:tc>
          <w:tcPr>
            <w:tcW w:w="489" w:type="pct"/>
            <w:noWrap/>
            <w:vAlign w:val="center"/>
          </w:tcPr>
          <w:p w14:paraId="7E6D7175" w14:textId="77777777" w:rsidR="00903CDE" w:rsidRPr="00903CDE"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241" w:type="pct"/>
            <w:noWrap/>
            <w:vAlign w:val="center"/>
          </w:tcPr>
          <w:p w14:paraId="47A697F4" w14:textId="60A4FBC9" w:rsidR="00903CDE" w:rsidRPr="00903CDE"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35.14</w:t>
            </w:r>
          </w:p>
        </w:tc>
        <w:tc>
          <w:tcPr>
            <w:tcW w:w="391" w:type="pct"/>
            <w:noWrap/>
            <w:vAlign w:val="center"/>
          </w:tcPr>
          <w:p w14:paraId="5D204E9F" w14:textId="77777777" w:rsidR="00903CDE" w:rsidRPr="00903CDE"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241" w:type="pct"/>
            <w:noWrap/>
            <w:vAlign w:val="center"/>
          </w:tcPr>
          <w:p w14:paraId="3B750194" w14:textId="345C4528" w:rsidR="00903CDE" w:rsidRPr="00903CDE"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20.78</w:t>
            </w:r>
          </w:p>
        </w:tc>
        <w:tc>
          <w:tcPr>
            <w:tcW w:w="391" w:type="pct"/>
            <w:noWrap/>
            <w:vAlign w:val="center"/>
          </w:tcPr>
          <w:p w14:paraId="12CA601D" w14:textId="77777777" w:rsidR="00903CDE" w:rsidRPr="00903CDE"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292" w:type="pct"/>
            <w:noWrap/>
            <w:vAlign w:val="center"/>
          </w:tcPr>
          <w:p w14:paraId="78D5E7BD" w14:textId="52D5E207" w:rsidR="00903CDE" w:rsidRPr="00903CDE"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560.62</w:t>
            </w:r>
          </w:p>
        </w:tc>
        <w:tc>
          <w:tcPr>
            <w:tcW w:w="440" w:type="pct"/>
            <w:noWrap/>
            <w:vAlign w:val="center"/>
          </w:tcPr>
          <w:p w14:paraId="41282822" w14:textId="77777777" w:rsidR="00903CDE" w:rsidRPr="00903CDE"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292" w:type="pct"/>
            <w:noWrap/>
            <w:vAlign w:val="center"/>
          </w:tcPr>
          <w:p w14:paraId="3C987E89" w14:textId="724CFFDB" w:rsidR="00903CDE" w:rsidRPr="00903CDE" w:rsidRDefault="00903CDE" w:rsidP="00F344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175.14</w:t>
            </w:r>
          </w:p>
        </w:tc>
        <w:tc>
          <w:tcPr>
            <w:tcW w:w="440" w:type="pct"/>
            <w:noWrap/>
            <w:vAlign w:val="center"/>
          </w:tcPr>
          <w:p w14:paraId="413B33F9" w14:textId="77777777" w:rsidR="00903CDE" w:rsidRPr="00903CDE"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472" w:type="pct"/>
            <w:vAlign w:val="center"/>
          </w:tcPr>
          <w:p w14:paraId="5274E113" w14:textId="0F00622F" w:rsidR="00903CDE" w:rsidRPr="00903CDE" w:rsidRDefault="00903CDE" w:rsidP="001B09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903CDE">
              <w:rPr>
                <w:rFonts w:ascii="Calibri" w:eastAsia="Times New Roman" w:hAnsi="Calibri" w:cs="Times New Roman"/>
                <w:color w:val="000000"/>
                <w:sz w:val="18"/>
                <w:szCs w:val="18"/>
              </w:rPr>
              <w:t>2024.12</w:t>
            </w:r>
          </w:p>
        </w:tc>
      </w:tr>
    </w:tbl>
    <w:p w14:paraId="1ABBD1F6" w14:textId="77777777" w:rsidR="00F34451" w:rsidRPr="00616F4F" w:rsidRDefault="00F34451">
      <w:pPr>
        <w:spacing w:after="160" w:line="259" w:lineRule="auto"/>
        <w:rPr>
          <w:rFonts w:cs="Times New Roman"/>
          <w:sz w:val="18"/>
          <w:szCs w:val="18"/>
        </w:rPr>
      </w:pPr>
    </w:p>
    <w:p w14:paraId="5930FB9A" w14:textId="32CAD812" w:rsidR="00F34451" w:rsidRPr="00616F4F" w:rsidRDefault="006414D4" w:rsidP="00B64822">
      <w:pPr>
        <w:spacing w:after="0" w:line="240" w:lineRule="auto"/>
        <w:rPr>
          <w:rFonts w:eastAsia="Times New Roman" w:cs="Arial"/>
          <w:color w:val="000000"/>
          <w:sz w:val="18"/>
          <w:szCs w:val="18"/>
        </w:rPr>
        <w:sectPr w:rsidR="00F34451" w:rsidRPr="00616F4F" w:rsidSect="00E23FFA">
          <w:pgSz w:w="16838" w:h="11906" w:orient="landscape"/>
          <w:pgMar w:top="1440" w:right="1440" w:bottom="1440" w:left="1440" w:header="708" w:footer="708" w:gutter="0"/>
          <w:cols w:space="708"/>
          <w:docGrid w:linePitch="360"/>
        </w:sectPr>
      </w:pPr>
      <w:r w:rsidRPr="00616F4F">
        <w:rPr>
          <w:rFonts w:eastAsia="Times New Roman" w:cs="Arial"/>
          <w:color w:val="000000"/>
          <w:sz w:val="18"/>
          <w:szCs w:val="18"/>
        </w:rPr>
        <w:t xml:space="preserve">Note: The average hospital is defined with respect to number of PSIs per year. </w:t>
      </w:r>
    </w:p>
    <w:p w14:paraId="5D4070C0" w14:textId="5D483270" w:rsidR="006A7335" w:rsidRPr="00616F4F" w:rsidRDefault="006A7335" w:rsidP="009964C1">
      <w:pPr>
        <w:pStyle w:val="Heading1"/>
        <w:numPr>
          <w:ilvl w:val="0"/>
          <w:numId w:val="10"/>
        </w:numPr>
        <w:rPr>
          <w:rFonts w:asciiTheme="minorHAnsi" w:hAnsiTheme="minorHAnsi" w:cs="Arial"/>
          <w:sz w:val="24"/>
          <w:szCs w:val="24"/>
        </w:rPr>
      </w:pPr>
      <w:bookmarkStart w:id="30" w:name="_Toc457312926"/>
      <w:r w:rsidRPr="00616F4F">
        <w:rPr>
          <w:rFonts w:asciiTheme="minorHAnsi" w:hAnsiTheme="minorHAnsi" w:cs="Arial"/>
          <w:sz w:val="24"/>
          <w:szCs w:val="24"/>
        </w:rPr>
        <w:lastRenderedPageBreak/>
        <w:t>Supplementary Figures</w:t>
      </w:r>
      <w:bookmarkEnd w:id="30"/>
    </w:p>
    <w:p w14:paraId="184FEA6D" w14:textId="77777777" w:rsidR="00E23FFA" w:rsidRPr="00616F4F" w:rsidRDefault="00E23FFA" w:rsidP="00E23FFA">
      <w:pPr>
        <w:rPr>
          <w:sz w:val="18"/>
          <w:szCs w:val="18"/>
        </w:rPr>
      </w:pPr>
    </w:p>
    <w:p w14:paraId="024C3836" w14:textId="77777777" w:rsidR="000E69B9" w:rsidRPr="00616F4F" w:rsidRDefault="000E69B9" w:rsidP="000E69B9">
      <w:pPr>
        <w:rPr>
          <w:rFonts w:cs="Courier New"/>
          <w:sz w:val="18"/>
          <w:szCs w:val="18"/>
        </w:rPr>
      </w:pPr>
      <w:r w:rsidRPr="00616F4F">
        <w:rPr>
          <w:rFonts w:cs="Courier New"/>
          <w:noProof/>
          <w:sz w:val="18"/>
          <w:szCs w:val="18"/>
        </w:rPr>
        <w:drawing>
          <wp:inline distT="0" distB="0" distL="0" distR="0" wp14:anchorId="7675D4E7" wp14:editId="2972196B">
            <wp:extent cx="2854800" cy="2073600"/>
            <wp:effectExtent l="0" t="0" r="317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8B037A5.tmp"/>
                    <pic:cNvPicPr/>
                  </pic:nvPicPr>
                  <pic:blipFill>
                    <a:blip r:embed="rId10">
                      <a:extLst>
                        <a:ext uri="{28A0092B-C50C-407E-A947-70E740481C1C}">
                          <a14:useLocalDpi xmlns:a14="http://schemas.microsoft.com/office/drawing/2010/main" val="0"/>
                        </a:ext>
                      </a:extLst>
                    </a:blip>
                    <a:stretch>
                      <a:fillRect/>
                    </a:stretch>
                  </pic:blipFill>
                  <pic:spPr>
                    <a:xfrm>
                      <a:off x="0" y="0"/>
                      <a:ext cx="2854800" cy="2073600"/>
                    </a:xfrm>
                    <a:prstGeom prst="rect">
                      <a:avLst/>
                    </a:prstGeom>
                  </pic:spPr>
                </pic:pic>
              </a:graphicData>
            </a:graphic>
          </wp:inline>
        </w:drawing>
      </w:r>
      <w:r w:rsidR="000A7206" w:rsidRPr="00616F4F">
        <w:rPr>
          <w:rFonts w:cs="Courier New"/>
          <w:noProof/>
          <w:sz w:val="18"/>
          <w:szCs w:val="18"/>
        </w:rPr>
        <w:drawing>
          <wp:inline distT="0" distB="0" distL="0" distR="0" wp14:anchorId="373E436E" wp14:editId="1945EF65">
            <wp:extent cx="2880000" cy="208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B0B073.tmp"/>
                    <pic:cNvPicPr/>
                  </pic:nvPicPr>
                  <pic:blipFill>
                    <a:blip r:embed="rId11">
                      <a:extLst>
                        <a:ext uri="{28A0092B-C50C-407E-A947-70E740481C1C}">
                          <a14:useLocalDpi xmlns:a14="http://schemas.microsoft.com/office/drawing/2010/main" val="0"/>
                        </a:ext>
                      </a:extLst>
                    </a:blip>
                    <a:stretch>
                      <a:fillRect/>
                    </a:stretch>
                  </pic:blipFill>
                  <pic:spPr>
                    <a:xfrm>
                      <a:off x="0" y="0"/>
                      <a:ext cx="2880000" cy="2084400"/>
                    </a:xfrm>
                    <a:prstGeom prst="rect">
                      <a:avLst/>
                    </a:prstGeom>
                  </pic:spPr>
                </pic:pic>
              </a:graphicData>
            </a:graphic>
          </wp:inline>
        </w:drawing>
      </w:r>
    </w:p>
    <w:p w14:paraId="79558EBD" w14:textId="0543F17F" w:rsidR="00E23FFA" w:rsidRPr="00B37BB5" w:rsidRDefault="00E23FFA" w:rsidP="00B37BB5">
      <w:pPr>
        <w:pStyle w:val="Heading2"/>
        <w:rPr>
          <w:rFonts w:asciiTheme="minorHAnsi" w:hAnsiTheme="minorHAnsi" w:cs="Arial"/>
          <w:sz w:val="22"/>
          <w:szCs w:val="22"/>
        </w:rPr>
      </w:pPr>
      <w:bookmarkStart w:id="31" w:name="_Toc457312927"/>
      <w:r w:rsidRPr="00B37BB5">
        <w:rPr>
          <w:rFonts w:asciiTheme="minorHAnsi" w:hAnsiTheme="minorHAnsi" w:cs="Arial"/>
          <w:sz w:val="22"/>
          <w:szCs w:val="22"/>
        </w:rPr>
        <w:t xml:space="preserve">Figures </w:t>
      </w:r>
      <w:r w:rsidR="00635E43" w:rsidRPr="00B37BB5">
        <w:rPr>
          <w:rFonts w:asciiTheme="minorHAnsi" w:hAnsiTheme="minorHAnsi" w:cs="Arial"/>
          <w:sz w:val="22"/>
          <w:szCs w:val="22"/>
        </w:rPr>
        <w:t>SDC</w:t>
      </w:r>
      <w:r w:rsidRPr="00B37BB5">
        <w:rPr>
          <w:rFonts w:asciiTheme="minorHAnsi" w:hAnsiTheme="minorHAnsi" w:cs="Arial"/>
          <w:sz w:val="22"/>
          <w:szCs w:val="22"/>
        </w:rPr>
        <w:t>1a-b: Overlay plots of Kernel densities of predicted propensity scores (Death in low-mortality HRG and Pressure ulcers)</w:t>
      </w:r>
      <w:bookmarkEnd w:id="31"/>
    </w:p>
    <w:p w14:paraId="5468EDE2" w14:textId="77777777" w:rsidR="00E23FFA" w:rsidRPr="00616F4F" w:rsidRDefault="00E23FFA" w:rsidP="000E69B9">
      <w:pPr>
        <w:rPr>
          <w:rFonts w:cs="Times New Roman"/>
          <w:sz w:val="18"/>
          <w:szCs w:val="18"/>
        </w:rPr>
      </w:pPr>
    </w:p>
    <w:p w14:paraId="4CE127D8" w14:textId="77777777" w:rsidR="00E23FFA" w:rsidRPr="00616F4F" w:rsidRDefault="00E23FFA" w:rsidP="000E69B9">
      <w:pPr>
        <w:rPr>
          <w:rFonts w:cs="Times New Roman"/>
          <w:sz w:val="18"/>
          <w:szCs w:val="18"/>
        </w:rPr>
      </w:pPr>
    </w:p>
    <w:p w14:paraId="4115202C" w14:textId="77777777" w:rsidR="000E69B9" w:rsidRPr="00616F4F" w:rsidRDefault="000E69B9" w:rsidP="000E69B9">
      <w:pPr>
        <w:rPr>
          <w:rFonts w:cs="Times New Roman"/>
          <w:sz w:val="18"/>
          <w:szCs w:val="18"/>
        </w:rPr>
      </w:pPr>
      <w:r w:rsidRPr="00616F4F">
        <w:rPr>
          <w:rFonts w:cs="Times New Roman"/>
          <w:noProof/>
          <w:sz w:val="18"/>
          <w:szCs w:val="18"/>
        </w:rPr>
        <w:drawing>
          <wp:inline distT="0" distB="0" distL="0" distR="0" wp14:anchorId="200DD136" wp14:editId="4588BAC6">
            <wp:extent cx="2862000" cy="2073600"/>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8B02A3B.tmp"/>
                    <pic:cNvPicPr/>
                  </pic:nvPicPr>
                  <pic:blipFill>
                    <a:blip r:embed="rId12">
                      <a:extLst>
                        <a:ext uri="{28A0092B-C50C-407E-A947-70E740481C1C}">
                          <a14:useLocalDpi xmlns:a14="http://schemas.microsoft.com/office/drawing/2010/main" val="0"/>
                        </a:ext>
                      </a:extLst>
                    </a:blip>
                    <a:stretch>
                      <a:fillRect/>
                    </a:stretch>
                  </pic:blipFill>
                  <pic:spPr>
                    <a:xfrm>
                      <a:off x="0" y="0"/>
                      <a:ext cx="2862000" cy="2073600"/>
                    </a:xfrm>
                    <a:prstGeom prst="rect">
                      <a:avLst/>
                    </a:prstGeom>
                  </pic:spPr>
                </pic:pic>
              </a:graphicData>
            </a:graphic>
          </wp:inline>
        </w:drawing>
      </w:r>
      <w:r w:rsidR="000A7206" w:rsidRPr="00616F4F">
        <w:rPr>
          <w:rFonts w:cs="Times New Roman"/>
          <w:noProof/>
          <w:sz w:val="18"/>
          <w:szCs w:val="18"/>
        </w:rPr>
        <w:drawing>
          <wp:inline distT="0" distB="0" distL="0" distR="0" wp14:anchorId="59447015" wp14:editId="30681F35">
            <wp:extent cx="2879740" cy="20840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8B0677F.tmp"/>
                    <pic:cNvPicPr/>
                  </pic:nvPicPr>
                  <pic:blipFill>
                    <a:blip r:embed="rId13">
                      <a:extLst>
                        <a:ext uri="{28A0092B-C50C-407E-A947-70E740481C1C}">
                          <a14:useLocalDpi xmlns:a14="http://schemas.microsoft.com/office/drawing/2010/main" val="0"/>
                        </a:ext>
                      </a:extLst>
                    </a:blip>
                    <a:stretch>
                      <a:fillRect/>
                    </a:stretch>
                  </pic:blipFill>
                  <pic:spPr>
                    <a:xfrm>
                      <a:off x="0" y="0"/>
                      <a:ext cx="2880471" cy="2084599"/>
                    </a:xfrm>
                    <a:prstGeom prst="rect">
                      <a:avLst/>
                    </a:prstGeom>
                  </pic:spPr>
                </pic:pic>
              </a:graphicData>
            </a:graphic>
          </wp:inline>
        </w:drawing>
      </w:r>
    </w:p>
    <w:p w14:paraId="524D5975" w14:textId="075B12AC" w:rsidR="00E23FFA" w:rsidRPr="00B37BB5" w:rsidRDefault="00E23FFA" w:rsidP="00B37BB5">
      <w:pPr>
        <w:pStyle w:val="Heading2"/>
        <w:rPr>
          <w:rFonts w:asciiTheme="minorHAnsi" w:hAnsiTheme="minorHAnsi" w:cs="Arial"/>
          <w:sz w:val="22"/>
          <w:szCs w:val="22"/>
        </w:rPr>
      </w:pPr>
      <w:bookmarkStart w:id="32" w:name="_Toc457312928"/>
      <w:r w:rsidRPr="00B37BB5">
        <w:rPr>
          <w:rFonts w:asciiTheme="minorHAnsi" w:hAnsiTheme="minorHAnsi" w:cs="Arial"/>
          <w:sz w:val="22"/>
          <w:szCs w:val="22"/>
        </w:rPr>
        <w:t xml:space="preserve">Figures </w:t>
      </w:r>
      <w:r w:rsidR="00635E43" w:rsidRPr="00B37BB5">
        <w:rPr>
          <w:rFonts w:asciiTheme="minorHAnsi" w:hAnsiTheme="minorHAnsi" w:cs="Arial"/>
          <w:sz w:val="22"/>
          <w:szCs w:val="22"/>
        </w:rPr>
        <w:t>SDC</w:t>
      </w:r>
      <w:r w:rsidRPr="00B37BB5">
        <w:rPr>
          <w:rFonts w:asciiTheme="minorHAnsi" w:hAnsiTheme="minorHAnsi" w:cs="Arial"/>
          <w:sz w:val="22"/>
          <w:szCs w:val="22"/>
        </w:rPr>
        <w:t xml:space="preserve">1c-d: Overlay plots of Kernel densities of predicted propensity scores (Central-line infections and </w:t>
      </w:r>
      <w:r w:rsidR="00E2486B" w:rsidRPr="00B37BB5">
        <w:rPr>
          <w:rFonts w:asciiTheme="minorHAnsi" w:hAnsiTheme="minorHAnsi" w:cs="Arial"/>
          <w:sz w:val="22"/>
          <w:szCs w:val="22"/>
        </w:rPr>
        <w:t>post-operative h</w:t>
      </w:r>
      <w:r w:rsidRPr="00B37BB5">
        <w:rPr>
          <w:rFonts w:asciiTheme="minorHAnsi" w:hAnsiTheme="minorHAnsi" w:cs="Arial"/>
          <w:sz w:val="22"/>
          <w:szCs w:val="22"/>
        </w:rPr>
        <w:t>ip fractures)</w:t>
      </w:r>
      <w:bookmarkEnd w:id="32"/>
    </w:p>
    <w:p w14:paraId="6B4578C5" w14:textId="545F1F1D" w:rsidR="00E23FFA" w:rsidRPr="00616F4F" w:rsidRDefault="00E23FFA">
      <w:pPr>
        <w:spacing w:after="160" w:line="259" w:lineRule="auto"/>
        <w:rPr>
          <w:rFonts w:cs="Times New Roman"/>
          <w:sz w:val="18"/>
          <w:szCs w:val="18"/>
        </w:rPr>
      </w:pPr>
      <w:r w:rsidRPr="00616F4F">
        <w:rPr>
          <w:rFonts w:cs="Times New Roman"/>
          <w:sz w:val="18"/>
          <w:szCs w:val="18"/>
        </w:rPr>
        <w:br w:type="page"/>
      </w:r>
    </w:p>
    <w:p w14:paraId="60397BD1" w14:textId="77777777" w:rsidR="00E23FFA" w:rsidRPr="00616F4F" w:rsidRDefault="00E23FFA" w:rsidP="000E69B9">
      <w:pPr>
        <w:rPr>
          <w:rFonts w:cs="Times New Roman"/>
          <w:sz w:val="18"/>
          <w:szCs w:val="18"/>
        </w:rPr>
      </w:pPr>
    </w:p>
    <w:p w14:paraId="6280066F" w14:textId="77777777" w:rsidR="005C1E32" w:rsidRPr="00616F4F" w:rsidRDefault="000E69B9" w:rsidP="000A7206">
      <w:pPr>
        <w:rPr>
          <w:rFonts w:cs="Times New Roman"/>
          <w:b/>
          <w:sz w:val="18"/>
          <w:szCs w:val="18"/>
        </w:rPr>
      </w:pPr>
      <w:r w:rsidRPr="00616F4F">
        <w:rPr>
          <w:rFonts w:cs="Times New Roman"/>
          <w:noProof/>
          <w:sz w:val="18"/>
          <w:szCs w:val="18"/>
        </w:rPr>
        <w:drawing>
          <wp:inline distT="0" distB="0" distL="0" distR="0" wp14:anchorId="7E5C72F1" wp14:editId="63E77EE8">
            <wp:extent cx="2872800" cy="208440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8B03668.tmp"/>
                    <pic:cNvPicPr/>
                  </pic:nvPicPr>
                  <pic:blipFill>
                    <a:blip r:embed="rId14">
                      <a:extLst>
                        <a:ext uri="{28A0092B-C50C-407E-A947-70E740481C1C}">
                          <a14:useLocalDpi xmlns:a14="http://schemas.microsoft.com/office/drawing/2010/main" val="0"/>
                        </a:ext>
                      </a:extLst>
                    </a:blip>
                    <a:stretch>
                      <a:fillRect/>
                    </a:stretch>
                  </pic:blipFill>
                  <pic:spPr>
                    <a:xfrm>
                      <a:off x="0" y="0"/>
                      <a:ext cx="2872800" cy="2084400"/>
                    </a:xfrm>
                    <a:prstGeom prst="rect">
                      <a:avLst/>
                    </a:prstGeom>
                  </pic:spPr>
                </pic:pic>
              </a:graphicData>
            </a:graphic>
          </wp:inline>
        </w:drawing>
      </w:r>
      <w:r w:rsidRPr="00616F4F">
        <w:rPr>
          <w:rFonts w:cs="Times New Roman"/>
          <w:noProof/>
          <w:sz w:val="18"/>
          <w:szCs w:val="18"/>
        </w:rPr>
        <w:drawing>
          <wp:inline distT="0" distB="0" distL="0" distR="0" wp14:anchorId="4A9EADD4" wp14:editId="42FC7BA6">
            <wp:extent cx="2887200" cy="2088000"/>
            <wp:effectExtent l="0" t="0" r="889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8B0FA96.tmp"/>
                    <pic:cNvPicPr/>
                  </pic:nvPicPr>
                  <pic:blipFill>
                    <a:blip r:embed="rId15">
                      <a:extLst>
                        <a:ext uri="{28A0092B-C50C-407E-A947-70E740481C1C}">
                          <a14:useLocalDpi xmlns:a14="http://schemas.microsoft.com/office/drawing/2010/main" val="0"/>
                        </a:ext>
                      </a:extLst>
                    </a:blip>
                    <a:stretch>
                      <a:fillRect/>
                    </a:stretch>
                  </pic:blipFill>
                  <pic:spPr>
                    <a:xfrm>
                      <a:off x="0" y="0"/>
                      <a:ext cx="2887200" cy="2088000"/>
                    </a:xfrm>
                    <a:prstGeom prst="rect">
                      <a:avLst/>
                    </a:prstGeom>
                  </pic:spPr>
                </pic:pic>
              </a:graphicData>
            </a:graphic>
          </wp:inline>
        </w:drawing>
      </w:r>
    </w:p>
    <w:p w14:paraId="6483C7FC" w14:textId="085EF8F5" w:rsidR="00E135DF" w:rsidRPr="00B37BB5" w:rsidRDefault="00E135DF" w:rsidP="00B37BB5">
      <w:pPr>
        <w:pStyle w:val="Heading2"/>
        <w:rPr>
          <w:rFonts w:asciiTheme="minorHAnsi" w:hAnsiTheme="minorHAnsi" w:cs="Arial"/>
          <w:sz w:val="22"/>
          <w:szCs w:val="22"/>
        </w:rPr>
      </w:pPr>
      <w:bookmarkStart w:id="33" w:name="_Toc457312929"/>
      <w:r w:rsidRPr="00B37BB5">
        <w:rPr>
          <w:rFonts w:asciiTheme="minorHAnsi" w:hAnsiTheme="minorHAnsi" w:cs="Arial"/>
          <w:sz w:val="22"/>
          <w:szCs w:val="22"/>
        </w:rPr>
        <w:t xml:space="preserve">Figures </w:t>
      </w:r>
      <w:r w:rsidR="00635E43" w:rsidRPr="00B37BB5">
        <w:rPr>
          <w:rFonts w:asciiTheme="minorHAnsi" w:hAnsiTheme="minorHAnsi" w:cs="Arial"/>
          <w:sz w:val="22"/>
          <w:szCs w:val="22"/>
        </w:rPr>
        <w:t>SDC</w:t>
      </w:r>
      <w:r w:rsidR="008F49EC" w:rsidRPr="00B37BB5">
        <w:rPr>
          <w:rFonts w:asciiTheme="minorHAnsi" w:hAnsiTheme="minorHAnsi" w:cs="Arial"/>
          <w:sz w:val="22"/>
          <w:szCs w:val="22"/>
        </w:rPr>
        <w:t>1</w:t>
      </w:r>
      <w:r w:rsidR="00E23FFA" w:rsidRPr="00B37BB5">
        <w:rPr>
          <w:rFonts w:asciiTheme="minorHAnsi" w:hAnsiTheme="minorHAnsi" w:cs="Arial"/>
          <w:sz w:val="22"/>
          <w:szCs w:val="22"/>
        </w:rPr>
        <w:t>e</w:t>
      </w:r>
      <w:r w:rsidRPr="00B37BB5">
        <w:rPr>
          <w:rFonts w:asciiTheme="minorHAnsi" w:hAnsiTheme="minorHAnsi" w:cs="Arial"/>
          <w:sz w:val="22"/>
          <w:szCs w:val="22"/>
        </w:rPr>
        <w:t>-f: Overlay plots of Kernel densities of predicted propensity scores</w:t>
      </w:r>
      <w:r w:rsidR="00E2486B" w:rsidRPr="00B37BB5">
        <w:rPr>
          <w:rFonts w:asciiTheme="minorHAnsi" w:hAnsiTheme="minorHAnsi" w:cs="Arial"/>
          <w:sz w:val="22"/>
          <w:szCs w:val="22"/>
        </w:rPr>
        <w:t xml:space="preserve"> (DVT/PE and post-operative sepsis)</w:t>
      </w:r>
      <w:bookmarkEnd w:id="33"/>
    </w:p>
    <w:p w14:paraId="4105BA39" w14:textId="77777777" w:rsidR="00E23FFA" w:rsidRPr="00616F4F" w:rsidRDefault="00E23FFA" w:rsidP="005C1E32">
      <w:pPr>
        <w:jc w:val="both"/>
        <w:rPr>
          <w:rFonts w:eastAsiaTheme="minorHAnsi" w:cs="Times New Roman"/>
          <w:sz w:val="18"/>
          <w:szCs w:val="18"/>
        </w:rPr>
      </w:pPr>
    </w:p>
    <w:p w14:paraId="5BA24F48" w14:textId="77777777" w:rsidR="00E23FFA" w:rsidRPr="00616F4F" w:rsidRDefault="005C1E32" w:rsidP="005C1E32">
      <w:pPr>
        <w:jc w:val="both"/>
        <w:rPr>
          <w:rFonts w:eastAsiaTheme="minorHAnsi" w:cs="Arial"/>
          <w:sz w:val="18"/>
          <w:szCs w:val="18"/>
        </w:rPr>
      </w:pPr>
      <w:r w:rsidRPr="00616F4F">
        <w:rPr>
          <w:rFonts w:eastAsiaTheme="minorHAnsi" w:cs="Arial"/>
          <w:sz w:val="18"/>
          <w:szCs w:val="18"/>
        </w:rPr>
        <w:t xml:space="preserve">Note: </w:t>
      </w:r>
    </w:p>
    <w:p w14:paraId="2EA4CA56" w14:textId="7CC853C5" w:rsidR="00252CD6" w:rsidRPr="00616F4F" w:rsidRDefault="005C1E32" w:rsidP="005C1E32">
      <w:pPr>
        <w:jc w:val="both"/>
        <w:rPr>
          <w:rFonts w:cs="Courier New"/>
          <w:sz w:val="18"/>
          <w:szCs w:val="18"/>
        </w:rPr>
      </w:pPr>
      <w:r w:rsidRPr="00616F4F">
        <w:rPr>
          <w:rFonts w:eastAsiaTheme="minorHAnsi" w:cs="Arial"/>
          <w:sz w:val="18"/>
          <w:szCs w:val="18"/>
        </w:rPr>
        <w:t>The figures show the distribution of predicted propensity of experiencing the safety incident. These were estimated for patients with and matched patients without incidents, and are plotted separately here. Low/high predicted scores indicate that an individual has a low/high propensity of experiencing an incident. The plots show that all PSIs are relatively rare events, with the mass of the density far below 0.1 for all PSIs. There is a near perfect overlap between PSI patients and matched control patients. This implies that we were successful in finding matches that have nearly the same probability of experiencing the PSI as the patients which actually did have the PSI, a finding that is confirmed by the summary statistics of the propensity score differences.  Plots for other years are very similar, and available on request from corresponding author.</w:t>
      </w:r>
      <w:r w:rsidRPr="00616F4F">
        <w:rPr>
          <w:rFonts w:eastAsiaTheme="minorHAnsi"/>
          <w:sz w:val="18"/>
          <w:szCs w:val="18"/>
        </w:rPr>
        <w:t xml:space="preserve"> </w:t>
      </w:r>
      <w:r w:rsidR="000E69B9" w:rsidRPr="00616F4F">
        <w:rPr>
          <w:b/>
          <w:sz w:val="18"/>
          <w:szCs w:val="18"/>
        </w:rPr>
        <w:br w:type="page"/>
      </w:r>
    </w:p>
    <w:p w14:paraId="3A3D385C" w14:textId="4F92F959" w:rsidR="00CF33FC" w:rsidRPr="00616F4F" w:rsidRDefault="00CB1F10" w:rsidP="009964C1">
      <w:pPr>
        <w:pStyle w:val="Heading1"/>
        <w:numPr>
          <w:ilvl w:val="0"/>
          <w:numId w:val="10"/>
        </w:numPr>
        <w:rPr>
          <w:rFonts w:asciiTheme="minorHAnsi" w:hAnsiTheme="minorHAnsi" w:cs="Arial"/>
          <w:sz w:val="24"/>
          <w:szCs w:val="24"/>
        </w:rPr>
      </w:pPr>
      <w:bookmarkStart w:id="34" w:name="_Toc457312930"/>
      <w:r w:rsidRPr="00616F4F">
        <w:rPr>
          <w:rFonts w:asciiTheme="minorHAnsi" w:hAnsiTheme="minorHAnsi" w:cs="Arial"/>
          <w:sz w:val="24"/>
          <w:szCs w:val="24"/>
        </w:rPr>
        <w:lastRenderedPageBreak/>
        <w:t>References</w:t>
      </w:r>
      <w:bookmarkEnd w:id="34"/>
    </w:p>
    <w:p w14:paraId="572AD472" w14:textId="77777777" w:rsidR="00D615AE" w:rsidRPr="00B37BB5" w:rsidRDefault="00D615AE" w:rsidP="00B37BB5">
      <w:pPr>
        <w:pStyle w:val="Heading1"/>
        <w:ind w:firstLine="720"/>
        <w:jc w:val="both"/>
        <w:rPr>
          <w:rFonts w:asciiTheme="minorHAnsi" w:hAnsiTheme="minorHAnsi" w:cs="Times New Roman"/>
          <w:sz w:val="22"/>
          <w:szCs w:val="22"/>
        </w:rPr>
      </w:pPr>
    </w:p>
    <w:p w14:paraId="6C50BB2E" w14:textId="77777777" w:rsidR="00B37BB5" w:rsidRPr="00B37BB5" w:rsidRDefault="002604F0" w:rsidP="00B37BB5">
      <w:pPr>
        <w:pStyle w:val="EndNoteBibliography"/>
        <w:spacing w:after="0"/>
        <w:rPr>
          <w:sz w:val="22"/>
        </w:rPr>
      </w:pPr>
      <w:r w:rsidRPr="00B37BB5">
        <w:rPr>
          <w:rFonts w:asciiTheme="minorHAnsi" w:hAnsiTheme="minorHAnsi" w:cs="Times New Roman"/>
          <w:sz w:val="22"/>
        </w:rPr>
        <w:fldChar w:fldCharType="begin"/>
      </w:r>
      <w:r w:rsidRPr="00B37BB5">
        <w:rPr>
          <w:rFonts w:asciiTheme="minorHAnsi" w:hAnsiTheme="minorHAnsi" w:cs="Times New Roman"/>
          <w:sz w:val="22"/>
        </w:rPr>
        <w:instrText xml:space="preserve"> ADDIN EN.REFLIST </w:instrText>
      </w:r>
      <w:r w:rsidRPr="00B37BB5">
        <w:rPr>
          <w:rFonts w:asciiTheme="minorHAnsi" w:hAnsiTheme="minorHAnsi" w:cs="Times New Roman"/>
          <w:sz w:val="22"/>
        </w:rPr>
        <w:fldChar w:fldCharType="separate"/>
      </w:r>
      <w:r w:rsidR="00B37BB5" w:rsidRPr="00B37BB5">
        <w:rPr>
          <w:sz w:val="22"/>
        </w:rPr>
        <w:t>1.</w:t>
      </w:r>
      <w:r w:rsidR="00B37BB5" w:rsidRPr="00B37BB5">
        <w:rPr>
          <w:sz w:val="22"/>
        </w:rPr>
        <w:tab/>
        <w:t>AHRQ. Measures of Patient Safety Based on Hospital Administrative Data: The Patient Safety Indicators - Technical Review 5. In: Agency for Healthcare Research and Quality, ed.: Department of Health and Human Services; 2002</w:t>
      </w:r>
    </w:p>
    <w:p w14:paraId="17DD8B5E" w14:textId="77777777" w:rsidR="00B37BB5" w:rsidRPr="00B37BB5" w:rsidRDefault="00B37BB5" w:rsidP="00B37BB5">
      <w:pPr>
        <w:pStyle w:val="EndNoteBibliography"/>
        <w:spacing w:after="0"/>
        <w:rPr>
          <w:sz w:val="22"/>
        </w:rPr>
      </w:pPr>
      <w:r w:rsidRPr="00B37BB5">
        <w:rPr>
          <w:sz w:val="22"/>
        </w:rPr>
        <w:t>2.</w:t>
      </w:r>
      <w:r w:rsidRPr="00B37BB5">
        <w:rPr>
          <w:sz w:val="22"/>
        </w:rPr>
        <w:tab/>
        <w:t>AHRQ. Patient Safety Indicators. In: Agency for Healthcare Research and Quality, ed. Rockville, Maryland: U.S. Department of Health and Human Services; 2010</w:t>
      </w:r>
    </w:p>
    <w:p w14:paraId="390C6DCE" w14:textId="77777777" w:rsidR="00B37BB5" w:rsidRPr="00B37BB5" w:rsidRDefault="00B37BB5" w:rsidP="00B37BB5">
      <w:pPr>
        <w:pStyle w:val="EndNoteBibliography"/>
        <w:spacing w:after="0"/>
        <w:rPr>
          <w:sz w:val="22"/>
        </w:rPr>
      </w:pPr>
      <w:r w:rsidRPr="00B37BB5">
        <w:rPr>
          <w:sz w:val="22"/>
        </w:rPr>
        <w:t>3.</w:t>
      </w:r>
      <w:r w:rsidRPr="00B37BB5">
        <w:rPr>
          <w:sz w:val="22"/>
        </w:rPr>
        <w:tab/>
        <w:t>Henriksen K, Battles JB, Marks ES, et al. Applying patient safety indicators (PSIs) across health care systems: achieving data comparability. In: Henriksen K, Battles JB, Marks ES, et al., eds. Advances in Patient Safety: From Research to Implementation Rockville, MD: Agency for Healthcare Reserach and Quality; 2005</w:t>
      </w:r>
    </w:p>
    <w:p w14:paraId="34DB6222" w14:textId="77777777" w:rsidR="00B37BB5" w:rsidRPr="00B37BB5" w:rsidRDefault="00B37BB5" w:rsidP="00B37BB5">
      <w:pPr>
        <w:pStyle w:val="EndNoteBibliography"/>
        <w:spacing w:after="0"/>
        <w:rPr>
          <w:sz w:val="22"/>
        </w:rPr>
      </w:pPr>
      <w:r w:rsidRPr="00B37BB5">
        <w:rPr>
          <w:sz w:val="22"/>
        </w:rPr>
        <w:t>4.</w:t>
      </w:r>
      <w:r w:rsidRPr="00B37BB5">
        <w:rPr>
          <w:sz w:val="22"/>
        </w:rPr>
        <w:tab/>
        <w:t>Bottle A, Aylin P. Application of AHRQ patient safety indicators to English hospital data. Quality and Safety in Health Care 2009;18:303-308</w:t>
      </w:r>
    </w:p>
    <w:p w14:paraId="3D64F07A" w14:textId="77777777" w:rsidR="00B37BB5" w:rsidRPr="00B37BB5" w:rsidRDefault="00B37BB5" w:rsidP="00B37BB5">
      <w:pPr>
        <w:pStyle w:val="EndNoteBibliography"/>
        <w:spacing w:after="0"/>
        <w:rPr>
          <w:sz w:val="22"/>
        </w:rPr>
      </w:pPr>
      <w:r w:rsidRPr="00B37BB5">
        <w:rPr>
          <w:sz w:val="22"/>
        </w:rPr>
        <w:t>5.</w:t>
      </w:r>
      <w:r w:rsidRPr="00B37BB5">
        <w:rPr>
          <w:sz w:val="22"/>
        </w:rPr>
        <w:tab/>
        <w:t>AHRQ. Death Rate in Low-Mortality Diagnosis Related Groups (DRGs) Technical Specifications. In: Agency for Healthcare Research and Quality, ed.: U.S. Department of Health and Human Services; 2014</w:t>
      </w:r>
    </w:p>
    <w:p w14:paraId="5FF56883" w14:textId="77777777" w:rsidR="00B37BB5" w:rsidRPr="00B37BB5" w:rsidRDefault="00B37BB5" w:rsidP="00B37BB5">
      <w:pPr>
        <w:pStyle w:val="EndNoteBibliography"/>
        <w:spacing w:after="0"/>
        <w:rPr>
          <w:sz w:val="22"/>
        </w:rPr>
      </w:pPr>
      <w:r w:rsidRPr="00B37BB5">
        <w:rPr>
          <w:sz w:val="22"/>
        </w:rPr>
        <w:t>6.</w:t>
      </w:r>
      <w:r w:rsidRPr="00B37BB5">
        <w:rPr>
          <w:sz w:val="22"/>
        </w:rPr>
        <w:tab/>
        <w:t>AHRQ. Pressure Ulcer Rate Technical Specification,. In: Agency for Healthcare Research and Quality, ed.: U.S. Department of Health and Human Services; 2014</w:t>
      </w:r>
    </w:p>
    <w:p w14:paraId="64AC5BCD" w14:textId="77777777" w:rsidR="00B37BB5" w:rsidRPr="00B37BB5" w:rsidRDefault="00B37BB5" w:rsidP="00B37BB5">
      <w:pPr>
        <w:pStyle w:val="EndNoteBibliography"/>
        <w:spacing w:after="0"/>
        <w:rPr>
          <w:sz w:val="22"/>
        </w:rPr>
      </w:pPr>
      <w:r w:rsidRPr="00B37BB5">
        <w:rPr>
          <w:sz w:val="22"/>
        </w:rPr>
        <w:t>7.</w:t>
      </w:r>
      <w:r w:rsidRPr="00B37BB5">
        <w:rPr>
          <w:sz w:val="22"/>
        </w:rPr>
        <w:tab/>
        <w:t>Tissue Viability Society. Achieving Consensus in Pressure Ulcer Reporting. 2012</w:t>
      </w:r>
    </w:p>
    <w:p w14:paraId="2556FAFB" w14:textId="77777777" w:rsidR="00B37BB5" w:rsidRPr="00B37BB5" w:rsidRDefault="00B37BB5" w:rsidP="00B37BB5">
      <w:pPr>
        <w:pStyle w:val="EndNoteBibliography"/>
        <w:spacing w:after="0"/>
        <w:rPr>
          <w:sz w:val="22"/>
        </w:rPr>
      </w:pPr>
      <w:r w:rsidRPr="00B37BB5">
        <w:rPr>
          <w:sz w:val="22"/>
        </w:rPr>
        <w:t>8.</w:t>
      </w:r>
      <w:r w:rsidRPr="00B37BB5">
        <w:rPr>
          <w:sz w:val="22"/>
        </w:rPr>
        <w:tab/>
        <w:t>AHRQ. Central Venous Catheter-Related Blood Stream Infection Rate Technical Specifications. In: Agency for Healthcare Research and Quality, ed.: U.S. Department of Health and Human Services; 2014</w:t>
      </w:r>
    </w:p>
    <w:p w14:paraId="2C065B20" w14:textId="77777777" w:rsidR="00B37BB5" w:rsidRPr="00B37BB5" w:rsidRDefault="00B37BB5" w:rsidP="00B37BB5">
      <w:pPr>
        <w:pStyle w:val="EndNoteBibliography"/>
        <w:spacing w:after="0"/>
        <w:rPr>
          <w:sz w:val="22"/>
        </w:rPr>
      </w:pPr>
      <w:r w:rsidRPr="00B37BB5">
        <w:rPr>
          <w:sz w:val="22"/>
        </w:rPr>
        <w:t>9.</w:t>
      </w:r>
      <w:r w:rsidRPr="00B37BB5">
        <w:rPr>
          <w:sz w:val="22"/>
        </w:rPr>
        <w:tab/>
        <w:t>AHRQ. Postoperative Hip Fracture Rate Technical Specifications,. In: Agency for Healthcare Research and Quality, ed.: U.S. Department of Health and Human Services; 2014</w:t>
      </w:r>
    </w:p>
    <w:p w14:paraId="68ECC0FA" w14:textId="77777777" w:rsidR="00B37BB5" w:rsidRPr="00B37BB5" w:rsidRDefault="00B37BB5" w:rsidP="00B37BB5">
      <w:pPr>
        <w:pStyle w:val="EndNoteBibliography"/>
        <w:spacing w:after="0"/>
        <w:rPr>
          <w:sz w:val="22"/>
        </w:rPr>
      </w:pPr>
      <w:r w:rsidRPr="00B37BB5">
        <w:rPr>
          <w:sz w:val="22"/>
        </w:rPr>
        <w:t>10.</w:t>
      </w:r>
      <w:r w:rsidRPr="00B37BB5">
        <w:rPr>
          <w:sz w:val="22"/>
        </w:rPr>
        <w:tab/>
        <w:t>AHRQ. PSI 12: Perioperative Pulmonary Embolism (PE) or Deep Vein Thrombosis (DVT) - Selected Best Practices and Suggestions for Improvement. In: Agency for Healtcare Research and Quality, ed.: U.S. Department of Health and Social Services; 2014</w:t>
      </w:r>
    </w:p>
    <w:p w14:paraId="7F7C77F6" w14:textId="77777777" w:rsidR="00B37BB5" w:rsidRPr="00B37BB5" w:rsidRDefault="00B37BB5" w:rsidP="00B37BB5">
      <w:pPr>
        <w:pStyle w:val="EndNoteBibliography"/>
        <w:spacing w:after="0"/>
        <w:rPr>
          <w:sz w:val="22"/>
        </w:rPr>
      </w:pPr>
      <w:r w:rsidRPr="00B37BB5">
        <w:rPr>
          <w:sz w:val="22"/>
        </w:rPr>
        <w:t>11.</w:t>
      </w:r>
      <w:r w:rsidRPr="00B37BB5">
        <w:rPr>
          <w:sz w:val="22"/>
        </w:rPr>
        <w:tab/>
        <w:t>AHRQ. Perioperative Pulmonary Embolism or Deep Vein Thrombosis Rate Technical Specifications. In: Agency for Healthcare Research and Quality, ed.: U.S. Department of Health and Human Services; 2014</w:t>
      </w:r>
    </w:p>
    <w:p w14:paraId="280731C5" w14:textId="77777777" w:rsidR="00B37BB5" w:rsidRPr="00B37BB5" w:rsidRDefault="00B37BB5" w:rsidP="00B37BB5">
      <w:pPr>
        <w:pStyle w:val="EndNoteBibliography"/>
        <w:spacing w:after="0"/>
        <w:rPr>
          <w:sz w:val="22"/>
        </w:rPr>
      </w:pPr>
      <w:r w:rsidRPr="00B37BB5">
        <w:rPr>
          <w:sz w:val="22"/>
        </w:rPr>
        <w:t>12.</w:t>
      </w:r>
      <w:r w:rsidRPr="00B37BB5">
        <w:rPr>
          <w:sz w:val="22"/>
        </w:rPr>
        <w:tab/>
        <w:t>AHRQ. Postoperative Sepsis Rate - Technical Specifications. In: Agency for Healthcare Research and Quality, ed.: U.S. Department of Health and Human Services; 2014</w:t>
      </w:r>
    </w:p>
    <w:p w14:paraId="7C6CFE2B" w14:textId="77777777" w:rsidR="00B37BB5" w:rsidRPr="00B37BB5" w:rsidRDefault="00B37BB5" w:rsidP="00B37BB5">
      <w:pPr>
        <w:pStyle w:val="EndNoteBibliography"/>
        <w:spacing w:after="0"/>
        <w:rPr>
          <w:sz w:val="22"/>
        </w:rPr>
      </w:pPr>
      <w:r w:rsidRPr="00B37BB5">
        <w:rPr>
          <w:sz w:val="22"/>
        </w:rPr>
        <w:t>13.</w:t>
      </w:r>
      <w:r w:rsidRPr="00B37BB5">
        <w:rPr>
          <w:sz w:val="22"/>
        </w:rPr>
        <w:tab/>
        <w:t>AHRQ. PS 13: Postoperative Sepsis - Selected Best Practice and Suggestions for Improvements. In: Agency for Healthcare Research and Quality, ed.: U.S. Department of Health and Human Services; 2014</w:t>
      </w:r>
    </w:p>
    <w:p w14:paraId="59DF65A2" w14:textId="77777777" w:rsidR="00B37BB5" w:rsidRPr="00B37BB5" w:rsidRDefault="00B37BB5" w:rsidP="00B37BB5">
      <w:pPr>
        <w:pStyle w:val="EndNoteBibliography"/>
        <w:spacing w:after="0"/>
        <w:rPr>
          <w:sz w:val="22"/>
        </w:rPr>
      </w:pPr>
      <w:r w:rsidRPr="00B37BB5">
        <w:rPr>
          <w:sz w:val="22"/>
        </w:rPr>
        <w:t>14.</w:t>
      </w:r>
      <w:r w:rsidRPr="00B37BB5">
        <w:rPr>
          <w:sz w:val="22"/>
        </w:rPr>
        <w:tab/>
        <w:t>Rubin DB. Using Multivariate Matched Sampling and Regression Adjustment to Control Bias in Observational Studies. Journal of the American Statistical Association 1979;74:318-328</w:t>
      </w:r>
    </w:p>
    <w:p w14:paraId="3DB58C53" w14:textId="77777777" w:rsidR="00B37BB5" w:rsidRPr="00B37BB5" w:rsidRDefault="00B37BB5" w:rsidP="00B37BB5">
      <w:pPr>
        <w:pStyle w:val="EndNoteBibliography"/>
        <w:spacing w:after="0"/>
        <w:rPr>
          <w:sz w:val="22"/>
        </w:rPr>
      </w:pPr>
      <w:r w:rsidRPr="00B37BB5">
        <w:rPr>
          <w:sz w:val="22"/>
        </w:rPr>
        <w:t>15.</w:t>
      </w:r>
      <w:r w:rsidRPr="00B37BB5">
        <w:rPr>
          <w:sz w:val="22"/>
        </w:rPr>
        <w:tab/>
        <w:t>Heckman JJ, LaLonde RJ, Smith JA. The economics and econometrics of active labor market programs. Handbook of labor economics 1999;3:1865-2097</w:t>
      </w:r>
    </w:p>
    <w:p w14:paraId="260ADCD5" w14:textId="77777777" w:rsidR="00B37BB5" w:rsidRPr="00B37BB5" w:rsidRDefault="00B37BB5" w:rsidP="00B37BB5">
      <w:pPr>
        <w:pStyle w:val="EndNoteBibliography"/>
        <w:spacing w:after="0"/>
        <w:rPr>
          <w:sz w:val="22"/>
        </w:rPr>
      </w:pPr>
      <w:r w:rsidRPr="00B37BB5">
        <w:rPr>
          <w:sz w:val="22"/>
        </w:rPr>
        <w:t>16.</w:t>
      </w:r>
      <w:r w:rsidRPr="00B37BB5">
        <w:rPr>
          <w:sz w:val="22"/>
        </w:rPr>
        <w:tab/>
        <w:t>Smith JA, Todd PE. Does matching overcome LaLonde's critique of nonexperimental estimators? Journal of econometrics 2005;125:305-353</w:t>
      </w:r>
    </w:p>
    <w:p w14:paraId="7317CB0D" w14:textId="77777777" w:rsidR="00B37BB5" w:rsidRPr="00B37BB5" w:rsidRDefault="00B37BB5" w:rsidP="00B37BB5">
      <w:pPr>
        <w:pStyle w:val="EndNoteBibliography"/>
        <w:spacing w:after="0"/>
        <w:rPr>
          <w:sz w:val="22"/>
        </w:rPr>
      </w:pPr>
      <w:r w:rsidRPr="00B37BB5">
        <w:rPr>
          <w:sz w:val="22"/>
        </w:rPr>
        <w:t>17.</w:t>
      </w:r>
      <w:r w:rsidRPr="00B37BB5">
        <w:rPr>
          <w:sz w:val="22"/>
        </w:rPr>
        <w:tab/>
        <w:t>D'Hoore W, Bouckaert A, Tilquin C. Practical considerations on the use of the Charlson comorbidity index with administrative data bases. Journal of clinical epidemiology 1996;49:1429-1433</w:t>
      </w:r>
    </w:p>
    <w:p w14:paraId="09F54FFC" w14:textId="77777777" w:rsidR="00B37BB5" w:rsidRPr="00B37BB5" w:rsidRDefault="00B37BB5" w:rsidP="00B37BB5">
      <w:pPr>
        <w:pStyle w:val="EndNoteBibliography"/>
        <w:spacing w:after="0"/>
        <w:rPr>
          <w:sz w:val="22"/>
        </w:rPr>
      </w:pPr>
      <w:r w:rsidRPr="00B37BB5">
        <w:rPr>
          <w:sz w:val="22"/>
        </w:rPr>
        <w:t>18.</w:t>
      </w:r>
      <w:r w:rsidRPr="00B37BB5">
        <w:rPr>
          <w:sz w:val="22"/>
        </w:rPr>
        <w:tab/>
        <w:t>StataCorp. Stata 13 Base Reference Manual. College Station, TX: Stata Press; 2013</w:t>
      </w:r>
    </w:p>
    <w:p w14:paraId="1EEAFE37" w14:textId="77777777" w:rsidR="00B37BB5" w:rsidRPr="00B37BB5" w:rsidRDefault="00B37BB5" w:rsidP="00B37BB5">
      <w:pPr>
        <w:pStyle w:val="EndNoteBibliography"/>
        <w:spacing w:after="0"/>
        <w:rPr>
          <w:sz w:val="22"/>
        </w:rPr>
      </w:pPr>
      <w:r w:rsidRPr="00B37BB5">
        <w:rPr>
          <w:sz w:val="22"/>
        </w:rPr>
        <w:t>19.</w:t>
      </w:r>
      <w:r w:rsidRPr="00B37BB5">
        <w:rPr>
          <w:sz w:val="22"/>
        </w:rPr>
        <w:tab/>
        <w:t>Austin PC. Balance diagnostics for comparing the distribution of baseline covariates between treatment groups in propensity-score matched samples. Statistics in Medicine 2009;28:3083-3107</w:t>
      </w:r>
    </w:p>
    <w:p w14:paraId="444072D4" w14:textId="77777777" w:rsidR="00B37BB5" w:rsidRPr="00B37BB5" w:rsidRDefault="00B37BB5" w:rsidP="00B37BB5">
      <w:pPr>
        <w:pStyle w:val="EndNoteBibliography"/>
        <w:spacing w:after="0"/>
        <w:rPr>
          <w:sz w:val="22"/>
        </w:rPr>
      </w:pPr>
      <w:r w:rsidRPr="00B37BB5">
        <w:rPr>
          <w:sz w:val="22"/>
        </w:rPr>
        <w:t>20.</w:t>
      </w:r>
      <w:r w:rsidRPr="00B37BB5">
        <w:rPr>
          <w:sz w:val="22"/>
        </w:rPr>
        <w:tab/>
        <w:t>Austin PC. Propensity-score matching in the cardiovascular surgery literature from 2004 to 2006: A systematic review and suggestions for improvement. The Journal of Thoracic and Cardiovascular Surgery 2007;134:1128-1135.e1123</w:t>
      </w:r>
    </w:p>
    <w:p w14:paraId="46B79D2C" w14:textId="77777777" w:rsidR="00B37BB5" w:rsidRPr="00B37BB5" w:rsidRDefault="00B37BB5" w:rsidP="00B37BB5">
      <w:pPr>
        <w:pStyle w:val="EndNoteBibliography"/>
        <w:spacing w:after="0"/>
        <w:rPr>
          <w:sz w:val="22"/>
        </w:rPr>
      </w:pPr>
      <w:r w:rsidRPr="00B37BB5">
        <w:rPr>
          <w:sz w:val="22"/>
        </w:rPr>
        <w:t>21.</w:t>
      </w:r>
      <w:r w:rsidRPr="00B37BB5">
        <w:rPr>
          <w:sz w:val="22"/>
        </w:rPr>
        <w:tab/>
        <w:t>Rubin DB. Using Propensity Scores to Help Design Observational Studies: Application to the Tobacco Litigation. Health Services &amp; Outcomes Research Methodology 2001;2:169-188</w:t>
      </w:r>
    </w:p>
    <w:p w14:paraId="0C1E61F1" w14:textId="77777777" w:rsidR="00B37BB5" w:rsidRPr="00B37BB5" w:rsidRDefault="00B37BB5" w:rsidP="00B37BB5">
      <w:pPr>
        <w:pStyle w:val="EndNoteBibliography"/>
        <w:spacing w:after="0"/>
        <w:rPr>
          <w:sz w:val="22"/>
        </w:rPr>
      </w:pPr>
      <w:r w:rsidRPr="00B37BB5">
        <w:rPr>
          <w:sz w:val="22"/>
        </w:rPr>
        <w:t>22.</w:t>
      </w:r>
      <w:r w:rsidRPr="00B37BB5">
        <w:rPr>
          <w:sz w:val="22"/>
        </w:rPr>
        <w:tab/>
        <w:t>Rosenbaum PR, Rubin DB. Constructing a Control Group Using Multivariate Matched Sampling Methods That Incorporate the Propensity Score. The American Statistician 1985;39:33-38</w:t>
      </w:r>
    </w:p>
    <w:p w14:paraId="130B0012" w14:textId="77777777" w:rsidR="00B37BB5" w:rsidRPr="00B37BB5" w:rsidRDefault="00B37BB5" w:rsidP="00B37BB5">
      <w:pPr>
        <w:pStyle w:val="EndNoteBibliography"/>
        <w:spacing w:after="0"/>
        <w:rPr>
          <w:sz w:val="22"/>
        </w:rPr>
      </w:pPr>
      <w:r w:rsidRPr="00B37BB5">
        <w:rPr>
          <w:sz w:val="22"/>
        </w:rPr>
        <w:t>23.</w:t>
      </w:r>
      <w:r w:rsidRPr="00B37BB5">
        <w:rPr>
          <w:sz w:val="22"/>
        </w:rPr>
        <w:tab/>
        <w:t>Frontier Economics. Exploring the costs of unsafe care in the NHS - A report prepared for the Department of Health. London, UK: Frontier Economics, ; 2014</w:t>
      </w:r>
    </w:p>
    <w:p w14:paraId="2349647C" w14:textId="77777777" w:rsidR="00B37BB5" w:rsidRPr="00B37BB5" w:rsidRDefault="00B37BB5" w:rsidP="00B37BB5">
      <w:pPr>
        <w:pStyle w:val="EndNoteBibliography"/>
        <w:spacing w:after="0"/>
        <w:rPr>
          <w:sz w:val="22"/>
        </w:rPr>
      </w:pPr>
      <w:r w:rsidRPr="00B37BB5">
        <w:rPr>
          <w:sz w:val="22"/>
        </w:rPr>
        <w:lastRenderedPageBreak/>
        <w:t>24.</w:t>
      </w:r>
      <w:r w:rsidRPr="00B37BB5">
        <w:rPr>
          <w:sz w:val="22"/>
        </w:rPr>
        <w:tab/>
        <w:t>Gaughan J, Mason A, Street A, et al. English hospitals can improve their use of resources: analysis of costs and length of stay for ten treatments In: Centre for Health Economics, ed. CHE Working Paper. York: University of York; 2012</w:t>
      </w:r>
    </w:p>
    <w:p w14:paraId="1E6CFB22" w14:textId="77777777" w:rsidR="00B37BB5" w:rsidRPr="00B37BB5" w:rsidRDefault="00B37BB5" w:rsidP="00B37BB5">
      <w:pPr>
        <w:pStyle w:val="EndNoteBibliography"/>
        <w:rPr>
          <w:sz w:val="22"/>
        </w:rPr>
      </w:pPr>
      <w:r w:rsidRPr="00B37BB5">
        <w:rPr>
          <w:sz w:val="22"/>
        </w:rPr>
        <w:t>25.</w:t>
      </w:r>
      <w:r w:rsidRPr="00B37BB5">
        <w:rPr>
          <w:sz w:val="22"/>
        </w:rPr>
        <w:tab/>
        <w:t>Sullivan PW, Slejko JF, Sculpher MJ, et al. Catalogue of EQ-5D Scores for the United Kingdom. Medical Decision Making 2011;31:800-804</w:t>
      </w:r>
    </w:p>
    <w:p w14:paraId="53FD1EDE" w14:textId="51A0BC84" w:rsidR="00C73DE3" w:rsidRPr="00B37BB5" w:rsidRDefault="002604F0" w:rsidP="004C4472">
      <w:pPr>
        <w:pStyle w:val="Heading1"/>
        <w:jc w:val="both"/>
        <w:rPr>
          <w:rFonts w:asciiTheme="minorHAnsi" w:hAnsiTheme="minorHAnsi" w:cs="Times New Roman"/>
          <w:sz w:val="22"/>
          <w:szCs w:val="22"/>
        </w:rPr>
      </w:pPr>
      <w:r w:rsidRPr="00B37BB5">
        <w:rPr>
          <w:rFonts w:asciiTheme="minorHAnsi" w:hAnsiTheme="minorHAnsi" w:cs="Times New Roman"/>
          <w:sz w:val="22"/>
          <w:szCs w:val="22"/>
        </w:rPr>
        <w:fldChar w:fldCharType="end"/>
      </w:r>
    </w:p>
    <w:sectPr w:rsidR="00C73DE3" w:rsidRPr="00B37BB5" w:rsidSect="00E23FF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D712" w14:textId="77777777" w:rsidR="00D236EE" w:rsidRDefault="00D236EE" w:rsidP="005C1E32">
      <w:pPr>
        <w:spacing w:after="0" w:line="240" w:lineRule="auto"/>
      </w:pPr>
      <w:r>
        <w:separator/>
      </w:r>
    </w:p>
  </w:endnote>
  <w:endnote w:type="continuationSeparator" w:id="0">
    <w:p w14:paraId="17A09D40" w14:textId="77777777" w:rsidR="00D236EE" w:rsidRDefault="00D236EE" w:rsidP="005C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TNEJMQuadraa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561982"/>
      <w:docPartObj>
        <w:docPartGallery w:val="Page Numbers (Bottom of Page)"/>
        <w:docPartUnique/>
      </w:docPartObj>
    </w:sdtPr>
    <w:sdtEndPr>
      <w:rPr>
        <w:noProof/>
      </w:rPr>
    </w:sdtEndPr>
    <w:sdtContent>
      <w:p w14:paraId="5585BEB2" w14:textId="409F8E51" w:rsidR="003B13AE" w:rsidRDefault="003B13AE">
        <w:pPr>
          <w:pStyle w:val="Footer"/>
          <w:jc w:val="right"/>
        </w:pPr>
        <w:r>
          <w:fldChar w:fldCharType="begin"/>
        </w:r>
        <w:r>
          <w:instrText xml:space="preserve"> PAGE   \* MERGEFORMAT </w:instrText>
        </w:r>
        <w:r>
          <w:fldChar w:fldCharType="separate"/>
        </w:r>
        <w:r w:rsidR="006C6451">
          <w:rPr>
            <w:noProof/>
          </w:rPr>
          <w:t>21</w:t>
        </w:r>
        <w:r>
          <w:rPr>
            <w:noProof/>
          </w:rPr>
          <w:fldChar w:fldCharType="end"/>
        </w:r>
      </w:p>
    </w:sdtContent>
  </w:sdt>
  <w:p w14:paraId="0C573318" w14:textId="77777777" w:rsidR="003B13AE" w:rsidRDefault="003B1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B684F" w14:textId="77777777" w:rsidR="00D236EE" w:rsidRDefault="00D236EE" w:rsidP="005C1E32">
      <w:pPr>
        <w:spacing w:after="0" w:line="240" w:lineRule="auto"/>
      </w:pPr>
      <w:r>
        <w:separator/>
      </w:r>
    </w:p>
  </w:footnote>
  <w:footnote w:type="continuationSeparator" w:id="0">
    <w:p w14:paraId="6FABDDB2" w14:textId="77777777" w:rsidR="00D236EE" w:rsidRDefault="00D236EE" w:rsidP="005C1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633F"/>
    <w:multiLevelType w:val="multilevel"/>
    <w:tmpl w:val="73E6C38A"/>
    <w:lvl w:ilvl="0">
      <w:start w:val="6"/>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D7A32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338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D528B2"/>
    <w:multiLevelType w:val="multilevel"/>
    <w:tmpl w:val="1CDA26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A9D7A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CB61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CA23E5"/>
    <w:multiLevelType w:val="multilevel"/>
    <w:tmpl w:val="76CAA0C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68610F5B"/>
    <w:multiLevelType w:val="multilevel"/>
    <w:tmpl w:val="948C2C4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475351"/>
    <w:multiLevelType w:val="multilevel"/>
    <w:tmpl w:val="FAEE0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810E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9"/>
  </w:num>
  <w:num w:numId="5">
    <w:abstractNumId w:val="6"/>
  </w:num>
  <w:num w:numId="6">
    <w:abstractNumId w:val="7"/>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edical Care&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eew0v96zr2xze25xrvwf59dx52x9w0spr9&quot;&gt;Quality_of_Care 3&lt;record-ids&gt;&lt;item&gt;417&lt;/item&gt;&lt;item&gt;672&lt;/item&gt;&lt;item&gt;677&lt;/item&gt;&lt;item&gt;678&lt;/item&gt;&lt;item&gt;679&lt;/item&gt;&lt;item&gt;680&lt;/item&gt;&lt;item&gt;681&lt;/item&gt;&lt;item&gt;682&lt;/item&gt;&lt;item&gt;683&lt;/item&gt;&lt;item&gt;688&lt;/item&gt;&lt;item&gt;696&lt;/item&gt;&lt;item&gt;698&lt;/item&gt;&lt;item&gt;711&lt;/item&gt;&lt;item&gt;713&lt;/item&gt;&lt;item&gt;715&lt;/item&gt;&lt;item&gt;716&lt;/item&gt;&lt;item&gt;721&lt;/item&gt;&lt;item&gt;722&lt;/item&gt;&lt;item&gt;730&lt;/item&gt;&lt;item&gt;734&lt;/item&gt;&lt;item&gt;737&lt;/item&gt;&lt;item&gt;740&lt;/item&gt;&lt;item&gt;746&lt;/item&gt;&lt;item&gt;747&lt;/item&gt;&lt;item&gt;748&lt;/item&gt;&lt;/record-ids&gt;&lt;/item&gt;&lt;/Libraries&gt;"/>
  </w:docVars>
  <w:rsids>
    <w:rsidRoot w:val="006A7335"/>
    <w:rsid w:val="00011610"/>
    <w:rsid w:val="00013FE1"/>
    <w:rsid w:val="00014A00"/>
    <w:rsid w:val="00044AAA"/>
    <w:rsid w:val="00046AD8"/>
    <w:rsid w:val="000550C2"/>
    <w:rsid w:val="000575BA"/>
    <w:rsid w:val="000757CA"/>
    <w:rsid w:val="000853D6"/>
    <w:rsid w:val="000A20D3"/>
    <w:rsid w:val="000A415E"/>
    <w:rsid w:val="000A7206"/>
    <w:rsid w:val="000A7A6A"/>
    <w:rsid w:val="000C61CF"/>
    <w:rsid w:val="000E69B9"/>
    <w:rsid w:val="000E770A"/>
    <w:rsid w:val="000F12F1"/>
    <w:rsid w:val="00102582"/>
    <w:rsid w:val="00113A8D"/>
    <w:rsid w:val="00123092"/>
    <w:rsid w:val="0012559A"/>
    <w:rsid w:val="00193324"/>
    <w:rsid w:val="00193500"/>
    <w:rsid w:val="001B0976"/>
    <w:rsid w:val="001D38FA"/>
    <w:rsid w:val="001E2212"/>
    <w:rsid w:val="001E2654"/>
    <w:rsid w:val="00214FF9"/>
    <w:rsid w:val="00220ACF"/>
    <w:rsid w:val="0022535D"/>
    <w:rsid w:val="00252CD6"/>
    <w:rsid w:val="002604F0"/>
    <w:rsid w:val="00282CCB"/>
    <w:rsid w:val="002B4217"/>
    <w:rsid w:val="002D5C64"/>
    <w:rsid w:val="0031569F"/>
    <w:rsid w:val="00331D84"/>
    <w:rsid w:val="00352C26"/>
    <w:rsid w:val="0039506C"/>
    <w:rsid w:val="003A3D56"/>
    <w:rsid w:val="003A4F6D"/>
    <w:rsid w:val="003B13AE"/>
    <w:rsid w:val="003B1D25"/>
    <w:rsid w:val="003B3443"/>
    <w:rsid w:val="003F3159"/>
    <w:rsid w:val="00402D6C"/>
    <w:rsid w:val="0041235B"/>
    <w:rsid w:val="004214C8"/>
    <w:rsid w:val="0042514F"/>
    <w:rsid w:val="00436537"/>
    <w:rsid w:val="00470E57"/>
    <w:rsid w:val="00484AE4"/>
    <w:rsid w:val="004853CC"/>
    <w:rsid w:val="004A7D2D"/>
    <w:rsid w:val="004B26BF"/>
    <w:rsid w:val="004B36A7"/>
    <w:rsid w:val="004C09D0"/>
    <w:rsid w:val="004C1C5F"/>
    <w:rsid w:val="004C3EAF"/>
    <w:rsid w:val="004C4472"/>
    <w:rsid w:val="00506A57"/>
    <w:rsid w:val="00510C54"/>
    <w:rsid w:val="0052058C"/>
    <w:rsid w:val="00521127"/>
    <w:rsid w:val="005269E8"/>
    <w:rsid w:val="00532669"/>
    <w:rsid w:val="00582E5A"/>
    <w:rsid w:val="005846EB"/>
    <w:rsid w:val="005A4E3D"/>
    <w:rsid w:val="005A57FE"/>
    <w:rsid w:val="005B3050"/>
    <w:rsid w:val="005C1E32"/>
    <w:rsid w:val="005C4DB4"/>
    <w:rsid w:val="00605644"/>
    <w:rsid w:val="006078EF"/>
    <w:rsid w:val="00616F4F"/>
    <w:rsid w:val="0062506E"/>
    <w:rsid w:val="00635E43"/>
    <w:rsid w:val="006414D4"/>
    <w:rsid w:val="0064568F"/>
    <w:rsid w:val="00671C1C"/>
    <w:rsid w:val="0068525B"/>
    <w:rsid w:val="006A1349"/>
    <w:rsid w:val="006A7335"/>
    <w:rsid w:val="006C491B"/>
    <w:rsid w:val="006C6451"/>
    <w:rsid w:val="006E5A34"/>
    <w:rsid w:val="007202B0"/>
    <w:rsid w:val="007268B8"/>
    <w:rsid w:val="00773CF3"/>
    <w:rsid w:val="00775A37"/>
    <w:rsid w:val="00794051"/>
    <w:rsid w:val="0079412F"/>
    <w:rsid w:val="007B4A9F"/>
    <w:rsid w:val="007F64F4"/>
    <w:rsid w:val="007F7D66"/>
    <w:rsid w:val="00804D98"/>
    <w:rsid w:val="00812567"/>
    <w:rsid w:val="008125C6"/>
    <w:rsid w:val="00831C24"/>
    <w:rsid w:val="00833A94"/>
    <w:rsid w:val="00864863"/>
    <w:rsid w:val="00892AA4"/>
    <w:rsid w:val="0089430E"/>
    <w:rsid w:val="008A6E90"/>
    <w:rsid w:val="008A7EE6"/>
    <w:rsid w:val="008D5164"/>
    <w:rsid w:val="008F49EC"/>
    <w:rsid w:val="00903CDE"/>
    <w:rsid w:val="00904FCA"/>
    <w:rsid w:val="009201FF"/>
    <w:rsid w:val="00932242"/>
    <w:rsid w:val="0093356D"/>
    <w:rsid w:val="00934552"/>
    <w:rsid w:val="00935FAC"/>
    <w:rsid w:val="009454C1"/>
    <w:rsid w:val="009513B0"/>
    <w:rsid w:val="00952D35"/>
    <w:rsid w:val="00981C27"/>
    <w:rsid w:val="009861AF"/>
    <w:rsid w:val="009964C1"/>
    <w:rsid w:val="009A1465"/>
    <w:rsid w:val="009A66CD"/>
    <w:rsid w:val="009B0BEA"/>
    <w:rsid w:val="009E42CE"/>
    <w:rsid w:val="00A01085"/>
    <w:rsid w:val="00A165F5"/>
    <w:rsid w:val="00A25BAE"/>
    <w:rsid w:val="00A34FB3"/>
    <w:rsid w:val="00A5455F"/>
    <w:rsid w:val="00A65CE7"/>
    <w:rsid w:val="00A71F69"/>
    <w:rsid w:val="00A728D1"/>
    <w:rsid w:val="00A842E1"/>
    <w:rsid w:val="00A94F4B"/>
    <w:rsid w:val="00AA1E2C"/>
    <w:rsid w:val="00AA3A85"/>
    <w:rsid w:val="00AC525B"/>
    <w:rsid w:val="00AD00FB"/>
    <w:rsid w:val="00AD06DF"/>
    <w:rsid w:val="00AE6CA1"/>
    <w:rsid w:val="00AF527B"/>
    <w:rsid w:val="00AF630D"/>
    <w:rsid w:val="00B03C6C"/>
    <w:rsid w:val="00B044DA"/>
    <w:rsid w:val="00B14C92"/>
    <w:rsid w:val="00B34023"/>
    <w:rsid w:val="00B37BB5"/>
    <w:rsid w:val="00B47219"/>
    <w:rsid w:val="00B50B85"/>
    <w:rsid w:val="00B54E2D"/>
    <w:rsid w:val="00B64822"/>
    <w:rsid w:val="00B71E70"/>
    <w:rsid w:val="00B74CCD"/>
    <w:rsid w:val="00B80328"/>
    <w:rsid w:val="00B81022"/>
    <w:rsid w:val="00B9468A"/>
    <w:rsid w:val="00BC3CD1"/>
    <w:rsid w:val="00BC4DB9"/>
    <w:rsid w:val="00BC61D2"/>
    <w:rsid w:val="00BC7CA9"/>
    <w:rsid w:val="00BE026B"/>
    <w:rsid w:val="00BE2235"/>
    <w:rsid w:val="00BF1B5A"/>
    <w:rsid w:val="00BF452B"/>
    <w:rsid w:val="00C24758"/>
    <w:rsid w:val="00C24C18"/>
    <w:rsid w:val="00C2629A"/>
    <w:rsid w:val="00C32781"/>
    <w:rsid w:val="00C73DE3"/>
    <w:rsid w:val="00C74DF2"/>
    <w:rsid w:val="00C9658D"/>
    <w:rsid w:val="00CB1F10"/>
    <w:rsid w:val="00CC4B8F"/>
    <w:rsid w:val="00CF33FC"/>
    <w:rsid w:val="00CF49CF"/>
    <w:rsid w:val="00D17E3F"/>
    <w:rsid w:val="00D236EE"/>
    <w:rsid w:val="00D44AF3"/>
    <w:rsid w:val="00D52031"/>
    <w:rsid w:val="00D550AF"/>
    <w:rsid w:val="00D615AE"/>
    <w:rsid w:val="00D6363D"/>
    <w:rsid w:val="00D66F8A"/>
    <w:rsid w:val="00D76A4E"/>
    <w:rsid w:val="00D76B99"/>
    <w:rsid w:val="00D92DD4"/>
    <w:rsid w:val="00D933E7"/>
    <w:rsid w:val="00DA03F5"/>
    <w:rsid w:val="00DF5C16"/>
    <w:rsid w:val="00E10FFF"/>
    <w:rsid w:val="00E135DF"/>
    <w:rsid w:val="00E23FFA"/>
    <w:rsid w:val="00E2486B"/>
    <w:rsid w:val="00E25361"/>
    <w:rsid w:val="00E3464D"/>
    <w:rsid w:val="00E6583A"/>
    <w:rsid w:val="00E6611C"/>
    <w:rsid w:val="00E730F5"/>
    <w:rsid w:val="00E834A4"/>
    <w:rsid w:val="00E83522"/>
    <w:rsid w:val="00E96E05"/>
    <w:rsid w:val="00EA3CE5"/>
    <w:rsid w:val="00EA4944"/>
    <w:rsid w:val="00EC2D46"/>
    <w:rsid w:val="00EC5F49"/>
    <w:rsid w:val="00EC62BD"/>
    <w:rsid w:val="00EC7DA1"/>
    <w:rsid w:val="00ED1C1F"/>
    <w:rsid w:val="00ED1D57"/>
    <w:rsid w:val="00EE421A"/>
    <w:rsid w:val="00EF5F1B"/>
    <w:rsid w:val="00F04784"/>
    <w:rsid w:val="00F04E1D"/>
    <w:rsid w:val="00F179E2"/>
    <w:rsid w:val="00F32E03"/>
    <w:rsid w:val="00F34451"/>
    <w:rsid w:val="00F44CE1"/>
    <w:rsid w:val="00F47BB5"/>
    <w:rsid w:val="00F53C87"/>
    <w:rsid w:val="00F86CA8"/>
    <w:rsid w:val="00F947FB"/>
    <w:rsid w:val="00F95375"/>
    <w:rsid w:val="00FA0ED2"/>
    <w:rsid w:val="00FA3428"/>
    <w:rsid w:val="00FA6F29"/>
    <w:rsid w:val="00FB4764"/>
    <w:rsid w:val="00FD7E96"/>
    <w:rsid w:val="00FD7E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B4CDE"/>
  <w15:docId w15:val="{80FA0CA0-6CEB-49C2-AEA0-61F8220C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335"/>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A7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73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6B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7A6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335"/>
    <w:rPr>
      <w:sz w:val="18"/>
      <w:szCs w:val="18"/>
    </w:rPr>
  </w:style>
  <w:style w:type="character" w:customStyle="1" w:styleId="Heading1Char">
    <w:name w:val="Heading 1 Char"/>
    <w:basedOn w:val="DefaultParagraphFont"/>
    <w:link w:val="Heading1"/>
    <w:uiPriority w:val="9"/>
    <w:rsid w:val="006A7335"/>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6A7335"/>
    <w:rPr>
      <w:rFonts w:asciiTheme="majorHAnsi" w:eastAsiaTheme="majorEastAsia" w:hAnsiTheme="majorHAnsi" w:cstheme="majorBidi"/>
      <w:color w:val="2E74B5" w:themeColor="accent1" w:themeShade="BF"/>
      <w:sz w:val="26"/>
      <w:szCs w:val="26"/>
      <w:lang w:eastAsia="en-GB"/>
    </w:rPr>
  </w:style>
  <w:style w:type="table" w:customStyle="1" w:styleId="ListTable6Colorful-Accent11">
    <w:name w:val="List Table 6 Colorful - Accent 11"/>
    <w:basedOn w:val="TableNormal"/>
    <w:uiPriority w:val="51"/>
    <w:rsid w:val="006A7335"/>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0757C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D76B99"/>
    <w:rPr>
      <w:rFonts w:asciiTheme="majorHAnsi" w:eastAsiaTheme="majorEastAsia" w:hAnsiTheme="majorHAnsi" w:cstheme="majorBidi"/>
      <w:color w:val="1F4D78" w:themeColor="accent1" w:themeShade="7F"/>
      <w:sz w:val="24"/>
      <w:szCs w:val="24"/>
      <w:lang w:eastAsia="en-GB"/>
    </w:rPr>
  </w:style>
  <w:style w:type="paragraph" w:styleId="TOCHeading">
    <w:name w:val="TOC Heading"/>
    <w:basedOn w:val="Heading1"/>
    <w:next w:val="Normal"/>
    <w:uiPriority w:val="39"/>
    <w:unhideWhenUsed/>
    <w:qFormat/>
    <w:rsid w:val="00CB1F10"/>
    <w:pPr>
      <w:spacing w:line="259" w:lineRule="auto"/>
      <w:outlineLvl w:val="9"/>
    </w:pPr>
    <w:rPr>
      <w:lang w:val="en-US" w:eastAsia="en-US"/>
    </w:rPr>
  </w:style>
  <w:style w:type="paragraph" w:styleId="TOC1">
    <w:name w:val="toc 1"/>
    <w:basedOn w:val="Normal"/>
    <w:next w:val="Normal"/>
    <w:autoRedefine/>
    <w:uiPriority w:val="39"/>
    <w:unhideWhenUsed/>
    <w:rsid w:val="00CB1F10"/>
    <w:pPr>
      <w:spacing w:after="100"/>
    </w:pPr>
  </w:style>
  <w:style w:type="paragraph" w:styleId="TOC2">
    <w:name w:val="toc 2"/>
    <w:basedOn w:val="Normal"/>
    <w:next w:val="Normal"/>
    <w:autoRedefine/>
    <w:uiPriority w:val="39"/>
    <w:unhideWhenUsed/>
    <w:rsid w:val="00CB1F10"/>
    <w:pPr>
      <w:spacing w:after="100"/>
      <w:ind w:left="220"/>
    </w:pPr>
  </w:style>
  <w:style w:type="paragraph" w:styleId="TOC3">
    <w:name w:val="toc 3"/>
    <w:basedOn w:val="Normal"/>
    <w:next w:val="Normal"/>
    <w:autoRedefine/>
    <w:uiPriority w:val="39"/>
    <w:unhideWhenUsed/>
    <w:rsid w:val="00CB1F10"/>
    <w:pPr>
      <w:spacing w:after="100"/>
      <w:ind w:left="440"/>
    </w:pPr>
  </w:style>
  <w:style w:type="character" w:styleId="Hyperlink">
    <w:name w:val="Hyperlink"/>
    <w:basedOn w:val="DefaultParagraphFont"/>
    <w:uiPriority w:val="99"/>
    <w:unhideWhenUsed/>
    <w:rsid w:val="00CB1F10"/>
    <w:rPr>
      <w:color w:val="0563C1" w:themeColor="hyperlink"/>
      <w:u w:val="single"/>
    </w:rPr>
  </w:style>
  <w:style w:type="table" w:customStyle="1" w:styleId="GridTable4-Accent12">
    <w:name w:val="Grid Table 4 - Accent 12"/>
    <w:basedOn w:val="TableNormal"/>
    <w:uiPriority w:val="49"/>
    <w:rsid w:val="007202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720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B0"/>
    <w:rPr>
      <w:rFonts w:eastAsiaTheme="minorEastAsia"/>
      <w:lang w:eastAsia="en-GB"/>
    </w:rPr>
  </w:style>
  <w:style w:type="paragraph" w:customStyle="1" w:styleId="EndNoteBibliographyTitle">
    <w:name w:val="EndNote Bibliography Title"/>
    <w:basedOn w:val="Normal"/>
    <w:link w:val="EndNoteBibliographyTitleChar"/>
    <w:rsid w:val="00AE6CA1"/>
    <w:pPr>
      <w:spacing w:after="0"/>
      <w:jc w:val="center"/>
    </w:pPr>
    <w:rPr>
      <w:rFonts w:ascii="Calibri Light" w:hAnsi="Calibri Light"/>
      <w:noProof/>
      <w:sz w:val="32"/>
    </w:rPr>
  </w:style>
  <w:style w:type="character" w:customStyle="1" w:styleId="EndNoteBibliographyTitleChar">
    <w:name w:val="EndNote Bibliography Title Char"/>
    <w:basedOn w:val="DefaultParagraphFont"/>
    <w:link w:val="EndNoteBibliographyTitle"/>
    <w:rsid w:val="00AE6CA1"/>
    <w:rPr>
      <w:rFonts w:ascii="Calibri Light" w:eastAsiaTheme="minorEastAsia" w:hAnsi="Calibri Light"/>
      <w:noProof/>
      <w:sz w:val="32"/>
      <w:lang w:eastAsia="en-GB"/>
    </w:rPr>
  </w:style>
  <w:style w:type="table" w:customStyle="1" w:styleId="GridTable6Colorful-Accent11">
    <w:name w:val="Grid Table 6 Colorful - Accent 11"/>
    <w:basedOn w:val="TableNormal"/>
    <w:uiPriority w:val="51"/>
    <w:rsid w:val="00904FC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C1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E32"/>
    <w:rPr>
      <w:rFonts w:eastAsiaTheme="minorEastAsia"/>
      <w:lang w:eastAsia="en-GB"/>
    </w:rPr>
  </w:style>
  <w:style w:type="paragraph" w:customStyle="1" w:styleId="EndNoteBibliography">
    <w:name w:val="EndNote Bibliography"/>
    <w:basedOn w:val="Normal"/>
    <w:link w:val="EndNoteBibliographyChar"/>
    <w:rsid w:val="008F49EC"/>
    <w:pPr>
      <w:spacing w:line="240" w:lineRule="auto"/>
    </w:pPr>
    <w:rPr>
      <w:rFonts w:ascii="Calibri Light" w:hAnsi="Calibri Light"/>
      <w:noProof/>
      <w:sz w:val="32"/>
    </w:rPr>
  </w:style>
  <w:style w:type="character" w:customStyle="1" w:styleId="EndNoteBibliographyChar">
    <w:name w:val="EndNote Bibliography Char"/>
    <w:basedOn w:val="DefaultParagraphFont"/>
    <w:link w:val="EndNoteBibliography"/>
    <w:rsid w:val="008F49EC"/>
    <w:rPr>
      <w:rFonts w:ascii="Calibri Light" w:eastAsiaTheme="minorEastAsia" w:hAnsi="Calibri Light"/>
      <w:noProof/>
      <w:sz w:val="32"/>
      <w:lang w:eastAsia="en-GB"/>
    </w:rPr>
  </w:style>
  <w:style w:type="paragraph" w:styleId="BalloonText">
    <w:name w:val="Balloon Text"/>
    <w:basedOn w:val="Normal"/>
    <w:link w:val="BalloonTextChar"/>
    <w:uiPriority w:val="99"/>
    <w:semiHidden/>
    <w:unhideWhenUsed/>
    <w:rsid w:val="00AA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2C"/>
    <w:rPr>
      <w:rFonts w:ascii="Segoe UI" w:eastAsiaTheme="minorEastAsia" w:hAnsi="Segoe UI" w:cs="Segoe UI"/>
      <w:sz w:val="18"/>
      <w:szCs w:val="18"/>
      <w:lang w:eastAsia="en-GB"/>
    </w:rPr>
  </w:style>
  <w:style w:type="table" w:customStyle="1" w:styleId="GridTable4-Accent13">
    <w:name w:val="Grid Table 4 - Accent 13"/>
    <w:basedOn w:val="TableNormal"/>
    <w:uiPriority w:val="49"/>
    <w:rsid w:val="00671C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Text">
    <w:name w:val="annotation text"/>
    <w:basedOn w:val="Normal"/>
    <w:link w:val="CommentTextChar"/>
    <w:uiPriority w:val="99"/>
    <w:semiHidden/>
    <w:unhideWhenUsed/>
    <w:rsid w:val="00214FF9"/>
    <w:pPr>
      <w:spacing w:line="240" w:lineRule="auto"/>
    </w:pPr>
    <w:rPr>
      <w:sz w:val="24"/>
      <w:szCs w:val="24"/>
    </w:rPr>
  </w:style>
  <w:style w:type="character" w:customStyle="1" w:styleId="CommentTextChar">
    <w:name w:val="Comment Text Char"/>
    <w:basedOn w:val="DefaultParagraphFont"/>
    <w:link w:val="CommentText"/>
    <w:uiPriority w:val="99"/>
    <w:semiHidden/>
    <w:rsid w:val="00214FF9"/>
    <w:rPr>
      <w:rFonts w:eastAsiaTheme="minorEastAsia"/>
      <w:sz w:val="24"/>
      <w:szCs w:val="24"/>
      <w:lang w:eastAsia="en-GB"/>
    </w:rPr>
  </w:style>
  <w:style w:type="paragraph" w:styleId="Subtitle">
    <w:name w:val="Subtitle"/>
    <w:basedOn w:val="Normal"/>
    <w:next w:val="Normal"/>
    <w:link w:val="SubtitleChar"/>
    <w:uiPriority w:val="11"/>
    <w:qFormat/>
    <w:rsid w:val="000575BA"/>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575BA"/>
    <w:rPr>
      <w:rFonts w:eastAsiaTheme="minorEastAsia"/>
      <w:color w:val="5A5A5A" w:themeColor="text1" w:themeTint="A5"/>
      <w:spacing w:val="15"/>
      <w:lang w:eastAsia="en-GB"/>
    </w:rPr>
  </w:style>
  <w:style w:type="character" w:customStyle="1" w:styleId="Heading4Char">
    <w:name w:val="Heading 4 Char"/>
    <w:basedOn w:val="DefaultParagraphFont"/>
    <w:link w:val="Heading4"/>
    <w:uiPriority w:val="9"/>
    <w:rsid w:val="000A7A6A"/>
    <w:rPr>
      <w:rFonts w:asciiTheme="majorHAnsi" w:eastAsiaTheme="majorEastAsia" w:hAnsiTheme="majorHAnsi" w:cstheme="majorBidi"/>
      <w:i/>
      <w:iCs/>
      <w:color w:val="2E74B5" w:themeColor="accent1" w:themeShade="BF"/>
      <w:sz w:val="24"/>
      <w:szCs w:val="24"/>
      <w:lang w:val="en-US"/>
    </w:rPr>
  </w:style>
  <w:style w:type="table" w:styleId="LightList-Accent5">
    <w:name w:val="Light List Accent 5"/>
    <w:basedOn w:val="TableNormal"/>
    <w:uiPriority w:val="61"/>
    <w:rsid w:val="00EE421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1">
    <w:name w:val="Medium Shading 1 Accent 1"/>
    <w:basedOn w:val="TableNormal"/>
    <w:uiPriority w:val="63"/>
    <w:rsid w:val="00EE421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9415">
      <w:bodyDiv w:val="1"/>
      <w:marLeft w:val="0"/>
      <w:marRight w:val="0"/>
      <w:marTop w:val="0"/>
      <w:marBottom w:val="0"/>
      <w:divBdr>
        <w:top w:val="none" w:sz="0" w:space="0" w:color="auto"/>
        <w:left w:val="none" w:sz="0" w:space="0" w:color="auto"/>
        <w:bottom w:val="none" w:sz="0" w:space="0" w:color="auto"/>
        <w:right w:val="none" w:sz="0" w:space="0" w:color="auto"/>
      </w:divBdr>
    </w:div>
    <w:div w:id="368116160">
      <w:bodyDiv w:val="1"/>
      <w:marLeft w:val="0"/>
      <w:marRight w:val="0"/>
      <w:marTop w:val="0"/>
      <w:marBottom w:val="0"/>
      <w:divBdr>
        <w:top w:val="none" w:sz="0" w:space="0" w:color="auto"/>
        <w:left w:val="none" w:sz="0" w:space="0" w:color="auto"/>
        <w:bottom w:val="none" w:sz="0" w:space="0" w:color="auto"/>
        <w:right w:val="none" w:sz="0" w:space="0" w:color="auto"/>
      </w:divBdr>
    </w:div>
    <w:div w:id="379550189">
      <w:bodyDiv w:val="1"/>
      <w:marLeft w:val="0"/>
      <w:marRight w:val="0"/>
      <w:marTop w:val="0"/>
      <w:marBottom w:val="0"/>
      <w:divBdr>
        <w:top w:val="none" w:sz="0" w:space="0" w:color="auto"/>
        <w:left w:val="none" w:sz="0" w:space="0" w:color="auto"/>
        <w:bottom w:val="none" w:sz="0" w:space="0" w:color="auto"/>
        <w:right w:val="none" w:sz="0" w:space="0" w:color="auto"/>
      </w:divBdr>
    </w:div>
    <w:div w:id="503016968">
      <w:bodyDiv w:val="1"/>
      <w:marLeft w:val="0"/>
      <w:marRight w:val="0"/>
      <w:marTop w:val="0"/>
      <w:marBottom w:val="0"/>
      <w:divBdr>
        <w:top w:val="none" w:sz="0" w:space="0" w:color="auto"/>
        <w:left w:val="none" w:sz="0" w:space="0" w:color="auto"/>
        <w:bottom w:val="none" w:sz="0" w:space="0" w:color="auto"/>
        <w:right w:val="none" w:sz="0" w:space="0" w:color="auto"/>
      </w:divBdr>
    </w:div>
    <w:div w:id="670064750">
      <w:bodyDiv w:val="1"/>
      <w:marLeft w:val="0"/>
      <w:marRight w:val="0"/>
      <w:marTop w:val="0"/>
      <w:marBottom w:val="0"/>
      <w:divBdr>
        <w:top w:val="none" w:sz="0" w:space="0" w:color="auto"/>
        <w:left w:val="none" w:sz="0" w:space="0" w:color="auto"/>
        <w:bottom w:val="none" w:sz="0" w:space="0" w:color="auto"/>
        <w:right w:val="none" w:sz="0" w:space="0" w:color="auto"/>
      </w:divBdr>
    </w:div>
    <w:div w:id="778136523">
      <w:bodyDiv w:val="1"/>
      <w:marLeft w:val="0"/>
      <w:marRight w:val="0"/>
      <w:marTop w:val="0"/>
      <w:marBottom w:val="0"/>
      <w:divBdr>
        <w:top w:val="none" w:sz="0" w:space="0" w:color="auto"/>
        <w:left w:val="none" w:sz="0" w:space="0" w:color="auto"/>
        <w:bottom w:val="none" w:sz="0" w:space="0" w:color="auto"/>
        <w:right w:val="none" w:sz="0" w:space="0" w:color="auto"/>
      </w:divBdr>
    </w:div>
    <w:div w:id="854272468">
      <w:bodyDiv w:val="1"/>
      <w:marLeft w:val="0"/>
      <w:marRight w:val="0"/>
      <w:marTop w:val="0"/>
      <w:marBottom w:val="0"/>
      <w:divBdr>
        <w:top w:val="none" w:sz="0" w:space="0" w:color="auto"/>
        <w:left w:val="none" w:sz="0" w:space="0" w:color="auto"/>
        <w:bottom w:val="none" w:sz="0" w:space="0" w:color="auto"/>
        <w:right w:val="none" w:sz="0" w:space="0" w:color="auto"/>
      </w:divBdr>
    </w:div>
    <w:div w:id="868496742">
      <w:bodyDiv w:val="1"/>
      <w:marLeft w:val="0"/>
      <w:marRight w:val="0"/>
      <w:marTop w:val="0"/>
      <w:marBottom w:val="0"/>
      <w:divBdr>
        <w:top w:val="none" w:sz="0" w:space="0" w:color="auto"/>
        <w:left w:val="none" w:sz="0" w:space="0" w:color="auto"/>
        <w:bottom w:val="none" w:sz="0" w:space="0" w:color="auto"/>
        <w:right w:val="none" w:sz="0" w:space="0" w:color="auto"/>
      </w:divBdr>
    </w:div>
    <w:div w:id="919215859">
      <w:bodyDiv w:val="1"/>
      <w:marLeft w:val="0"/>
      <w:marRight w:val="0"/>
      <w:marTop w:val="0"/>
      <w:marBottom w:val="0"/>
      <w:divBdr>
        <w:top w:val="none" w:sz="0" w:space="0" w:color="auto"/>
        <w:left w:val="none" w:sz="0" w:space="0" w:color="auto"/>
        <w:bottom w:val="none" w:sz="0" w:space="0" w:color="auto"/>
        <w:right w:val="none" w:sz="0" w:space="0" w:color="auto"/>
      </w:divBdr>
    </w:div>
    <w:div w:id="997004483">
      <w:bodyDiv w:val="1"/>
      <w:marLeft w:val="0"/>
      <w:marRight w:val="0"/>
      <w:marTop w:val="0"/>
      <w:marBottom w:val="0"/>
      <w:divBdr>
        <w:top w:val="none" w:sz="0" w:space="0" w:color="auto"/>
        <w:left w:val="none" w:sz="0" w:space="0" w:color="auto"/>
        <w:bottom w:val="none" w:sz="0" w:space="0" w:color="auto"/>
        <w:right w:val="none" w:sz="0" w:space="0" w:color="auto"/>
      </w:divBdr>
    </w:div>
    <w:div w:id="1028021499">
      <w:bodyDiv w:val="1"/>
      <w:marLeft w:val="0"/>
      <w:marRight w:val="0"/>
      <w:marTop w:val="0"/>
      <w:marBottom w:val="0"/>
      <w:divBdr>
        <w:top w:val="none" w:sz="0" w:space="0" w:color="auto"/>
        <w:left w:val="none" w:sz="0" w:space="0" w:color="auto"/>
        <w:bottom w:val="none" w:sz="0" w:space="0" w:color="auto"/>
        <w:right w:val="none" w:sz="0" w:space="0" w:color="auto"/>
      </w:divBdr>
    </w:div>
    <w:div w:id="1032347185">
      <w:bodyDiv w:val="1"/>
      <w:marLeft w:val="0"/>
      <w:marRight w:val="0"/>
      <w:marTop w:val="0"/>
      <w:marBottom w:val="0"/>
      <w:divBdr>
        <w:top w:val="none" w:sz="0" w:space="0" w:color="auto"/>
        <w:left w:val="none" w:sz="0" w:space="0" w:color="auto"/>
        <w:bottom w:val="none" w:sz="0" w:space="0" w:color="auto"/>
        <w:right w:val="none" w:sz="0" w:space="0" w:color="auto"/>
      </w:divBdr>
    </w:div>
    <w:div w:id="1195188999">
      <w:bodyDiv w:val="1"/>
      <w:marLeft w:val="0"/>
      <w:marRight w:val="0"/>
      <w:marTop w:val="0"/>
      <w:marBottom w:val="0"/>
      <w:divBdr>
        <w:top w:val="none" w:sz="0" w:space="0" w:color="auto"/>
        <w:left w:val="none" w:sz="0" w:space="0" w:color="auto"/>
        <w:bottom w:val="none" w:sz="0" w:space="0" w:color="auto"/>
        <w:right w:val="none" w:sz="0" w:space="0" w:color="auto"/>
      </w:divBdr>
    </w:div>
    <w:div w:id="1531183320">
      <w:bodyDiv w:val="1"/>
      <w:marLeft w:val="0"/>
      <w:marRight w:val="0"/>
      <w:marTop w:val="0"/>
      <w:marBottom w:val="0"/>
      <w:divBdr>
        <w:top w:val="none" w:sz="0" w:space="0" w:color="auto"/>
        <w:left w:val="none" w:sz="0" w:space="0" w:color="auto"/>
        <w:bottom w:val="none" w:sz="0" w:space="0" w:color="auto"/>
        <w:right w:val="none" w:sz="0" w:space="0" w:color="auto"/>
      </w:divBdr>
    </w:div>
    <w:div w:id="1741295803">
      <w:bodyDiv w:val="1"/>
      <w:marLeft w:val="0"/>
      <w:marRight w:val="0"/>
      <w:marTop w:val="0"/>
      <w:marBottom w:val="0"/>
      <w:divBdr>
        <w:top w:val="none" w:sz="0" w:space="0" w:color="auto"/>
        <w:left w:val="none" w:sz="0" w:space="0" w:color="auto"/>
        <w:bottom w:val="none" w:sz="0" w:space="0" w:color="auto"/>
        <w:right w:val="none" w:sz="0" w:space="0" w:color="auto"/>
      </w:divBdr>
    </w:div>
    <w:div w:id="1747262964">
      <w:bodyDiv w:val="1"/>
      <w:marLeft w:val="0"/>
      <w:marRight w:val="0"/>
      <w:marTop w:val="0"/>
      <w:marBottom w:val="0"/>
      <w:divBdr>
        <w:top w:val="none" w:sz="0" w:space="0" w:color="auto"/>
        <w:left w:val="none" w:sz="0" w:space="0" w:color="auto"/>
        <w:bottom w:val="none" w:sz="0" w:space="0" w:color="auto"/>
        <w:right w:val="none" w:sz="0" w:space="0" w:color="auto"/>
      </w:divBdr>
    </w:div>
    <w:div w:id="1820225444">
      <w:bodyDiv w:val="1"/>
      <w:marLeft w:val="0"/>
      <w:marRight w:val="0"/>
      <w:marTop w:val="0"/>
      <w:marBottom w:val="0"/>
      <w:divBdr>
        <w:top w:val="none" w:sz="0" w:space="0" w:color="auto"/>
        <w:left w:val="none" w:sz="0" w:space="0" w:color="auto"/>
        <w:bottom w:val="none" w:sz="0" w:space="0" w:color="auto"/>
        <w:right w:val="none" w:sz="0" w:space="0" w:color="auto"/>
      </w:divBdr>
    </w:div>
    <w:div w:id="2008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image" Target="media/image6.tmp"/><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www.qualityindicators.ahrq.gov" TargetMode="External"/><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DA8E-4376-47D7-AF41-20B50563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15234</Words>
  <Characters>86834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101865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Hauck, Katharina D</dc:creator>
  <cp:keywords/>
  <dc:description/>
  <cp:lastModifiedBy>Katharina Hauck</cp:lastModifiedBy>
  <cp:revision>4</cp:revision>
  <cp:lastPrinted>2016-05-23T09:38:00Z</cp:lastPrinted>
  <dcterms:created xsi:type="dcterms:W3CDTF">2016-07-26T14:38:00Z</dcterms:created>
  <dcterms:modified xsi:type="dcterms:W3CDTF">2016-07-26T15:15:00Z</dcterms:modified>
</cp:coreProperties>
</file>