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3A4C6" w14:textId="77777777" w:rsidR="00DB5FA8" w:rsidRDefault="00DB5FA8" w:rsidP="00DB5FA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 w:cs="Times New Roman"/>
          <w:b/>
        </w:rPr>
      </w:pPr>
      <w:bookmarkStart w:id="0" w:name="_GoBack"/>
      <w:bookmarkEnd w:id="0"/>
      <w:r w:rsidRPr="00B25F9D">
        <w:rPr>
          <w:rFonts w:ascii="Garamond" w:hAnsi="Garamond" w:cs="Times New Roman"/>
          <w:b/>
        </w:rPr>
        <w:t>Appendix F: Unbalanced Panel Data Analysis with Adjustment for Response Rate and 6-month Mortality Rate (FY 2010/11 and FY 2011/12)</w:t>
      </w:r>
    </w:p>
    <w:p w14:paraId="33D52C5A" w14:textId="77777777" w:rsidR="00DB5FA8" w:rsidRPr="00B25F9D" w:rsidRDefault="00DB5FA8" w:rsidP="00DB5FA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 w:cs="Times New Roman"/>
          <w:b/>
        </w:rPr>
      </w:pPr>
    </w:p>
    <w:tbl>
      <w:tblPr>
        <w:tblW w:w="12540" w:type="dxa"/>
        <w:jc w:val="center"/>
        <w:tblLook w:val="04A0" w:firstRow="1" w:lastRow="0" w:firstColumn="1" w:lastColumn="0" w:noHBand="0" w:noVBand="1"/>
      </w:tblPr>
      <w:tblGrid>
        <w:gridCol w:w="4700"/>
        <w:gridCol w:w="1679"/>
        <w:gridCol w:w="1984"/>
        <w:gridCol w:w="1843"/>
        <w:gridCol w:w="2334"/>
      </w:tblGrid>
      <w:tr w:rsidR="00DB5FA8" w:rsidRPr="00B25F9D" w14:paraId="446C05B2" w14:textId="77777777" w:rsidTr="00367645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34C3E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AE4E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EQ-5D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C09F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EQ-VAS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8F3F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Oxford Hip Score</w:t>
            </w:r>
          </w:p>
        </w:tc>
        <w:tc>
          <w:tcPr>
            <w:tcW w:w="233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248E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Oxford Knee Score</w:t>
            </w:r>
          </w:p>
        </w:tc>
      </w:tr>
      <w:tr w:rsidR="00DB5FA8" w:rsidRPr="00B25F9D" w14:paraId="20CBAD81" w14:textId="77777777" w:rsidTr="00367645">
        <w:trPr>
          <w:trHeight w:val="362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5AA6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167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597C1B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FADD92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12E1A3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66FB84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B5FA8" w:rsidRPr="00B25F9D" w14:paraId="3EBFCC47" w14:textId="77777777" w:rsidTr="00367645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CBEA55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9E988C2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30-day readmission rate</w:t>
            </w: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 xml:space="preserve"> following hip replacement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305810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0.004</w:t>
            </w: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AF32A2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0.38</w:t>
            </w:r>
            <w:r w:rsidRPr="0050278C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363C02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0.21</w:t>
            </w:r>
            <w:r w:rsidRPr="0050278C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A8D352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B5FA8" w:rsidRPr="00B25F9D" w14:paraId="13660426" w14:textId="77777777" w:rsidTr="00367645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0C9150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Coefficient (95% CI)</w:t>
            </w:r>
            <w:r w:rsidRPr="00B25F9D" w:rsidDel="00A440E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002F9BE2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7BDD35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(0.002 to 0.006)</w:t>
            </w:r>
          </w:p>
          <w:p w14:paraId="53E20542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F09663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(-0.08 to 0.57)</w:t>
            </w:r>
          </w:p>
          <w:p w14:paraId="48C60C89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DBC2ED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(0.15 to 0.27)</w:t>
            </w:r>
          </w:p>
          <w:p w14:paraId="39D1F22A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43F6AC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</w:p>
          <w:p w14:paraId="385AEDEA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DB5FA8" w:rsidRPr="00B25F9D" w14:paraId="54356CDD" w14:textId="77777777" w:rsidTr="00367645">
        <w:trPr>
          <w:trHeight w:val="653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ECFC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6C56ED1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Response rate following hip replacement</w:t>
            </w:r>
          </w:p>
          <w:p w14:paraId="4F3917A6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Coefficient (95% CI)</w:t>
            </w:r>
          </w:p>
          <w:p w14:paraId="5C4D1F55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15B7EC87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4BF9B90E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6-month mortality rate following hip replacement</w:t>
            </w:r>
          </w:p>
          <w:p w14:paraId="463D28E6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Coefficient (95% CI)</w:t>
            </w:r>
          </w:p>
          <w:p w14:paraId="3356DF17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3F89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  <w:p w14:paraId="2BC73DDE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  <w:t xml:space="preserve">(-0.00 to 0.00) </w:t>
            </w:r>
          </w:p>
          <w:p w14:paraId="159D31FC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A935D33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14:paraId="126B4067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  <w:p w14:paraId="37925ED9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(-0.003 to 0.008)</w:t>
            </w:r>
          </w:p>
          <w:p w14:paraId="054D83DA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ED95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-0.00</w:t>
            </w:r>
          </w:p>
          <w:p w14:paraId="55F2271F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  <w:t>(-0.03 to 0.02)</w:t>
            </w:r>
          </w:p>
          <w:p w14:paraId="45D3C0BB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795920F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0113844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  <w:t>0.22</w:t>
            </w:r>
          </w:p>
          <w:p w14:paraId="5FA87B58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  <w:t xml:space="preserve">(-0.17 to 0.62) </w:t>
            </w:r>
          </w:p>
          <w:p w14:paraId="5D90B582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3490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-0.003</w:t>
            </w:r>
          </w:p>
          <w:p w14:paraId="1E3D4737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  <w:t>(-0.01 to 0.00)</w:t>
            </w:r>
          </w:p>
          <w:p w14:paraId="2FE1C6B9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3917476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E2D90C1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  <w:t>0.14</w:t>
            </w:r>
          </w:p>
          <w:p w14:paraId="35173DAA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en-GB"/>
              </w:rPr>
              <w:t>(-0.04 to 0.34)</w:t>
            </w:r>
          </w:p>
          <w:p w14:paraId="57A57ED8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0761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</w:p>
          <w:p w14:paraId="3327BEB9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</w:p>
          <w:p w14:paraId="16CC98AD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4209EAAE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117CFA24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</w:p>
          <w:p w14:paraId="02950442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</w:p>
          <w:p w14:paraId="29D10EE7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DB5FA8" w:rsidRPr="00B25F9D" w14:paraId="1E149280" w14:textId="77777777" w:rsidTr="00367645">
        <w:trPr>
          <w:trHeight w:val="287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9E4CED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3F9F67D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30-day readmission rate following knee replacement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7203CF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0.002</w:t>
            </w:r>
            <w:r w:rsidRPr="0050278C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***</w:t>
            </w:r>
            <w:r w:rsidRPr="00B25F9D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08F357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0.15</w:t>
            </w:r>
            <w:r w:rsidRPr="0050278C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6C33F7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1238A9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0.13</w:t>
            </w:r>
            <w:r w:rsidRPr="0050278C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***</w:t>
            </w:r>
          </w:p>
        </w:tc>
      </w:tr>
      <w:tr w:rsidR="00DB5FA8" w:rsidRPr="00B25F9D" w14:paraId="57E01055" w14:textId="77777777" w:rsidTr="00367645">
        <w:trPr>
          <w:trHeight w:val="315"/>
          <w:jc w:val="center"/>
        </w:trPr>
        <w:tc>
          <w:tcPr>
            <w:tcW w:w="470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44E995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Coefficient (95% CI)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C1ABA1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(-0.000 to 0.004)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E229A9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(-0.03 to 0.27)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652111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334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B27FDD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(-0.07 to 0.19)</w:t>
            </w:r>
          </w:p>
        </w:tc>
      </w:tr>
      <w:tr w:rsidR="00DB5FA8" w:rsidRPr="00B25F9D" w14:paraId="32B39821" w14:textId="77777777" w:rsidTr="00367645">
        <w:trPr>
          <w:trHeight w:val="315"/>
          <w:jc w:val="center"/>
        </w:trPr>
        <w:tc>
          <w:tcPr>
            <w:tcW w:w="470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49DF7EEB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1E14E8BF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2331A607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42BB2EB0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</w:tcPr>
          <w:p w14:paraId="21FAEF1B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B5FA8" w:rsidRPr="00B25F9D" w14:paraId="3588635E" w14:textId="77777777" w:rsidTr="00367645">
        <w:trPr>
          <w:trHeight w:val="283"/>
          <w:jc w:val="center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0021B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14:paraId="62BD90A9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Response rate</w:t>
            </w:r>
          </w:p>
          <w:p w14:paraId="1D638ED8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Coefficient (95% CI)</w:t>
            </w:r>
          </w:p>
          <w:p w14:paraId="0F6BBA15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14:paraId="32CE614A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14:paraId="32772D6C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6-month mortality rate following knee replacement</w:t>
            </w:r>
          </w:p>
          <w:p w14:paraId="21166466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Coefficient (95% CI)</w:t>
            </w:r>
          </w:p>
          <w:p w14:paraId="73166090" w14:textId="77777777" w:rsidR="00DB5FA8" w:rsidRPr="00B25F9D" w:rsidRDefault="00DB5FA8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36767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-0.00</w:t>
            </w:r>
          </w:p>
          <w:p w14:paraId="1822B442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(-0.00 to 0.00)</w:t>
            </w:r>
          </w:p>
          <w:p w14:paraId="066A19A7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14:paraId="2F66CEB2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14:paraId="161450E4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-0.23</w:t>
            </w:r>
          </w:p>
          <w:p w14:paraId="24700695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(-0.70 to 0.24)</w:t>
            </w:r>
          </w:p>
          <w:p w14:paraId="78B94E1A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642B0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-0.04</w:t>
            </w:r>
            <w:r w:rsidRPr="0050278C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***</w:t>
            </w:r>
          </w:p>
          <w:p w14:paraId="3D6954E5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(-0.06 to 0.02)</w:t>
            </w:r>
          </w:p>
          <w:p w14:paraId="0CEAB1E2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14:paraId="22B6D2AA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14:paraId="5ABC9A00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-27.29</w:t>
            </w:r>
            <w:r w:rsidRPr="0050278C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*</w:t>
            </w:r>
          </w:p>
          <w:p w14:paraId="106CCE77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(-58.85 to 4.26)</w:t>
            </w:r>
          </w:p>
          <w:p w14:paraId="39396440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7CDDA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</w:p>
          <w:p w14:paraId="313125E6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</w:p>
          <w:p w14:paraId="4587AC24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00E3B4C7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3A9AE5A6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</w:p>
          <w:p w14:paraId="6368E35A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</w:p>
          <w:p w14:paraId="49E6D507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74582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  <w:p w14:paraId="5B826F81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(-0.001 to 0.013)</w:t>
            </w:r>
          </w:p>
          <w:p w14:paraId="35FC9B8E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14:paraId="36E85B72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14:paraId="0B08FB7C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-13.63</w:t>
            </w:r>
            <w:r w:rsidRPr="0050278C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*</w:t>
            </w:r>
          </w:p>
          <w:p w14:paraId="72A47A11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B25F9D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(-29.39 to 2.11)</w:t>
            </w:r>
          </w:p>
          <w:p w14:paraId="2AEBDCF5" w14:textId="77777777" w:rsidR="00DB5FA8" w:rsidRPr="00B25F9D" w:rsidRDefault="00DB5FA8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C58E81C" w14:textId="77777777" w:rsidR="00365FC3" w:rsidRPr="00DB5FA8" w:rsidRDefault="00DB5FA8" w:rsidP="00DB5FA8">
      <w:pPr>
        <w:widowControl w:val="0"/>
        <w:autoSpaceDE w:val="0"/>
        <w:autoSpaceDN w:val="0"/>
        <w:adjustRightInd w:val="0"/>
        <w:spacing w:line="240" w:lineRule="auto"/>
        <w:rPr>
          <w:rFonts w:ascii="Garamond" w:hAnsi="Garamond" w:cs="Times New Roman"/>
          <w:i/>
          <w:sz w:val="20"/>
          <w:szCs w:val="20"/>
        </w:rPr>
      </w:pPr>
      <w:r>
        <w:rPr>
          <w:rFonts w:ascii="Garamond" w:hAnsi="Garamond" w:cs="Times New Roman"/>
          <w:i/>
          <w:sz w:val="20"/>
          <w:szCs w:val="20"/>
        </w:rPr>
        <w:tab/>
      </w:r>
      <w:r w:rsidRPr="00B25F9D">
        <w:rPr>
          <w:rFonts w:ascii="Garamond" w:hAnsi="Garamond" w:cs="Times New Roman"/>
          <w:i/>
          <w:sz w:val="20"/>
          <w:szCs w:val="20"/>
        </w:rPr>
        <w:t xml:space="preserve">Appendix note: </w:t>
      </w:r>
      <w:r w:rsidRPr="00B25F9D">
        <w:rPr>
          <w:rFonts w:ascii="Garamond" w:hAnsi="Garamond" w:cs="Times New Roman"/>
          <w:i/>
          <w:sz w:val="20"/>
          <w:szCs w:val="20"/>
          <w:vertAlign w:val="superscript"/>
        </w:rPr>
        <w:t>1</w:t>
      </w:r>
      <w:r w:rsidRPr="00B25F9D">
        <w:rPr>
          <w:rFonts w:ascii="Garamond" w:hAnsi="Garamond" w:cs="Times New Roman"/>
          <w:i/>
          <w:sz w:val="20"/>
          <w:szCs w:val="20"/>
        </w:rPr>
        <w:t xml:space="preserve">*** indicates that the variable has robust impact on dependent variable at 1% significance level, ** for 5%, and * for 10%; </w:t>
      </w:r>
      <w:r w:rsidRPr="00B25F9D">
        <w:rPr>
          <w:rFonts w:ascii="Garamond" w:hAnsi="Garamond" w:cs="Times New Roman"/>
          <w:i/>
          <w:sz w:val="20"/>
          <w:szCs w:val="20"/>
          <w:vertAlign w:val="superscript"/>
        </w:rPr>
        <w:t>2</w:t>
      </w:r>
      <w:r w:rsidRPr="00B25F9D">
        <w:rPr>
          <w:rFonts w:ascii="Garamond" w:hAnsi="Garamond" w:cs="Times New Roman"/>
          <w:i/>
          <w:sz w:val="20"/>
          <w:szCs w:val="20"/>
        </w:rPr>
        <w:t xml:space="preserve"> The </w:t>
      </w:r>
      <w:proofErr w:type="spellStart"/>
      <w:r w:rsidRPr="00B25F9D">
        <w:rPr>
          <w:rFonts w:ascii="Garamond" w:hAnsi="Garamond" w:cs="Times New Roman"/>
          <w:i/>
          <w:sz w:val="20"/>
          <w:szCs w:val="20"/>
        </w:rPr>
        <w:t>Hausman</w:t>
      </w:r>
      <w:proofErr w:type="spellEnd"/>
      <w:r w:rsidRPr="00B25F9D">
        <w:rPr>
          <w:rFonts w:ascii="Garamond" w:hAnsi="Garamond" w:cs="Times New Roman"/>
          <w:i/>
          <w:sz w:val="20"/>
          <w:szCs w:val="20"/>
        </w:rPr>
        <w:t xml:space="preserve"> test was used to determine the preferred </w:t>
      </w:r>
      <w:r>
        <w:rPr>
          <w:rFonts w:ascii="Garamond" w:hAnsi="Garamond" w:cs="Times New Roman"/>
          <w:i/>
          <w:sz w:val="20"/>
          <w:szCs w:val="20"/>
        </w:rPr>
        <w:tab/>
      </w:r>
      <w:r w:rsidRPr="00B25F9D">
        <w:rPr>
          <w:rFonts w:ascii="Garamond" w:hAnsi="Garamond" w:cs="Times New Roman"/>
          <w:i/>
          <w:sz w:val="20"/>
          <w:szCs w:val="20"/>
        </w:rPr>
        <w:t xml:space="preserve">model effect; </w:t>
      </w:r>
      <w:r w:rsidRPr="00B25F9D">
        <w:rPr>
          <w:rFonts w:ascii="Garamond" w:hAnsi="Garamond" w:cs="Times New Roman"/>
          <w:i/>
          <w:sz w:val="20"/>
          <w:szCs w:val="20"/>
          <w:vertAlign w:val="superscript"/>
        </w:rPr>
        <w:t>3</w:t>
      </w:r>
      <w:r w:rsidRPr="00B25F9D">
        <w:rPr>
          <w:rFonts w:ascii="Garamond" w:hAnsi="Garamond" w:cs="Times New Roman"/>
          <w:i/>
          <w:sz w:val="20"/>
          <w:szCs w:val="20"/>
        </w:rPr>
        <w:t xml:space="preserve"> Direction of coefficients has been inverted to represent effect of a 1% reduction in the independent on the dependent variable. </w:t>
      </w:r>
    </w:p>
    <w:sectPr w:rsidR="00365FC3" w:rsidRPr="00DB5FA8" w:rsidSect="00DB5FA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A8"/>
    <w:rsid w:val="00365FC3"/>
    <w:rsid w:val="004C3678"/>
    <w:rsid w:val="0050278C"/>
    <w:rsid w:val="005E2D40"/>
    <w:rsid w:val="00B27D7A"/>
    <w:rsid w:val="00D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DE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A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A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Friebel</dc:creator>
  <cp:lastModifiedBy>Rocco Friebel</cp:lastModifiedBy>
  <cp:revision>2</cp:revision>
  <dcterms:created xsi:type="dcterms:W3CDTF">2017-05-11T16:50:00Z</dcterms:created>
  <dcterms:modified xsi:type="dcterms:W3CDTF">2017-05-11T16:50:00Z</dcterms:modified>
</cp:coreProperties>
</file>