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35B2" w14:textId="77777777" w:rsidR="00B15E9C" w:rsidRPr="006F0B22" w:rsidRDefault="00B15E9C" w:rsidP="006F0B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6F0B22">
        <w:rPr>
          <w:rFonts w:ascii="Garamond" w:hAnsi="Garamond" w:cs="Times New Roman"/>
          <w:b/>
          <w:sz w:val="24"/>
          <w:szCs w:val="24"/>
          <w:lang w:val="en-US"/>
        </w:rPr>
        <w:t>Appendix G</w:t>
      </w:r>
      <w:r w:rsidRPr="006F0B22">
        <w:rPr>
          <w:rFonts w:ascii="Garamond" w:hAnsi="Garamond" w:cs="Times New Roman"/>
          <w:b/>
          <w:sz w:val="24"/>
          <w:szCs w:val="24"/>
          <w:lang w:val="en-US"/>
        </w:rPr>
        <w:t>: Unbalanced Panel Data Analysis</w:t>
      </w:r>
      <w:r w:rsidRPr="006F0B22">
        <w:rPr>
          <w:rFonts w:ascii="Garamond" w:hAnsi="Garamond" w:cs="Times New Roman"/>
          <w:b/>
          <w:sz w:val="24"/>
          <w:szCs w:val="24"/>
          <w:lang w:val="en-US"/>
        </w:rPr>
        <w:t xml:space="preserve"> Restricting Sample To Trusts With Minimum Response Rates Of 60%</w:t>
      </w: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700"/>
        <w:gridCol w:w="1679"/>
        <w:gridCol w:w="1984"/>
        <w:gridCol w:w="1843"/>
        <w:gridCol w:w="2334"/>
      </w:tblGrid>
      <w:tr w:rsidR="00B15E9C" w:rsidRPr="00495E8F" w14:paraId="4A4AEC53" w14:textId="77777777" w:rsidTr="00344999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C2C9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59AF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EQ-5D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5F0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EQ-VAS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2C58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Oxford Hip Score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15C4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Oxford Knee Score</w:t>
            </w:r>
          </w:p>
        </w:tc>
      </w:tr>
      <w:tr w:rsidR="00B15E9C" w:rsidRPr="00495E8F" w14:paraId="19C96903" w14:textId="77777777" w:rsidTr="00344999">
        <w:trPr>
          <w:trHeight w:val="362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A1D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Variable</w:t>
            </w:r>
          </w:p>
        </w:tc>
        <w:tc>
          <w:tcPr>
            <w:tcW w:w="16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CBD4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874B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04B8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AA5D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15E9C" w:rsidRPr="00495E8F" w14:paraId="118B58F3" w14:textId="77777777" w:rsidTr="00344999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68B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2A753404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30-day readmission rate</w:t>
            </w:r>
            <w:r w:rsidRPr="00495E8F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 following hip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80B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0.004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FDA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0.3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5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96E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16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***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361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</w:tr>
      <w:tr w:rsidR="00B15E9C" w:rsidRPr="00495E8F" w14:paraId="336533D6" w14:textId="77777777" w:rsidTr="00344999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DA8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Coefficient (95% CI)</w:t>
            </w:r>
            <w:r w:rsidRPr="00495E8F" w:rsidDel="00A440E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588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(0.003 to 0.008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189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(0.11 to 0.60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10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(0.0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5 to 0.27)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6F9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</w:tr>
      <w:tr w:rsidR="00B15E9C" w:rsidRPr="00495E8F" w14:paraId="5DAFE141" w14:textId="77777777" w:rsidTr="00344999">
        <w:trPr>
          <w:trHeight w:val="283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971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  <w:p w14:paraId="4213DF94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Average number of Trusts per year</w:t>
            </w:r>
          </w:p>
          <w:p w14:paraId="0F750E34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7C7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53</w:t>
            </w:r>
          </w:p>
          <w:p w14:paraId="7F672A52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925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53</w:t>
            </w:r>
          </w:p>
          <w:p w14:paraId="3D2EB5F4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603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53</w:t>
            </w:r>
          </w:p>
          <w:p w14:paraId="614A08CB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D6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  <w:p w14:paraId="6DE74E33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15E9C" w:rsidRPr="00495E8F" w14:paraId="65B882E5" w14:textId="77777777" w:rsidTr="00344999">
        <w:trPr>
          <w:trHeight w:val="287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5A7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30-day readmission rate following knee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5BF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0.003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E34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30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51C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34F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0.14</w:t>
            </w:r>
            <w:r w:rsidRPr="00495E8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***</w:t>
            </w:r>
          </w:p>
        </w:tc>
      </w:tr>
      <w:tr w:rsidR="00B15E9C" w:rsidRPr="00495E8F" w14:paraId="0B0A7945" w14:textId="77777777" w:rsidTr="00344999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A0B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Coefficient (95% CI)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5B2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(0.001 to 0.006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E24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(0.11 to 0.5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8EC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A83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(0.05 to 0.24</w:t>
            </w: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</w:tr>
      <w:tr w:rsidR="00B15E9C" w:rsidRPr="00495E8F" w14:paraId="31B5B065" w14:textId="77777777" w:rsidTr="00344999">
        <w:trPr>
          <w:trHeight w:val="104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B1233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5608F8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A2CECA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3D3CE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41570F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15E9C" w:rsidRPr="00495E8F" w14:paraId="585E51BC" w14:textId="77777777" w:rsidTr="00344999">
        <w:trPr>
          <w:trHeight w:val="305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D348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  <w:p w14:paraId="12823AAA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Average number of Trusts per year</w:t>
            </w:r>
          </w:p>
          <w:p w14:paraId="29114681" w14:textId="77777777" w:rsidR="00B15E9C" w:rsidRPr="00495E8F" w:rsidRDefault="00B15E9C" w:rsidP="0034499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85E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61</w:t>
            </w:r>
          </w:p>
          <w:p w14:paraId="72809E60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BB71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61</w:t>
            </w:r>
          </w:p>
          <w:p w14:paraId="404BAD8D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C959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 w:rsidRPr="00495E8F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  <w:p w14:paraId="6D322DFA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B712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  <w:t>61</w:t>
            </w:r>
          </w:p>
          <w:p w14:paraId="50EE1311" w14:textId="77777777" w:rsidR="00B15E9C" w:rsidRPr="00495E8F" w:rsidRDefault="00B15E9C" w:rsidP="003449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35727BFA" w14:textId="77777777" w:rsidR="00B15E9C" w:rsidRPr="00495E8F" w:rsidRDefault="00B15E9C" w:rsidP="00B15E9C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sz w:val="20"/>
          <w:szCs w:val="20"/>
          <w:lang w:val="en-US"/>
        </w:rPr>
      </w:pPr>
      <w:r w:rsidRPr="00495E8F">
        <w:rPr>
          <w:rFonts w:ascii="Garamond" w:hAnsi="Garamond" w:cs="Times New Roman"/>
          <w:i/>
          <w:sz w:val="20"/>
          <w:szCs w:val="20"/>
          <w:lang w:val="en-US"/>
        </w:rPr>
        <w:t xml:space="preserve">Note: </w:t>
      </w:r>
      <w:r w:rsidRPr="00495E8F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1</w:t>
      </w:r>
      <w:r w:rsidRPr="00495E8F">
        <w:rPr>
          <w:rFonts w:ascii="Garamond" w:hAnsi="Garamond" w:cs="Times New Roman"/>
          <w:i/>
          <w:sz w:val="20"/>
          <w:szCs w:val="20"/>
          <w:lang w:val="en-US"/>
        </w:rPr>
        <w:t xml:space="preserve">*** indicates that the variable has robust impact on dependent variable at 1% significance level, ** for 5%, and * for 10%; </w:t>
      </w:r>
      <w:r w:rsidRPr="00495E8F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2</w:t>
      </w:r>
      <w:r w:rsidRPr="00495E8F">
        <w:rPr>
          <w:rFonts w:ascii="Garamond" w:hAnsi="Garamond" w:cs="Times New Roman"/>
          <w:i/>
          <w:sz w:val="20"/>
          <w:szCs w:val="20"/>
          <w:lang w:val="en-US"/>
        </w:rPr>
        <w:t xml:space="preserve"> The </w:t>
      </w:r>
      <w:proofErr w:type="spellStart"/>
      <w:r w:rsidRPr="00495E8F">
        <w:rPr>
          <w:rFonts w:ascii="Garamond" w:hAnsi="Garamond" w:cs="Times New Roman"/>
          <w:i/>
          <w:sz w:val="20"/>
          <w:szCs w:val="20"/>
          <w:lang w:val="en-US"/>
        </w:rPr>
        <w:t>Hausman</w:t>
      </w:r>
      <w:proofErr w:type="spellEnd"/>
      <w:r w:rsidRPr="00495E8F">
        <w:rPr>
          <w:rFonts w:ascii="Garamond" w:hAnsi="Garamond" w:cs="Times New Roman"/>
          <w:i/>
          <w:sz w:val="20"/>
          <w:szCs w:val="20"/>
          <w:lang w:val="en-US"/>
        </w:rPr>
        <w:t xml:space="preserve"> test was used to determine the preferred model effect; </w:t>
      </w:r>
      <w:r w:rsidRPr="00495E8F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3</w:t>
      </w:r>
      <w:r w:rsidRPr="00495E8F">
        <w:rPr>
          <w:rFonts w:ascii="Garamond" w:hAnsi="Garamond" w:cs="Times New Roman"/>
          <w:i/>
          <w:sz w:val="20"/>
          <w:szCs w:val="20"/>
          <w:lang w:val="en-US"/>
        </w:rPr>
        <w:t xml:space="preserve"> Direction of coefficients has been inverted to represent effect of a 1% reduction in the readmission rate on the dependent variable. </w:t>
      </w:r>
    </w:p>
    <w:p w14:paraId="040B0821" w14:textId="77777777" w:rsidR="003F5933" w:rsidRDefault="003F5933">
      <w:bookmarkStart w:id="0" w:name="_GoBack"/>
      <w:bookmarkEnd w:id="0"/>
    </w:p>
    <w:sectPr w:rsidR="003F5933" w:rsidSect="00B15E9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C"/>
    <w:rsid w:val="003F5933"/>
    <w:rsid w:val="004C3678"/>
    <w:rsid w:val="006F0B22"/>
    <w:rsid w:val="00B1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2C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Macintosh Word</Application>
  <DocSecurity>0</DocSecurity>
  <Lines>6</Lines>
  <Paragraphs>1</Paragraphs>
  <ScaleCrop>false</ScaleCrop>
  <Company>Imperial College London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Friebel</dc:creator>
  <cp:keywords/>
  <dc:description/>
  <cp:lastModifiedBy>Rocco Friebel</cp:lastModifiedBy>
  <cp:revision>2</cp:revision>
  <dcterms:created xsi:type="dcterms:W3CDTF">2017-01-18T12:33:00Z</dcterms:created>
  <dcterms:modified xsi:type="dcterms:W3CDTF">2017-01-18T12:37:00Z</dcterms:modified>
</cp:coreProperties>
</file>