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D9" w:rsidRDefault="00DA08D9" w:rsidP="00DA08D9">
      <w:pPr>
        <w:spacing w:after="0" w:line="256" w:lineRule="auto"/>
        <w:rPr>
          <w:rFonts w:ascii="Times New Roman" w:eastAsiaTheme="minorHAnsi" w:hAnsi="Times New Roman"/>
          <w:b/>
          <w:sz w:val="24"/>
          <w:szCs w:val="24"/>
        </w:rPr>
      </w:pPr>
      <w:r>
        <w:rPr>
          <w:rFonts w:ascii="Times New Roman" w:eastAsiaTheme="minorHAnsi" w:hAnsi="Times New Roman"/>
          <w:b/>
          <w:sz w:val="24"/>
          <w:szCs w:val="24"/>
        </w:rPr>
        <w:t>Appendix</w:t>
      </w:r>
    </w:p>
    <w:p w:rsidR="00DA08D9" w:rsidRDefault="00DA08D9" w:rsidP="00DA08D9">
      <w:pPr>
        <w:spacing w:after="0" w:line="256" w:lineRule="auto"/>
        <w:rPr>
          <w:rFonts w:ascii="Times New Roman" w:eastAsiaTheme="minorHAnsi" w:hAnsi="Times New Roman"/>
          <w:sz w:val="24"/>
          <w:szCs w:val="24"/>
        </w:rPr>
      </w:pPr>
      <w:r>
        <w:rPr>
          <w:rFonts w:ascii="Times New Roman" w:eastAsiaTheme="minorHAnsi" w:hAnsi="Times New Roman"/>
          <w:i/>
          <w:sz w:val="24"/>
          <w:szCs w:val="24"/>
        </w:rPr>
        <w:t>Program Description</w:t>
      </w:r>
    </w:p>
    <w:p w:rsidR="00DA08D9" w:rsidRDefault="00DA08D9" w:rsidP="00DA08D9">
      <w:pPr>
        <w:spacing w:after="120" w:line="276" w:lineRule="auto"/>
        <w:rPr>
          <w:rFonts w:ascii="Times New Roman" w:eastAsia="Calibri" w:hAnsi="Times New Roman"/>
          <w:sz w:val="24"/>
          <w:szCs w:val="24"/>
        </w:rPr>
      </w:pPr>
      <w:r>
        <w:rPr>
          <w:rFonts w:ascii="Times New Roman" w:eastAsia="Calibri" w:hAnsi="Times New Roman"/>
          <w:sz w:val="24"/>
          <w:szCs w:val="24"/>
        </w:rPr>
        <w:t>The COME HOME and PCCP models were both multisite, multistate interventions with different approaches to oncology care. Exhibit A.1 compares features of the two programs.</w:t>
      </w:r>
    </w:p>
    <w:p w:rsidR="00DA08D9" w:rsidRDefault="00DA08D9" w:rsidP="00DA08D9">
      <w:pPr>
        <w:keepNext/>
        <w:keepLines/>
        <w:pBdr>
          <w:top w:val="single" w:sz="4" w:space="5" w:color="BFB6AC"/>
          <w:bottom w:val="single" w:sz="4" w:space="3" w:color="BFB6AC"/>
        </w:pBdr>
        <w:tabs>
          <w:tab w:val="left" w:pos="1170"/>
        </w:tabs>
        <w:spacing w:before="120" w:after="120" w:line="240" w:lineRule="auto"/>
        <w:rPr>
          <w:rFonts w:ascii="Times New Roman" w:eastAsiaTheme="majorEastAsia" w:hAnsi="Times New Roman"/>
          <w:sz w:val="24"/>
          <w:szCs w:val="24"/>
        </w:rPr>
      </w:pPr>
      <w:r>
        <w:rPr>
          <w:rFonts w:ascii="Times New Roman" w:eastAsia="Calibri" w:hAnsi="Times New Roman"/>
          <w:b/>
          <w:color w:val="717074"/>
          <w:sz w:val="24"/>
          <w:szCs w:val="24"/>
        </w:rPr>
        <w:t>Exhibit 23.2:</w:t>
      </w:r>
      <w:r>
        <w:rPr>
          <w:rFonts w:ascii="Times New Roman" w:eastAsia="Calibri" w:hAnsi="Times New Roman"/>
          <w:b/>
          <w:color w:val="717074"/>
          <w:sz w:val="24"/>
          <w:szCs w:val="24"/>
        </w:rPr>
        <w:tab/>
      </w:r>
      <w:r>
        <w:rPr>
          <w:rFonts w:ascii="Times New Roman" w:eastAsiaTheme="majorEastAsia" w:hAnsi="Times New Roman"/>
          <w:sz w:val="24"/>
          <w:szCs w:val="24"/>
        </w:rPr>
        <w:t>Comparison of COME HOME and PCCP Models</w:t>
      </w:r>
    </w:p>
    <w:tbl>
      <w:tblPr>
        <w:tblW w:w="10435" w:type="dxa"/>
        <w:jc w:val="center"/>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CellMar>
          <w:left w:w="58" w:type="dxa"/>
          <w:right w:w="58" w:type="dxa"/>
        </w:tblCellMar>
        <w:tblLook w:val="04A0" w:firstRow="1" w:lastRow="0" w:firstColumn="1" w:lastColumn="0" w:noHBand="0" w:noVBand="1"/>
      </w:tblPr>
      <w:tblGrid>
        <w:gridCol w:w="1676"/>
        <w:gridCol w:w="4467"/>
        <w:gridCol w:w="4292"/>
      </w:tblGrid>
      <w:tr w:rsidR="00DA08D9" w:rsidTr="00DA08D9">
        <w:trPr>
          <w:cantSplit/>
          <w:tblHeader/>
          <w:jc w:val="center"/>
        </w:trPr>
        <w:tc>
          <w:tcPr>
            <w:tcW w:w="690" w:type="pct"/>
            <w:tcBorders>
              <w:top w:val="single" w:sz="4" w:space="0" w:color="53565A"/>
              <w:left w:val="single" w:sz="4" w:space="0" w:color="53565A"/>
              <w:bottom w:val="single" w:sz="4" w:space="0" w:color="53565A"/>
              <w:right w:val="single" w:sz="4" w:space="0" w:color="53565A"/>
            </w:tcBorders>
            <w:shd w:val="clear" w:color="auto" w:fill="BFB6AC"/>
            <w:vAlign w:val="bottom"/>
          </w:tcPr>
          <w:p w:rsidR="00DA08D9" w:rsidRDefault="00DA08D9">
            <w:pPr>
              <w:keepNext/>
              <w:keepLines/>
              <w:spacing w:before="20" w:after="20" w:line="240" w:lineRule="auto"/>
              <w:jc w:val="center"/>
              <w:rPr>
                <w:rFonts w:ascii="Times New Roman" w:eastAsia="Calibri" w:hAnsi="Times New Roman"/>
                <w:b/>
                <w:sz w:val="24"/>
                <w:szCs w:val="24"/>
              </w:rPr>
            </w:pPr>
          </w:p>
        </w:tc>
        <w:tc>
          <w:tcPr>
            <w:tcW w:w="2197" w:type="pct"/>
            <w:tcBorders>
              <w:top w:val="single" w:sz="4" w:space="0" w:color="53565A"/>
              <w:left w:val="single" w:sz="4" w:space="0" w:color="53565A"/>
              <w:bottom w:val="single" w:sz="4" w:space="0" w:color="53565A"/>
              <w:right w:val="single" w:sz="4" w:space="0" w:color="53565A"/>
            </w:tcBorders>
            <w:shd w:val="clear" w:color="auto" w:fill="BFB6AC"/>
            <w:vAlign w:val="center"/>
            <w:hideMark/>
          </w:tcPr>
          <w:p w:rsidR="00DA08D9" w:rsidRDefault="00DA08D9">
            <w:pPr>
              <w:keepNext/>
              <w:keepLines/>
              <w:spacing w:before="20" w:after="20" w:line="240" w:lineRule="auto"/>
              <w:jc w:val="center"/>
              <w:rPr>
                <w:rFonts w:ascii="Times New Roman" w:eastAsia="Calibri" w:hAnsi="Times New Roman"/>
                <w:b/>
                <w:sz w:val="24"/>
                <w:szCs w:val="24"/>
              </w:rPr>
            </w:pPr>
            <w:r>
              <w:rPr>
                <w:rFonts w:ascii="Times New Roman" w:eastAsia="Calibri" w:hAnsi="Times New Roman"/>
                <w:b/>
                <w:sz w:val="24"/>
                <w:szCs w:val="24"/>
              </w:rPr>
              <w:t>COME HOME</w:t>
            </w:r>
          </w:p>
        </w:tc>
        <w:tc>
          <w:tcPr>
            <w:tcW w:w="2113" w:type="pct"/>
            <w:tcBorders>
              <w:top w:val="single" w:sz="4" w:space="0" w:color="53565A"/>
              <w:left w:val="single" w:sz="4" w:space="0" w:color="53565A"/>
              <w:bottom w:val="single" w:sz="4" w:space="0" w:color="53565A"/>
              <w:right w:val="single" w:sz="4" w:space="0" w:color="53565A"/>
            </w:tcBorders>
            <w:shd w:val="clear" w:color="auto" w:fill="BFB6AC"/>
            <w:vAlign w:val="center"/>
            <w:hideMark/>
          </w:tcPr>
          <w:p w:rsidR="00DA08D9" w:rsidRDefault="00DA08D9">
            <w:pPr>
              <w:keepNext/>
              <w:keepLines/>
              <w:spacing w:before="20" w:after="20" w:line="240" w:lineRule="auto"/>
              <w:jc w:val="center"/>
              <w:rPr>
                <w:rFonts w:ascii="Times New Roman" w:eastAsia="Calibri" w:hAnsi="Times New Roman"/>
                <w:b/>
                <w:sz w:val="24"/>
                <w:szCs w:val="24"/>
              </w:rPr>
            </w:pPr>
            <w:r>
              <w:rPr>
                <w:rFonts w:ascii="Times New Roman" w:eastAsia="Calibri" w:hAnsi="Times New Roman"/>
                <w:b/>
                <w:sz w:val="24"/>
                <w:szCs w:val="24"/>
              </w:rPr>
              <w:t>PCCP</w:t>
            </w:r>
          </w:p>
        </w:tc>
      </w:tr>
      <w:tr w:rsidR="00DA08D9" w:rsidTr="00DA08D9">
        <w:trPr>
          <w:cantSplit/>
          <w:jc w:val="center"/>
        </w:trPr>
        <w:tc>
          <w:tcPr>
            <w:tcW w:w="690" w:type="pct"/>
            <w:tcBorders>
              <w:top w:val="single" w:sz="4" w:space="0" w:color="53565A"/>
              <w:left w:val="single" w:sz="4" w:space="0" w:color="53565A"/>
              <w:bottom w:val="single" w:sz="4" w:space="0" w:color="53565A"/>
              <w:right w:val="single" w:sz="4" w:space="0" w:color="53565A"/>
            </w:tcBorders>
            <w:hideMark/>
          </w:tcPr>
          <w:p w:rsidR="00DA08D9" w:rsidRDefault="00DA08D9">
            <w:pPr>
              <w:spacing w:before="20" w:after="20" w:line="240" w:lineRule="auto"/>
              <w:rPr>
                <w:rFonts w:ascii="Times New Roman" w:eastAsia="MS Mincho" w:hAnsi="Times New Roman"/>
                <w:b/>
                <w:sz w:val="24"/>
                <w:szCs w:val="24"/>
              </w:rPr>
            </w:pPr>
            <w:r>
              <w:rPr>
                <w:rFonts w:ascii="Times New Roman" w:eastAsia="MS Mincho" w:hAnsi="Times New Roman"/>
                <w:b/>
                <w:sz w:val="24"/>
                <w:szCs w:val="24"/>
              </w:rPr>
              <w:t>Program Overview</w:t>
            </w:r>
          </w:p>
        </w:tc>
        <w:tc>
          <w:tcPr>
            <w:tcW w:w="2197" w:type="pct"/>
            <w:tcBorders>
              <w:top w:val="single" w:sz="4" w:space="0" w:color="53565A"/>
              <w:left w:val="single" w:sz="4" w:space="0" w:color="53565A"/>
              <w:bottom w:val="single" w:sz="4" w:space="0" w:color="53565A"/>
              <w:right w:val="single" w:sz="4" w:space="0" w:color="53565A"/>
            </w:tcBorders>
            <w:hideMark/>
          </w:tcPr>
          <w:p w:rsidR="00DA08D9" w:rsidRDefault="00DA08D9">
            <w:pPr>
              <w:tabs>
                <w:tab w:val="left" w:pos="216"/>
              </w:tabs>
              <w:spacing w:before="40" w:after="40" w:line="240" w:lineRule="auto"/>
              <w:ind w:left="216" w:hanging="216"/>
              <w:rPr>
                <w:rFonts w:ascii="Times New Roman" w:hAnsi="Times New Roman"/>
                <w:color w:val="000000"/>
                <w:sz w:val="24"/>
                <w:szCs w:val="24"/>
              </w:rPr>
            </w:pPr>
            <w:r>
              <w:rPr>
                <w:rFonts w:ascii="Times New Roman" w:hAnsi="Times New Roman"/>
                <w:color w:val="000000"/>
                <w:sz w:val="24"/>
                <w:szCs w:val="24"/>
              </w:rPr>
              <w:t>COME HOME is an oncology patient-centered medical home model that provided integrated, coordinated care to cancer patients through three main program components: 1) triage pathways, 2) enhanced access, and 3) treatment pathways.</w:t>
            </w:r>
          </w:p>
          <w:p w:rsidR="00DA08D9" w:rsidRDefault="00DA08D9">
            <w:pPr>
              <w:tabs>
                <w:tab w:val="left" w:pos="216"/>
              </w:tabs>
              <w:spacing w:before="40" w:after="40" w:line="240" w:lineRule="auto"/>
              <w:ind w:left="216" w:hanging="216"/>
              <w:rPr>
                <w:rFonts w:ascii="Times New Roman" w:hAnsi="Times New Roman"/>
                <w:color w:val="000000"/>
                <w:sz w:val="24"/>
                <w:szCs w:val="24"/>
              </w:rPr>
            </w:pPr>
            <w:r>
              <w:rPr>
                <w:rFonts w:ascii="Times New Roman" w:hAnsi="Times New Roman"/>
                <w:color w:val="000000"/>
                <w:sz w:val="24"/>
                <w:szCs w:val="24"/>
              </w:rPr>
              <w:t>COME HOME targeted patients belonging to all payers</w:t>
            </w:r>
          </w:p>
        </w:tc>
        <w:tc>
          <w:tcPr>
            <w:tcW w:w="2113" w:type="pct"/>
            <w:tcBorders>
              <w:top w:val="single" w:sz="4" w:space="0" w:color="53565A"/>
              <w:left w:val="single" w:sz="4" w:space="0" w:color="53565A"/>
              <w:bottom w:val="single" w:sz="4" w:space="0" w:color="53565A"/>
              <w:right w:val="single" w:sz="4" w:space="0" w:color="53565A"/>
            </w:tcBorders>
            <w:hideMark/>
          </w:tcPr>
          <w:p w:rsidR="00DA08D9" w:rsidRDefault="00DA08D9">
            <w:pPr>
              <w:tabs>
                <w:tab w:val="left" w:pos="216"/>
              </w:tabs>
              <w:spacing w:before="40" w:after="40" w:line="240" w:lineRule="auto"/>
              <w:ind w:left="216" w:hanging="216"/>
              <w:rPr>
                <w:rFonts w:ascii="Times New Roman" w:hAnsi="Times New Roman"/>
                <w:color w:val="000000"/>
                <w:sz w:val="24"/>
                <w:szCs w:val="24"/>
              </w:rPr>
            </w:pPr>
            <w:r>
              <w:rPr>
                <w:rFonts w:ascii="Times New Roman" w:hAnsi="Times New Roman"/>
                <w:color w:val="000000"/>
                <w:sz w:val="24"/>
                <w:szCs w:val="24"/>
              </w:rPr>
              <w:t>PCCP used lay navigators to help improve adherence to care plans and to educate cancer patients and survivors about how to find and use the resources they need, with the goal of empowering patients, caregivers, and families to better advocate for themselves in their care.</w:t>
            </w:r>
          </w:p>
          <w:p w:rsidR="00DA08D9" w:rsidRDefault="00DA08D9">
            <w:pPr>
              <w:tabs>
                <w:tab w:val="left" w:pos="216"/>
              </w:tabs>
              <w:spacing w:before="40" w:after="40" w:line="240" w:lineRule="auto"/>
              <w:ind w:left="216" w:hanging="216"/>
              <w:rPr>
                <w:rFonts w:ascii="Times New Roman" w:hAnsi="Times New Roman"/>
                <w:color w:val="000000"/>
                <w:sz w:val="24"/>
                <w:szCs w:val="24"/>
              </w:rPr>
            </w:pPr>
            <w:r>
              <w:rPr>
                <w:rFonts w:ascii="Times New Roman" w:hAnsi="Times New Roman"/>
                <w:color w:val="000000"/>
                <w:sz w:val="24"/>
                <w:szCs w:val="24"/>
              </w:rPr>
              <w:t xml:space="preserve">PCCP targeted Medicare patients </w:t>
            </w:r>
          </w:p>
        </w:tc>
      </w:tr>
      <w:tr w:rsidR="00DA08D9" w:rsidTr="00DA08D9">
        <w:trPr>
          <w:cantSplit/>
          <w:jc w:val="center"/>
        </w:trPr>
        <w:tc>
          <w:tcPr>
            <w:tcW w:w="690" w:type="pct"/>
            <w:tcBorders>
              <w:top w:val="single" w:sz="4" w:space="0" w:color="53565A"/>
              <w:left w:val="single" w:sz="4" w:space="0" w:color="53565A"/>
              <w:bottom w:val="single" w:sz="4" w:space="0" w:color="53565A"/>
              <w:right w:val="single" w:sz="4" w:space="0" w:color="53565A"/>
            </w:tcBorders>
            <w:shd w:val="clear" w:color="auto" w:fill="E9E6E3"/>
            <w:hideMark/>
          </w:tcPr>
          <w:p w:rsidR="00DA08D9" w:rsidRDefault="00DA08D9">
            <w:pPr>
              <w:spacing w:before="20" w:after="20" w:line="240" w:lineRule="auto"/>
              <w:rPr>
                <w:rFonts w:ascii="Times New Roman" w:eastAsia="MS Mincho" w:hAnsi="Times New Roman"/>
                <w:b/>
                <w:sz w:val="24"/>
                <w:szCs w:val="24"/>
              </w:rPr>
            </w:pPr>
            <w:r>
              <w:rPr>
                <w:rFonts w:ascii="Times New Roman" w:eastAsia="MS Mincho" w:hAnsi="Times New Roman"/>
                <w:b/>
                <w:sz w:val="24"/>
                <w:szCs w:val="24"/>
              </w:rPr>
              <w:t>Program Goals</w:t>
            </w:r>
          </w:p>
        </w:tc>
        <w:tc>
          <w:tcPr>
            <w:tcW w:w="2197" w:type="pct"/>
            <w:tcBorders>
              <w:top w:val="single" w:sz="4" w:space="0" w:color="53565A"/>
              <w:left w:val="single" w:sz="4" w:space="0" w:color="53565A"/>
              <w:bottom w:val="single" w:sz="4" w:space="0" w:color="53565A"/>
              <w:right w:val="single" w:sz="4" w:space="0" w:color="53565A"/>
            </w:tcBorders>
            <w:shd w:val="clear" w:color="auto" w:fill="E9E6E3"/>
            <w:hideMark/>
          </w:tcPr>
          <w:p w:rsidR="00DA08D9" w:rsidRDefault="00DA08D9">
            <w:pPr>
              <w:tabs>
                <w:tab w:val="left" w:pos="216"/>
              </w:tabs>
              <w:spacing w:before="40" w:after="40" w:line="240" w:lineRule="auto"/>
              <w:ind w:left="216" w:hanging="216"/>
              <w:rPr>
                <w:rFonts w:ascii="Times New Roman" w:hAnsi="Times New Roman"/>
                <w:color w:val="000000"/>
                <w:sz w:val="24"/>
                <w:szCs w:val="24"/>
              </w:rPr>
            </w:pPr>
            <w:r>
              <w:rPr>
                <w:rFonts w:ascii="Times New Roman" w:hAnsi="Times New Roman"/>
                <w:color w:val="000000"/>
                <w:sz w:val="24"/>
                <w:szCs w:val="24"/>
              </w:rPr>
              <w:t>Improve health outcomes, enhance patient care, and reduce cost for active cancer patients</w:t>
            </w:r>
          </w:p>
        </w:tc>
        <w:tc>
          <w:tcPr>
            <w:tcW w:w="2113" w:type="pct"/>
            <w:tcBorders>
              <w:top w:val="single" w:sz="4" w:space="0" w:color="53565A"/>
              <w:left w:val="single" w:sz="4" w:space="0" w:color="53565A"/>
              <w:bottom w:val="single" w:sz="4" w:space="0" w:color="53565A"/>
              <w:right w:val="single" w:sz="4" w:space="0" w:color="53565A"/>
            </w:tcBorders>
            <w:shd w:val="clear" w:color="auto" w:fill="E9E6E3"/>
            <w:hideMark/>
          </w:tcPr>
          <w:p w:rsidR="00DA08D9" w:rsidRDefault="00DA08D9">
            <w:pPr>
              <w:tabs>
                <w:tab w:val="left" w:pos="216"/>
              </w:tabs>
              <w:spacing w:before="40" w:after="40" w:line="240" w:lineRule="auto"/>
              <w:ind w:left="216" w:hanging="216"/>
              <w:rPr>
                <w:rFonts w:ascii="Times New Roman" w:hAnsi="Times New Roman"/>
                <w:color w:val="000000"/>
                <w:sz w:val="24"/>
                <w:szCs w:val="24"/>
              </w:rPr>
            </w:pPr>
            <w:r>
              <w:rPr>
                <w:rFonts w:ascii="Times New Roman" w:hAnsi="Times New Roman"/>
                <w:color w:val="000000"/>
                <w:sz w:val="24"/>
                <w:szCs w:val="24"/>
              </w:rPr>
              <w:t>Improve patient-centered outcomes across the cancer care continuum (e.g., active cancer, cancer in remission, and advanced cancer)</w:t>
            </w:r>
          </w:p>
        </w:tc>
      </w:tr>
      <w:tr w:rsidR="00DA08D9" w:rsidTr="00DA08D9">
        <w:trPr>
          <w:cantSplit/>
          <w:jc w:val="center"/>
        </w:trPr>
        <w:tc>
          <w:tcPr>
            <w:tcW w:w="690" w:type="pct"/>
            <w:tcBorders>
              <w:top w:val="single" w:sz="4" w:space="0" w:color="53565A"/>
              <w:left w:val="single" w:sz="4" w:space="0" w:color="53565A"/>
              <w:bottom w:val="single" w:sz="4" w:space="0" w:color="53565A"/>
              <w:right w:val="single" w:sz="4" w:space="0" w:color="53565A"/>
            </w:tcBorders>
            <w:shd w:val="clear" w:color="auto" w:fill="FFFFFF" w:themeFill="background1"/>
            <w:hideMark/>
          </w:tcPr>
          <w:p w:rsidR="00DA08D9" w:rsidRDefault="00DA08D9">
            <w:pPr>
              <w:spacing w:before="20" w:after="20" w:line="240" w:lineRule="auto"/>
              <w:rPr>
                <w:rFonts w:ascii="Times New Roman" w:eastAsia="MS Mincho" w:hAnsi="Times New Roman"/>
                <w:b/>
                <w:sz w:val="24"/>
                <w:szCs w:val="24"/>
              </w:rPr>
            </w:pPr>
            <w:r>
              <w:rPr>
                <w:rFonts w:ascii="Times New Roman" w:eastAsia="MS Mincho" w:hAnsi="Times New Roman"/>
                <w:b/>
                <w:sz w:val="24"/>
                <w:szCs w:val="24"/>
              </w:rPr>
              <w:t>Site Characteristics</w:t>
            </w:r>
          </w:p>
        </w:tc>
        <w:tc>
          <w:tcPr>
            <w:tcW w:w="2197" w:type="pct"/>
            <w:tcBorders>
              <w:top w:val="single" w:sz="4" w:space="0" w:color="53565A"/>
              <w:left w:val="single" w:sz="4" w:space="0" w:color="53565A"/>
              <w:bottom w:val="single" w:sz="4" w:space="0" w:color="53565A"/>
              <w:right w:val="single" w:sz="4" w:space="0" w:color="53565A"/>
            </w:tcBorders>
            <w:shd w:val="clear" w:color="auto" w:fill="FFFFFF" w:themeFill="background1"/>
            <w:hideMark/>
          </w:tcPr>
          <w:p w:rsidR="00DA08D9" w:rsidRDefault="00DA08D9">
            <w:pPr>
              <w:tabs>
                <w:tab w:val="left" w:pos="216"/>
              </w:tabs>
              <w:spacing w:before="40" w:after="40" w:line="240" w:lineRule="auto"/>
              <w:ind w:left="216" w:hanging="216"/>
              <w:rPr>
                <w:rFonts w:ascii="Times New Roman" w:hAnsi="Times New Roman"/>
                <w:color w:val="000000"/>
                <w:sz w:val="24"/>
                <w:szCs w:val="24"/>
              </w:rPr>
            </w:pPr>
            <w:r>
              <w:rPr>
                <w:rFonts w:ascii="Times New Roman" w:hAnsi="Times New Roman"/>
                <w:color w:val="000000"/>
                <w:sz w:val="24"/>
                <w:szCs w:val="24"/>
              </w:rPr>
              <w:t>Seven community oncology sites in New Mexico, Texas, Georgia, Ohio, Florida, and Maine</w:t>
            </w:r>
          </w:p>
          <w:p w:rsidR="00DA08D9" w:rsidRDefault="00DA08D9">
            <w:pPr>
              <w:tabs>
                <w:tab w:val="left" w:pos="216"/>
              </w:tabs>
              <w:spacing w:before="40" w:after="40" w:line="240" w:lineRule="auto"/>
              <w:ind w:left="216" w:hanging="216"/>
              <w:rPr>
                <w:rFonts w:ascii="Times New Roman" w:hAnsi="Times New Roman"/>
                <w:color w:val="000000"/>
                <w:sz w:val="24"/>
                <w:szCs w:val="24"/>
              </w:rPr>
            </w:pPr>
            <w:r>
              <w:rPr>
                <w:rFonts w:ascii="Times New Roman" w:hAnsi="Times New Roman"/>
                <w:color w:val="000000"/>
                <w:sz w:val="24"/>
                <w:szCs w:val="24"/>
              </w:rPr>
              <w:t>Practice size ranged from 12 beds with nine physicians to 55 beds with 18 physicians</w:t>
            </w:r>
          </w:p>
          <w:p w:rsidR="00DA08D9" w:rsidRDefault="00DA08D9">
            <w:pPr>
              <w:tabs>
                <w:tab w:val="left" w:pos="216"/>
              </w:tabs>
              <w:spacing w:before="40" w:after="40" w:line="240" w:lineRule="auto"/>
              <w:ind w:left="216" w:hanging="216"/>
              <w:rPr>
                <w:rFonts w:ascii="Times New Roman" w:hAnsi="Times New Roman"/>
                <w:color w:val="000000"/>
                <w:sz w:val="24"/>
                <w:szCs w:val="24"/>
              </w:rPr>
            </w:pPr>
            <w:r>
              <w:rPr>
                <w:rFonts w:ascii="Times New Roman" w:hAnsi="Times New Roman"/>
                <w:color w:val="000000"/>
                <w:sz w:val="24"/>
                <w:szCs w:val="24"/>
              </w:rPr>
              <w:t>All sites had electronic health records in place prior to implementing COME HOME</w:t>
            </w:r>
          </w:p>
        </w:tc>
        <w:tc>
          <w:tcPr>
            <w:tcW w:w="2113" w:type="pct"/>
            <w:tcBorders>
              <w:top w:val="single" w:sz="4" w:space="0" w:color="53565A"/>
              <w:left w:val="single" w:sz="4" w:space="0" w:color="53565A"/>
              <w:bottom w:val="single" w:sz="4" w:space="0" w:color="53565A"/>
              <w:right w:val="single" w:sz="4" w:space="0" w:color="53565A"/>
            </w:tcBorders>
            <w:shd w:val="clear" w:color="auto" w:fill="FFFFFF" w:themeFill="background1"/>
            <w:hideMark/>
          </w:tcPr>
          <w:p w:rsidR="00DA08D9" w:rsidRDefault="00DA08D9">
            <w:pPr>
              <w:tabs>
                <w:tab w:val="left" w:pos="216"/>
              </w:tabs>
              <w:spacing w:before="40" w:after="40" w:line="240" w:lineRule="auto"/>
              <w:ind w:left="216" w:hanging="216"/>
              <w:rPr>
                <w:rFonts w:ascii="Times New Roman" w:hAnsi="Times New Roman"/>
                <w:color w:val="000000"/>
                <w:sz w:val="24"/>
                <w:szCs w:val="24"/>
              </w:rPr>
            </w:pPr>
            <w:r>
              <w:rPr>
                <w:rFonts w:ascii="Times New Roman" w:hAnsi="Times New Roman"/>
                <w:color w:val="000000"/>
                <w:sz w:val="24"/>
                <w:szCs w:val="24"/>
              </w:rPr>
              <w:t>12 hospital sites throughout Alabama, Florida, Georgia, Mississippi, and Tennessee</w:t>
            </w:r>
          </w:p>
          <w:p w:rsidR="00DA08D9" w:rsidRDefault="00DA08D9">
            <w:pPr>
              <w:tabs>
                <w:tab w:val="left" w:pos="216"/>
              </w:tabs>
              <w:spacing w:before="40" w:after="40" w:line="240" w:lineRule="auto"/>
              <w:ind w:left="216" w:hanging="216"/>
              <w:rPr>
                <w:rFonts w:ascii="Times New Roman" w:hAnsi="Times New Roman"/>
                <w:color w:val="000000"/>
                <w:sz w:val="24"/>
                <w:szCs w:val="24"/>
              </w:rPr>
            </w:pPr>
            <w:r>
              <w:rPr>
                <w:rFonts w:ascii="Times New Roman" w:hAnsi="Times New Roman"/>
                <w:color w:val="000000"/>
                <w:sz w:val="24"/>
                <w:szCs w:val="24"/>
              </w:rPr>
              <w:t>Hospital size ranged from 81 beds with four physicians in urban Alabama to 822 beds with 109 physicians in Atlanta, Georgia</w:t>
            </w:r>
          </w:p>
          <w:p w:rsidR="00DA08D9" w:rsidRDefault="00DA08D9">
            <w:pPr>
              <w:tabs>
                <w:tab w:val="left" w:pos="216"/>
              </w:tabs>
              <w:spacing w:before="40" w:after="40" w:line="240" w:lineRule="auto"/>
              <w:ind w:left="216" w:hanging="216"/>
              <w:rPr>
                <w:rFonts w:ascii="Times New Roman" w:hAnsi="Times New Roman"/>
                <w:color w:val="000000"/>
                <w:sz w:val="24"/>
                <w:szCs w:val="24"/>
              </w:rPr>
            </w:pPr>
            <w:r>
              <w:rPr>
                <w:rFonts w:ascii="Times New Roman" w:hAnsi="Times New Roman"/>
                <w:color w:val="000000"/>
                <w:sz w:val="24"/>
                <w:szCs w:val="24"/>
              </w:rPr>
              <w:t>Some sites had existing nurse navigation programs and/or social work staff</w:t>
            </w:r>
          </w:p>
        </w:tc>
      </w:tr>
    </w:tbl>
    <w:p w:rsidR="00DA08D9" w:rsidRDefault="00DA08D9" w:rsidP="00DA08D9">
      <w:pPr>
        <w:spacing w:after="0" w:line="256" w:lineRule="auto"/>
        <w:rPr>
          <w:rFonts w:ascii="Times New Roman" w:eastAsiaTheme="minorHAnsi" w:hAnsi="Times New Roman"/>
          <w:sz w:val="24"/>
          <w:szCs w:val="24"/>
        </w:rPr>
      </w:pPr>
    </w:p>
    <w:p w:rsidR="00DA08D9" w:rsidRDefault="00DA08D9" w:rsidP="00DA08D9">
      <w:pPr>
        <w:spacing w:after="0" w:line="256" w:lineRule="auto"/>
        <w:rPr>
          <w:rFonts w:ascii="Times New Roman" w:eastAsiaTheme="minorHAnsi" w:hAnsi="Times New Roman"/>
          <w:sz w:val="24"/>
          <w:szCs w:val="24"/>
        </w:rPr>
      </w:pPr>
      <w:r>
        <w:rPr>
          <w:rFonts w:ascii="Times New Roman" w:eastAsiaTheme="minorHAnsi" w:hAnsi="Times New Roman"/>
          <w:i/>
          <w:sz w:val="24"/>
          <w:szCs w:val="24"/>
        </w:rPr>
        <w:t>Program Study Population</w:t>
      </w:r>
    </w:p>
    <w:p w:rsidR="00DA08D9" w:rsidRDefault="00DA08D9" w:rsidP="00DA08D9">
      <w:pPr>
        <w:spacing w:after="0" w:line="256" w:lineRule="auto"/>
        <w:rPr>
          <w:rFonts w:ascii="Times New Roman" w:eastAsiaTheme="minorHAnsi" w:hAnsi="Times New Roman"/>
          <w:sz w:val="24"/>
          <w:szCs w:val="24"/>
        </w:rPr>
      </w:pPr>
      <w:r>
        <w:rPr>
          <w:rFonts w:ascii="Times New Roman" w:eastAsiaTheme="minorHAnsi" w:hAnsi="Times New Roman"/>
          <w:sz w:val="24"/>
          <w:szCs w:val="24"/>
        </w:rPr>
        <w:t>In both the COME HOME and PCCP models, patients were included in the program regardless of what type of cancer they had. We have three main purposes for including the four most common cancers (breast cancer, colorectal cancer, lymphoma, and lung cancer) in these programs in our analyses:</w:t>
      </w:r>
    </w:p>
    <w:p w:rsidR="00DA08D9" w:rsidRDefault="00DA08D9" w:rsidP="00DA08D9">
      <w:pPr>
        <w:numPr>
          <w:ilvl w:val="0"/>
          <w:numId w:val="1"/>
        </w:numPr>
        <w:spacing w:after="0" w:line="256" w:lineRule="auto"/>
        <w:ind w:left="540"/>
        <w:contextualSpacing/>
        <w:rPr>
          <w:rFonts w:ascii="Times New Roman" w:eastAsiaTheme="minorHAnsi" w:hAnsi="Times New Roman"/>
          <w:sz w:val="24"/>
          <w:szCs w:val="24"/>
        </w:rPr>
      </w:pPr>
      <w:r>
        <w:rPr>
          <w:rFonts w:ascii="Times New Roman" w:eastAsiaTheme="minorHAnsi" w:hAnsi="Times New Roman"/>
          <w:sz w:val="24"/>
          <w:szCs w:val="24"/>
        </w:rPr>
        <w:t>We are able to maintain comparability of our results across the COME HOME and PCCP models</w:t>
      </w:r>
    </w:p>
    <w:p w:rsidR="00DA08D9" w:rsidRDefault="00DA08D9" w:rsidP="00DA08D9">
      <w:pPr>
        <w:numPr>
          <w:ilvl w:val="0"/>
          <w:numId w:val="1"/>
        </w:numPr>
        <w:spacing w:after="0" w:line="256" w:lineRule="auto"/>
        <w:ind w:left="540"/>
        <w:contextualSpacing/>
        <w:rPr>
          <w:rFonts w:ascii="Times New Roman" w:eastAsiaTheme="minorHAnsi" w:hAnsi="Times New Roman"/>
          <w:sz w:val="24"/>
          <w:szCs w:val="24"/>
        </w:rPr>
      </w:pPr>
      <w:r>
        <w:rPr>
          <w:rFonts w:ascii="Times New Roman" w:eastAsiaTheme="minorHAnsi" w:hAnsi="Times New Roman"/>
          <w:sz w:val="24"/>
          <w:szCs w:val="24"/>
        </w:rPr>
        <w:t>We are able to produce program effect estimates that are most representative of the overall program population, as the majority of patients in these program have one of these four types of cancers.</w:t>
      </w:r>
    </w:p>
    <w:p w:rsidR="00DA08D9" w:rsidRDefault="00DA08D9" w:rsidP="00DA08D9">
      <w:pPr>
        <w:numPr>
          <w:ilvl w:val="0"/>
          <w:numId w:val="1"/>
        </w:numPr>
        <w:spacing w:after="0" w:line="256" w:lineRule="auto"/>
        <w:ind w:left="540"/>
        <w:contextualSpacing/>
        <w:rPr>
          <w:rFonts w:ascii="Times New Roman" w:eastAsiaTheme="minorHAnsi" w:hAnsi="Times New Roman"/>
          <w:sz w:val="24"/>
          <w:szCs w:val="24"/>
        </w:rPr>
      </w:pPr>
      <w:r>
        <w:rPr>
          <w:rFonts w:ascii="Times New Roman" w:eastAsiaTheme="minorHAnsi" w:hAnsi="Times New Roman"/>
          <w:sz w:val="24"/>
          <w:szCs w:val="24"/>
        </w:rPr>
        <w:t xml:space="preserve">We are able to match program patients to comparison patients within each cancer type (e.g., we ensure that a breast cancer participant in the COME HOME program is matched </w:t>
      </w:r>
      <w:r>
        <w:rPr>
          <w:rFonts w:ascii="Times New Roman" w:eastAsiaTheme="minorHAnsi" w:hAnsi="Times New Roman"/>
          <w:sz w:val="24"/>
          <w:szCs w:val="24"/>
        </w:rPr>
        <w:lastRenderedPageBreak/>
        <w:t>to a comparison patient at a COME HOME comparison site with breast cancer), which is significantly more difficult for groups with fewer patients because of the small sample size.</w:t>
      </w:r>
    </w:p>
    <w:p w:rsidR="00DA08D9" w:rsidRDefault="00DA08D9" w:rsidP="00DA08D9">
      <w:pPr>
        <w:spacing w:after="0" w:line="256" w:lineRule="auto"/>
        <w:rPr>
          <w:rFonts w:ascii="Times New Roman" w:eastAsiaTheme="minorHAnsi" w:hAnsi="Times New Roman"/>
          <w:sz w:val="24"/>
          <w:szCs w:val="24"/>
        </w:rPr>
      </w:pPr>
    </w:p>
    <w:p w:rsidR="00DA08D9" w:rsidRDefault="00DA08D9" w:rsidP="00DA08D9">
      <w:pPr>
        <w:spacing w:after="0" w:line="256" w:lineRule="auto"/>
        <w:rPr>
          <w:rFonts w:ascii="Times New Roman" w:eastAsiaTheme="minorHAnsi" w:hAnsi="Times New Roman"/>
          <w:sz w:val="24"/>
          <w:szCs w:val="24"/>
        </w:rPr>
      </w:pPr>
      <w:r>
        <w:rPr>
          <w:rFonts w:ascii="Times New Roman" w:eastAsiaTheme="minorHAnsi" w:hAnsi="Times New Roman"/>
          <w:i/>
          <w:sz w:val="24"/>
          <w:szCs w:val="24"/>
        </w:rPr>
        <w:t>Identifying Patients undergoing Chemotherapy</w:t>
      </w:r>
    </w:p>
    <w:p w:rsidR="00DA08D9" w:rsidRDefault="00DA08D9" w:rsidP="00DA08D9">
      <w:pPr>
        <w:spacing w:after="0" w:line="256" w:lineRule="auto"/>
        <w:rPr>
          <w:rFonts w:ascii="Times New Roman" w:eastAsiaTheme="minorHAnsi" w:hAnsi="Times New Roman"/>
          <w:sz w:val="24"/>
          <w:szCs w:val="24"/>
        </w:rPr>
      </w:pPr>
      <w:r>
        <w:rPr>
          <w:rFonts w:ascii="Times New Roman" w:eastAsiaTheme="minorHAnsi" w:hAnsi="Times New Roman"/>
          <w:sz w:val="24"/>
          <w:szCs w:val="24"/>
        </w:rPr>
        <w:t>To identify patients undergoing chemotherapy, we used a combination of ICD-9, CPT/HCPCS, MS-DRG, BETOS, and Revenue Center codes to identify patients who were receiving injection or infusion of chemotherapy drugs, or were otherwise classified on claims as being in chemotherapy during the three months before or after program enrollment.</w:t>
      </w:r>
      <w:r>
        <w:rPr>
          <w:rFonts w:ascii="Times New Roman" w:eastAsiaTheme="minorHAnsi" w:hAnsi="Times New Roman"/>
          <w:sz w:val="24"/>
          <w:szCs w:val="24"/>
        </w:rPr>
        <w:fldChar w:fldCharType="begin"/>
      </w:r>
      <w:r>
        <w:rPr>
          <w:rFonts w:ascii="Times New Roman" w:eastAsiaTheme="minorHAnsi" w:hAnsi="Times New Roman"/>
          <w:sz w:val="24"/>
          <w:szCs w:val="24"/>
        </w:rPr>
        <w:instrText xml:space="preserve"> ADDIN EN.CITE &lt;EndNote&gt;&lt;Cite&gt;&lt;Author&gt;Du&lt;/Author&gt;&lt;Year&gt;2006 Feb&lt;/Year&gt;&lt;RecNum&gt;59&lt;/RecNum&gt;&lt;DisplayText&gt;(1, 2)&lt;/DisplayText&gt;&lt;record&gt;&lt;rec-number&gt;59&lt;/rec-number&gt;&lt;foreign-keys&gt;&lt;key app="EN" db-id="ds0fxppvrew5fwep9wgvrzxw95vde2aspp5f" timestamp="1482272936"&gt;59&lt;/key&gt;&lt;/foreign-keys&gt;&lt;ref-type name="Journal Article"&gt;17&lt;/ref-type&gt;&lt;contributors&gt;&lt;authors&gt;&lt;author&gt;Xianglin L Du&lt;/author&gt;&lt;author&gt;Charles R Key&lt;/author&gt;&lt;author&gt;Lois Dickie&lt;/author&gt;&lt;author&gt;Ronald Darling&lt;/author&gt;&lt;author&gt;Jane M Geraci&lt;/author&gt;&lt;author&gt;Dong Zhang&lt;/author&gt;&lt;/authors&gt;&lt;/contributors&gt;&lt;titles&gt;&lt;title&gt;External validation of Medicare claims for breast cancer chemotherapy compared with medical chart reviews&lt;/title&gt;&lt;secondary-title&gt;Medical Care&lt;/secondary-title&gt;&lt;/titles&gt;&lt;periodical&gt;&lt;full-title&gt;Medical Care&lt;/full-title&gt;&lt;/periodical&gt;&lt;pages&gt;124-131&lt;/pages&gt;&lt;volume&gt;44&lt;/volume&gt;&lt;number&gt;2&lt;/number&gt;&lt;dates&gt;&lt;year&gt;2006 Feb&lt;/year&gt;&lt;/dates&gt;&lt;urls&gt;&lt;/urls&gt;&lt;/record&gt;&lt;/Cite&gt;&lt;Cite&gt;&lt;Year&gt;2016&lt;/Year&gt;&lt;RecNum&gt;33&lt;/RecNum&gt;&lt;record&gt;&lt;rec-number&gt;33&lt;/rec-number&gt;&lt;foreign-keys&gt;&lt;key app="EN" db-id="swe2p9z292xdelev9dmptpv9f9wwptrea2vt" timestamp="1482519373"&gt;33&lt;/key&gt;&lt;/foreign-keys&gt;&lt;ref-type name="Government Document"&gt;46&lt;/ref-type&gt;&lt;contributors&gt;&lt;secondary-authors&gt;&lt;author&gt;Centers for Medicare &amp;amp; Medicaid Services&lt;/author&gt;&lt;/secondary-authors&gt;&lt;/contributors&gt;&lt;titles&gt;&lt;title&gt;CMS Oncology Care Model Code List&lt;/title&gt;&lt;/titles&gt;&lt;dates&gt;&lt;year&gt;2016&lt;/year&gt;&lt;/dates&gt;&lt;urls&gt;&lt;related-urls&gt;&lt;url&gt;Available at: https://innovation.cms.gov/Files/x/ocm-cancerncodelist.xlsx&lt;/url&gt;&lt;/related-urls&gt;&lt;/urls&gt;&lt;/record&gt;&lt;/Cite&gt;&lt;/EndNote&gt;</w:instrText>
      </w:r>
      <w:r>
        <w:rPr>
          <w:rFonts w:ascii="Times New Roman" w:eastAsiaTheme="minorHAnsi" w:hAnsi="Times New Roman"/>
          <w:sz w:val="24"/>
          <w:szCs w:val="24"/>
        </w:rPr>
        <w:fldChar w:fldCharType="separate"/>
      </w:r>
      <w:r>
        <w:rPr>
          <w:rFonts w:ascii="Times New Roman" w:eastAsiaTheme="minorHAnsi" w:hAnsi="Times New Roman"/>
          <w:noProof/>
          <w:sz w:val="24"/>
          <w:szCs w:val="24"/>
        </w:rPr>
        <w:t>(1, 2)</w:t>
      </w:r>
      <w:r>
        <w:rPr>
          <w:rFonts w:ascii="Times New Roman" w:eastAsiaTheme="minorHAnsi" w:hAnsi="Times New Roman"/>
          <w:sz w:val="24"/>
          <w:szCs w:val="24"/>
        </w:rPr>
        <w:fldChar w:fldCharType="end"/>
      </w:r>
    </w:p>
    <w:p w:rsidR="00DA08D9" w:rsidRDefault="00DA08D9" w:rsidP="00DA08D9">
      <w:pPr>
        <w:spacing w:after="0" w:line="256" w:lineRule="auto"/>
        <w:rPr>
          <w:rFonts w:ascii="Times New Roman" w:eastAsiaTheme="minorHAnsi" w:hAnsi="Times New Roman"/>
          <w:sz w:val="24"/>
          <w:szCs w:val="24"/>
        </w:rPr>
      </w:pPr>
    </w:p>
    <w:p w:rsidR="00DA08D9" w:rsidRDefault="00DA08D9" w:rsidP="00DA08D9">
      <w:pPr>
        <w:spacing w:after="0" w:line="256" w:lineRule="auto"/>
        <w:rPr>
          <w:rFonts w:ascii="Times New Roman" w:eastAsiaTheme="minorHAnsi" w:hAnsi="Times New Roman"/>
          <w:sz w:val="24"/>
          <w:szCs w:val="24"/>
        </w:rPr>
      </w:pPr>
      <w:r>
        <w:rPr>
          <w:rFonts w:ascii="Times New Roman" w:eastAsiaTheme="minorHAnsi" w:hAnsi="Times New Roman"/>
          <w:sz w:val="24"/>
          <w:szCs w:val="24"/>
        </w:rPr>
        <w:t>However, we are limited in our ability to identify patients who are on chemotherapy, as we only used Medicare Part B claims for these analyses. Part B claims do not include information on prescription drugs (these data are found on Part D claims), so we cannot reliably identify patients who are receiving oral chemotherapy via a prescription. It is estimated that approximately 20 percent of patients receive oral chemotherapy, whether alone or in conjunction with intravenous chemotherapy.</w:t>
      </w:r>
      <w:r>
        <w:rPr>
          <w:rFonts w:ascii="Times New Roman" w:eastAsiaTheme="minorHAnsi" w:hAnsi="Times New Roman"/>
          <w:sz w:val="24"/>
          <w:szCs w:val="24"/>
        </w:rPr>
        <w:fldChar w:fldCharType="begin">
          <w:fldData xml:space="preserve">PEVuZE5vdGU+PENpdGU+PEF1dGhvcj5XZWluZ2FydDwvQXV0aG9yPjxZZWFyPjIwMDg8L1llYXI+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</w:fldData>
        </w:fldChar>
      </w:r>
      <w:r>
        <w:rPr>
          <w:rFonts w:ascii="Times New Roman" w:eastAsiaTheme="minorHAnsi" w:hAnsi="Times New Roman"/>
          <w:sz w:val="24"/>
          <w:szCs w:val="24"/>
        </w:rPr>
        <w:instrText xml:space="preserve"> ADDIN EN.CITE </w:instrText>
      </w:r>
      <w:r>
        <w:rPr>
          <w:rFonts w:ascii="Times New Roman" w:eastAsiaTheme="minorHAnsi" w:hAnsi="Times New Roman"/>
          <w:sz w:val="24"/>
          <w:szCs w:val="24"/>
        </w:rPr>
        <w:fldChar w:fldCharType="begin">
          <w:fldData xml:space="preserve">PEVuZE5vdGU+PENpdGU+PEF1dGhvcj5XZWluZ2FydDwvQXV0aG9yPjxZZWFyPjIwMDg8L1llYXI+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</w:fldData>
        </w:fldChar>
      </w:r>
      <w:r>
        <w:rPr>
          <w:rFonts w:ascii="Times New Roman" w:eastAsiaTheme="minorHAnsi" w:hAnsi="Times New Roman"/>
          <w:sz w:val="24"/>
          <w:szCs w:val="24"/>
        </w:rPr>
        <w:instrText xml:space="preserve"> ADDIN EN.CITE.DATA </w:instrText>
      </w:r>
      <w:r>
        <w:rPr>
          <w:rFonts w:ascii="Times New Roman" w:eastAsiaTheme="minorHAnsi" w:hAnsi="Times New Roman"/>
          <w:sz w:val="24"/>
          <w:szCs w:val="24"/>
        </w:rPr>
      </w:r>
      <w:r>
        <w:rPr>
          <w:rFonts w:ascii="Times New Roman" w:eastAsiaTheme="minorHAnsi" w:hAnsi="Times New Roman"/>
          <w:sz w:val="24"/>
          <w:szCs w:val="24"/>
        </w:rPr>
        <w:fldChar w:fldCharType="end"/>
      </w:r>
      <w:r>
        <w:rPr>
          <w:rFonts w:ascii="Times New Roman" w:eastAsiaTheme="minorHAnsi" w:hAnsi="Times New Roman"/>
          <w:sz w:val="24"/>
          <w:szCs w:val="24"/>
        </w:rPr>
      </w:r>
      <w:r>
        <w:rPr>
          <w:rFonts w:ascii="Times New Roman" w:eastAsiaTheme="minorHAnsi" w:hAnsi="Times New Roman"/>
          <w:sz w:val="24"/>
          <w:szCs w:val="24"/>
        </w:rPr>
        <w:fldChar w:fldCharType="separate"/>
      </w:r>
      <w:r>
        <w:rPr>
          <w:rFonts w:ascii="Times New Roman" w:eastAsiaTheme="minorHAnsi" w:hAnsi="Times New Roman"/>
          <w:noProof/>
          <w:sz w:val="24"/>
          <w:szCs w:val="24"/>
        </w:rPr>
        <w:t>(3, 4)</w:t>
      </w:r>
      <w:r>
        <w:rPr>
          <w:rFonts w:ascii="Times New Roman" w:eastAsiaTheme="minorHAnsi" w:hAnsi="Times New Roman"/>
          <w:sz w:val="24"/>
          <w:szCs w:val="24"/>
        </w:rPr>
        <w:fldChar w:fldCharType="end"/>
      </w:r>
    </w:p>
    <w:p w:rsidR="00DA08D9" w:rsidRDefault="00DA08D9" w:rsidP="00DA08D9">
      <w:pPr>
        <w:autoSpaceDE w:val="0"/>
        <w:autoSpaceDN w:val="0"/>
        <w:adjustRightInd w:val="0"/>
        <w:spacing w:after="0" w:line="240" w:lineRule="auto"/>
        <w:rPr>
          <w:rFonts w:ascii="Times New Roman" w:eastAsiaTheme="minorHAnsi" w:hAnsi="Times New Roman"/>
          <w:b/>
          <w:bCs/>
        </w:rPr>
      </w:pPr>
    </w:p>
    <w:p w:rsidR="007C2BDF" w:rsidRPr="007C2BDF" w:rsidRDefault="007C2BDF" w:rsidP="007C2BDF">
      <w:pPr>
        <w:spacing w:after="0" w:line="259" w:lineRule="auto"/>
        <w:rPr>
          <w:rFonts w:ascii="Times New Roman" w:eastAsiaTheme="minorHAnsi" w:hAnsi="Times New Roman"/>
          <w:b/>
          <w:sz w:val="24"/>
          <w:szCs w:val="24"/>
        </w:rPr>
      </w:pPr>
      <w:r w:rsidRPr="007C2BDF">
        <w:rPr>
          <w:rFonts w:ascii="Times New Roman" w:eastAsiaTheme="minorHAnsi" w:hAnsi="Times New Roman"/>
          <w:b/>
          <w:sz w:val="24"/>
          <w:szCs w:val="24"/>
        </w:rPr>
        <w:t xml:space="preserve">Figure S1. Unadjusted Estimates for Utilization Outcomes for COME HOME </w:t>
      </w:r>
    </w:p>
    <w:p w:rsidR="007C2BDF" w:rsidRPr="007C2BDF" w:rsidRDefault="007C2BDF" w:rsidP="007C2BDF">
      <w:pPr>
        <w:spacing w:after="0" w:line="259" w:lineRule="auto"/>
        <w:rPr>
          <w:rFonts w:ascii="Times New Roman" w:eastAsiaTheme="minorHAnsi" w:hAnsi="Times New Roman"/>
          <w:b/>
          <w:sz w:val="24"/>
          <w:szCs w:val="24"/>
        </w:rPr>
      </w:pPr>
      <w:r w:rsidRPr="007C2BDF">
        <w:rPr>
          <w:rFonts w:asciiTheme="minorHAnsi" w:eastAsiaTheme="minorHAnsi" w:hAnsiTheme="minorHAnsi" w:cstheme="minorBidi"/>
          <w:noProof/>
        </w:rPr>
        <w:drawing>
          <wp:inline distT="0" distB="0" distL="0" distR="0" wp14:anchorId="1F728DAB" wp14:editId="08B1AF38">
            <wp:extent cx="6080760" cy="3648456"/>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C2BDF" w:rsidRPr="007C2BDF" w:rsidRDefault="007C2BDF" w:rsidP="007C2BDF">
      <w:pPr>
        <w:spacing w:after="0" w:line="259" w:lineRule="auto"/>
        <w:rPr>
          <w:rFonts w:ascii="Times New Roman" w:eastAsiaTheme="minorHAnsi" w:hAnsi="Times New Roman"/>
          <w:b/>
          <w:sz w:val="24"/>
          <w:szCs w:val="24"/>
        </w:rPr>
      </w:pPr>
    </w:p>
    <w:p w:rsidR="007C2BDF" w:rsidRPr="007C2BDF" w:rsidRDefault="007C2BDF" w:rsidP="007C2BDF">
      <w:pPr>
        <w:spacing w:after="0" w:line="259" w:lineRule="auto"/>
        <w:rPr>
          <w:rFonts w:ascii="Times New Roman" w:eastAsiaTheme="minorHAnsi" w:hAnsi="Times New Roman"/>
          <w:b/>
          <w:sz w:val="24"/>
          <w:szCs w:val="24"/>
        </w:rPr>
      </w:pPr>
      <w:r w:rsidRPr="007C2BDF">
        <w:rPr>
          <w:rFonts w:ascii="Times New Roman" w:eastAsiaTheme="minorHAnsi" w:hAnsi="Times New Roman"/>
          <w:b/>
          <w:sz w:val="24"/>
          <w:szCs w:val="24"/>
        </w:rPr>
        <w:t xml:space="preserve">Figure S2. Unadjusted Estimates for Utilization Outcomes for PCCP  </w:t>
      </w:r>
    </w:p>
    <w:p w:rsidR="007C2BDF" w:rsidRPr="007C2BDF" w:rsidRDefault="007C2BDF" w:rsidP="007C2BDF">
      <w:pPr>
        <w:spacing w:after="0" w:line="259" w:lineRule="auto"/>
        <w:rPr>
          <w:rFonts w:ascii="Times New Roman" w:eastAsiaTheme="minorHAnsi" w:hAnsi="Times New Roman"/>
          <w:b/>
          <w:sz w:val="24"/>
          <w:szCs w:val="24"/>
        </w:rPr>
      </w:pPr>
      <w:r w:rsidRPr="007C2BDF">
        <w:rPr>
          <w:rFonts w:asciiTheme="minorHAnsi" w:eastAsiaTheme="minorHAnsi" w:hAnsiTheme="minorHAnsi" w:cstheme="minorBidi"/>
          <w:noProof/>
        </w:rPr>
        <w:lastRenderedPageBreak/>
        <w:drawing>
          <wp:inline distT="0" distB="0" distL="0" distR="0" wp14:anchorId="239B9F82" wp14:editId="2442FF7E">
            <wp:extent cx="6076950" cy="364617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C2BDF" w:rsidRPr="007C2BDF" w:rsidRDefault="007C2BDF" w:rsidP="007C2BDF">
      <w:pPr>
        <w:spacing w:after="0" w:line="259" w:lineRule="auto"/>
        <w:rPr>
          <w:rFonts w:ascii="Times New Roman" w:eastAsiaTheme="minorHAnsi" w:hAnsi="Times New Roman"/>
          <w:b/>
          <w:sz w:val="24"/>
          <w:szCs w:val="24"/>
        </w:rPr>
      </w:pPr>
    </w:p>
    <w:p w:rsidR="007C2BDF" w:rsidRPr="007C2BDF" w:rsidRDefault="007C2BDF" w:rsidP="007C2BDF">
      <w:pPr>
        <w:spacing w:after="0" w:line="259" w:lineRule="auto"/>
        <w:rPr>
          <w:rFonts w:ascii="Times New Roman" w:eastAsiaTheme="minorHAnsi" w:hAnsi="Times New Roman"/>
          <w:b/>
          <w:sz w:val="24"/>
          <w:szCs w:val="24"/>
        </w:rPr>
      </w:pPr>
      <w:r w:rsidRPr="007C2BDF">
        <w:rPr>
          <w:rFonts w:ascii="Times New Roman" w:eastAsiaTheme="minorHAnsi" w:hAnsi="Times New Roman"/>
          <w:b/>
          <w:sz w:val="24"/>
          <w:szCs w:val="24"/>
        </w:rPr>
        <w:t>Figure S3. Unadjusted Estimates for Cost Outcome for COME HOME</w:t>
      </w:r>
    </w:p>
    <w:p w:rsidR="007C2BDF" w:rsidRPr="007C2BDF" w:rsidRDefault="007C2BDF" w:rsidP="007C2BDF">
      <w:pPr>
        <w:spacing w:after="0" w:line="259" w:lineRule="auto"/>
        <w:rPr>
          <w:rFonts w:ascii="Times New Roman" w:eastAsiaTheme="minorHAnsi" w:hAnsi="Times New Roman"/>
          <w:b/>
          <w:sz w:val="24"/>
          <w:szCs w:val="24"/>
        </w:rPr>
      </w:pPr>
      <w:r w:rsidRPr="007C2BDF">
        <w:rPr>
          <w:rFonts w:asciiTheme="minorHAnsi" w:eastAsiaTheme="minorHAnsi" w:hAnsiTheme="minorHAnsi" w:cstheme="minorBidi"/>
          <w:noProof/>
        </w:rPr>
        <w:drawing>
          <wp:inline distT="0" distB="0" distL="0" distR="0" wp14:anchorId="39504044" wp14:editId="56BE5315">
            <wp:extent cx="6080760" cy="3648456"/>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C2BDF" w:rsidRPr="007C2BDF" w:rsidRDefault="007C2BDF" w:rsidP="007C2BDF">
      <w:pPr>
        <w:spacing w:after="0" w:line="259" w:lineRule="auto"/>
        <w:rPr>
          <w:rFonts w:ascii="Times New Roman" w:eastAsiaTheme="minorHAnsi" w:hAnsi="Times New Roman"/>
          <w:b/>
          <w:sz w:val="24"/>
          <w:szCs w:val="24"/>
        </w:rPr>
      </w:pPr>
      <w:r w:rsidRPr="007C2BDF">
        <w:rPr>
          <w:rFonts w:ascii="Times New Roman" w:eastAsiaTheme="minorHAnsi" w:hAnsi="Times New Roman"/>
          <w:b/>
          <w:sz w:val="24"/>
          <w:szCs w:val="24"/>
        </w:rPr>
        <w:t>Figure S4. Unadjusted Estimates for Cost Outcome for PCCP</w:t>
      </w:r>
    </w:p>
    <w:p w:rsidR="007C2BDF" w:rsidRPr="007C2BDF" w:rsidRDefault="007C2BDF" w:rsidP="007C2BDF">
      <w:pPr>
        <w:spacing w:after="0" w:line="259" w:lineRule="auto"/>
        <w:rPr>
          <w:rFonts w:ascii="Times New Roman" w:eastAsiaTheme="minorHAnsi" w:hAnsi="Times New Roman"/>
          <w:b/>
          <w:sz w:val="24"/>
          <w:szCs w:val="24"/>
        </w:rPr>
      </w:pPr>
      <w:r w:rsidRPr="007C2BDF">
        <w:rPr>
          <w:rFonts w:asciiTheme="minorHAnsi" w:eastAsiaTheme="minorHAnsi" w:hAnsiTheme="minorHAnsi" w:cstheme="minorBidi"/>
          <w:noProof/>
        </w:rPr>
        <w:lastRenderedPageBreak/>
        <w:drawing>
          <wp:inline distT="0" distB="0" distL="0" distR="0" wp14:anchorId="5E86396C" wp14:editId="5E55DA8B">
            <wp:extent cx="6080760" cy="3648456"/>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C2BDF">
        <w:rPr>
          <w:rFonts w:ascii="Times New Roman" w:eastAsiaTheme="minorHAnsi" w:hAnsi="Times New Roman"/>
          <w:sz w:val="20"/>
          <w:szCs w:val="20"/>
        </w:rPr>
        <w:t>*p&lt;0.05; **p&lt;0.01; ***p&lt;0.001</w:t>
      </w:r>
    </w:p>
    <w:p w:rsidR="00DA08D9" w:rsidRDefault="00DA08D9" w:rsidP="00DA08D9">
      <w:pPr>
        <w:autoSpaceDE w:val="0"/>
        <w:autoSpaceDN w:val="0"/>
        <w:adjustRightInd w:val="0"/>
        <w:spacing w:after="0" w:line="240" w:lineRule="auto"/>
        <w:rPr>
          <w:rFonts w:ascii="Times New Roman" w:eastAsiaTheme="minorHAnsi" w:hAnsi="Times New Roman"/>
          <w:b/>
          <w:bCs/>
        </w:rPr>
      </w:pPr>
      <w:bookmarkStart w:id="0" w:name="_GoBack"/>
      <w:bookmarkEnd w:id="0"/>
    </w:p>
    <w:p w:rsidR="00DA08D9" w:rsidRDefault="00DA08D9" w:rsidP="00DA08D9">
      <w:pPr>
        <w:autoSpaceDE w:val="0"/>
        <w:autoSpaceDN w:val="0"/>
        <w:adjustRightInd w:val="0"/>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References</w:t>
      </w:r>
    </w:p>
    <w:p w:rsidR="00DA08D9" w:rsidRDefault="00DA08D9" w:rsidP="00DA08D9">
      <w:pPr>
        <w:spacing w:after="0" w:line="480" w:lineRule="auto"/>
        <w:rPr>
          <w:rFonts w:ascii="Times New Roman" w:eastAsiaTheme="minorHAnsi" w:hAnsi="Times New Roman"/>
          <w:noProof/>
          <w:sz w:val="24"/>
          <w:szCs w:val="24"/>
        </w:rPr>
      </w:pPr>
      <w:r>
        <w:rPr>
          <w:rFonts w:ascii="Times New Roman" w:eastAsiaTheme="minorHAnsi" w:hAnsi="Times New Roman"/>
          <w:b/>
          <w:bCs/>
          <w:noProof/>
          <w:sz w:val="24"/>
          <w:szCs w:val="24"/>
        </w:rPr>
        <w:fldChar w:fldCharType="begin"/>
      </w:r>
      <w:r>
        <w:rPr>
          <w:rFonts w:ascii="Times New Roman" w:eastAsiaTheme="minorHAnsi" w:hAnsi="Times New Roman"/>
          <w:b/>
          <w:bCs/>
          <w:noProof/>
          <w:sz w:val="24"/>
          <w:szCs w:val="24"/>
        </w:rPr>
        <w:instrText xml:space="preserve"> ADDIN EN.REFLIST </w:instrText>
      </w:r>
      <w:r>
        <w:rPr>
          <w:rFonts w:ascii="Times New Roman" w:eastAsiaTheme="minorHAnsi" w:hAnsi="Times New Roman"/>
          <w:b/>
          <w:bCs/>
          <w:noProof/>
          <w:sz w:val="24"/>
          <w:szCs w:val="24"/>
        </w:rPr>
        <w:fldChar w:fldCharType="separate"/>
      </w:r>
      <w:r>
        <w:rPr>
          <w:rFonts w:ascii="Times New Roman" w:eastAsiaTheme="minorHAnsi" w:hAnsi="Times New Roman"/>
          <w:noProof/>
          <w:sz w:val="24"/>
          <w:szCs w:val="24"/>
        </w:rPr>
        <w:t>1.</w:t>
      </w:r>
      <w:r>
        <w:rPr>
          <w:rFonts w:ascii="Times New Roman" w:eastAsiaTheme="minorHAnsi" w:hAnsi="Times New Roman"/>
          <w:noProof/>
          <w:sz w:val="24"/>
          <w:szCs w:val="24"/>
        </w:rPr>
        <w:tab/>
        <w:t>Du XL, Key CR, Dickie L, et al. External validation of Medicare claims for breast cancer chemotherapy compared with medical chart reviews. Med Care. 2006;44(2):124-31.</w:t>
      </w:r>
    </w:p>
    <w:p w:rsidR="00DA08D9" w:rsidRDefault="00DA08D9" w:rsidP="00DA08D9">
      <w:pPr>
        <w:spacing w:after="0" w:line="480" w:lineRule="auto"/>
        <w:rPr>
          <w:rFonts w:ascii="Times New Roman" w:eastAsiaTheme="minorHAnsi" w:hAnsi="Times New Roman"/>
          <w:noProof/>
          <w:sz w:val="24"/>
          <w:szCs w:val="24"/>
        </w:rPr>
      </w:pPr>
      <w:r>
        <w:rPr>
          <w:rFonts w:ascii="Times New Roman" w:eastAsiaTheme="minorHAnsi" w:hAnsi="Times New Roman"/>
          <w:noProof/>
          <w:sz w:val="24"/>
          <w:szCs w:val="24"/>
        </w:rPr>
        <w:t>2.</w:t>
      </w:r>
      <w:r>
        <w:rPr>
          <w:rFonts w:ascii="Times New Roman" w:eastAsiaTheme="minorHAnsi" w:hAnsi="Times New Roman"/>
          <w:noProof/>
          <w:sz w:val="24"/>
          <w:szCs w:val="24"/>
        </w:rPr>
        <w:tab/>
        <w:t xml:space="preserve">Center Centers for Medicare &amp; Medicaid Services. CMS Oncology Care Model Code List. 2016. Available at: https://innovation.cms.gov/Files/x/ocm-cancerncodelist.xlsx. </w:t>
      </w:r>
      <w:r>
        <w:rPr>
          <w:rFonts w:ascii="Times New Roman" w:hAnsi="Times New Roman"/>
          <w:sz w:val="24"/>
          <w:szCs w:val="24"/>
        </w:rPr>
        <w:t>Accessed December 1, 2016</w:t>
      </w:r>
    </w:p>
    <w:p w:rsidR="00DA08D9" w:rsidRDefault="00DA08D9" w:rsidP="00DA08D9">
      <w:pPr>
        <w:spacing w:after="0" w:line="480" w:lineRule="auto"/>
        <w:rPr>
          <w:rFonts w:ascii="Times New Roman" w:eastAsiaTheme="minorHAnsi" w:hAnsi="Times New Roman"/>
          <w:noProof/>
          <w:sz w:val="24"/>
          <w:szCs w:val="24"/>
        </w:rPr>
      </w:pPr>
      <w:r>
        <w:rPr>
          <w:rFonts w:ascii="Times New Roman" w:eastAsiaTheme="minorHAnsi" w:hAnsi="Times New Roman"/>
          <w:noProof/>
          <w:sz w:val="24"/>
          <w:szCs w:val="24"/>
        </w:rPr>
        <w:t>3.</w:t>
      </w:r>
      <w:r>
        <w:rPr>
          <w:rFonts w:ascii="Times New Roman" w:eastAsiaTheme="minorHAnsi" w:hAnsi="Times New Roman"/>
          <w:noProof/>
          <w:sz w:val="24"/>
          <w:szCs w:val="24"/>
        </w:rPr>
        <w:tab/>
      </w:r>
      <w:r>
        <w:rPr>
          <w:rFonts w:ascii="Times New Roman" w:hAnsi="Times New Roman"/>
          <w:sz w:val="24"/>
          <w:szCs w:val="24"/>
        </w:rPr>
        <w:t>Weingart SN BE, Bach PB, Eng K, et al. NCCN Task Force Report: oral chemotherapy. J Natl Compr Canc Netw 2008;6(3):S8-S14</w:t>
      </w:r>
    </w:p>
    <w:p w:rsidR="00DA08D9" w:rsidRDefault="00DA08D9" w:rsidP="00DA08D9">
      <w:pPr>
        <w:spacing w:line="480" w:lineRule="auto"/>
        <w:rPr>
          <w:rFonts w:ascii="Times New Roman" w:eastAsiaTheme="minorHAnsi" w:hAnsi="Times New Roman"/>
          <w:noProof/>
          <w:sz w:val="24"/>
          <w:szCs w:val="24"/>
        </w:rPr>
      </w:pPr>
      <w:r>
        <w:rPr>
          <w:rFonts w:ascii="Times New Roman" w:eastAsiaTheme="minorHAnsi" w:hAnsi="Times New Roman"/>
          <w:noProof/>
          <w:sz w:val="24"/>
          <w:szCs w:val="24"/>
        </w:rPr>
        <w:t>4.</w:t>
      </w:r>
      <w:r>
        <w:rPr>
          <w:rFonts w:ascii="Times New Roman" w:eastAsiaTheme="minorHAnsi" w:hAnsi="Times New Roman"/>
          <w:noProof/>
          <w:sz w:val="24"/>
          <w:szCs w:val="24"/>
        </w:rPr>
        <w:tab/>
        <w:t>Zerillo JA, Stuver SO, Fraile B, et al. Understanding Oral Chemotherapy Prescribing Patterns at the End of Life at a Comprehensive Cancer Center: Analysis of a Massachusetts Payer Claims Database. J Oncol Pract. 2015;11(5):372-7.</w:t>
      </w:r>
    </w:p>
    <w:p w:rsidR="00184458" w:rsidRDefault="00DA08D9" w:rsidP="00DA08D9">
      <w:r>
        <w:rPr>
          <w:rFonts w:ascii="Times New Roman" w:eastAsiaTheme="minorHAnsi" w:hAnsi="Times New Roman"/>
          <w:b/>
          <w:bCs/>
          <w:sz w:val="24"/>
          <w:szCs w:val="24"/>
        </w:rPr>
        <w:fldChar w:fldCharType="end"/>
      </w:r>
    </w:p>
    <w:sectPr w:rsidR="00184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C5C86"/>
    <w:multiLevelType w:val="hybridMultilevel"/>
    <w:tmpl w:val="BCF8F18A"/>
    <w:lvl w:ilvl="0" w:tplc="F6B2AC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D9"/>
    <w:rsid w:val="00184458"/>
    <w:rsid w:val="002E3414"/>
    <w:rsid w:val="007C2BDF"/>
    <w:rsid w:val="00DA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A9D57-CB11-4C80-8A18-55C95B10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D9"/>
    <w:pPr>
      <w:spacing w:line="254"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norc.org\Projects\7544\Common\Management\Conferences%20and%20Publications\Publications\Cancer\Overall%20Effectiveness\Revisions\TwoInnovativeCancerCarePrograms_Colligan_SDC1_0425201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norc.org\Projects\7544\Common\Management\Conferences%20and%20Publications\Publications\Cancer\Overall%20Effectiveness\Revisions\TwoInnovativeCancerCarePrograms_Colligan_SDC1_0425201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norc.org\Projects\7544\Common\Management\Conferences%20and%20Publications\Publications\Cancer\Overall%20Effectiveness\Revisions\TwoInnovativeCancerCarePrograms_Colligan_SDC1_0425201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3.xml"/><Relationship Id="rId4" Type="http://schemas.openxmlformats.org/officeDocument/2006/relationships/oleObject" Target="file:///\\norc.org\Projects\7544\Common\Management\Conferences%20and%20Publications\Publications\Cancer\Overall%20Effectiveness\Revisions\TwoInnovativeCancerCarePrograms_Colligan_SDC1_0425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[TwoInnovativeCancerCarePrograms_Colligan_SDC1_04252017.xlsx]Sheet1!$F$3</c:f>
              <c:strCache>
                <c:ptCount val="1"/>
                <c:pt idx="0">
                  <c:v>Comparison</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[TwoInnovativeCancerCarePrograms_Colligan_SDC1_04252017.xlsx]Sheet1!$F$10:$F$15</c:f>
                <c:numCache>
                  <c:formatCode>General</c:formatCode>
                  <c:ptCount val="6"/>
                  <c:pt idx="0">
                    <c:v>4</c:v>
                  </c:pt>
                  <c:pt idx="1">
                    <c:v>7</c:v>
                  </c:pt>
                  <c:pt idx="2">
                    <c:v>6</c:v>
                  </c:pt>
                  <c:pt idx="3">
                    <c:v>7</c:v>
                  </c:pt>
                  <c:pt idx="4">
                    <c:v>17</c:v>
                  </c:pt>
                  <c:pt idx="5">
                    <c:v>16</c:v>
                  </c:pt>
                </c:numCache>
              </c:numRef>
            </c:plus>
            <c:minus>
              <c:numRef>
                <c:f>[TwoInnovativeCancerCarePrograms_Colligan_SDC1_04252017.xlsx]Sheet1!$F$10:$F$15</c:f>
                <c:numCache>
                  <c:formatCode>General</c:formatCode>
                  <c:ptCount val="6"/>
                  <c:pt idx="0">
                    <c:v>4</c:v>
                  </c:pt>
                  <c:pt idx="1">
                    <c:v>7</c:v>
                  </c:pt>
                  <c:pt idx="2">
                    <c:v>6</c:v>
                  </c:pt>
                  <c:pt idx="3">
                    <c:v>7</c:v>
                  </c:pt>
                  <c:pt idx="4">
                    <c:v>17</c:v>
                  </c:pt>
                  <c:pt idx="5">
                    <c:v>16</c:v>
                  </c:pt>
                </c:numCache>
              </c:numRef>
            </c:minus>
            <c:spPr>
              <a:noFill/>
              <a:ln w="9525" cap="flat" cmpd="sng" algn="ctr">
                <a:solidFill>
                  <a:schemeClr val="tx1">
                    <a:lumMod val="65000"/>
                    <a:lumOff val="35000"/>
                  </a:schemeClr>
                </a:solidFill>
                <a:round/>
              </a:ln>
              <a:effectLst/>
            </c:spPr>
          </c:errBars>
          <c:cat>
            <c:multiLvlStrRef>
              <c:f>[TwoInnovativeCancerCarePrograms_Colligan_SDC1_04252017.xlsx]Sheet1!$B$4:$C$9</c:f>
              <c:multiLvlStrCache>
                <c:ptCount val="6"/>
                <c:lvl>
                  <c:pt idx="0">
                    <c:v>Pre</c:v>
                  </c:pt>
                  <c:pt idx="1">
                    <c:v>Post</c:v>
                  </c:pt>
                  <c:pt idx="2">
                    <c:v>Pre</c:v>
                  </c:pt>
                  <c:pt idx="3">
                    <c:v>Post</c:v>
                  </c:pt>
                  <c:pt idx="4">
                    <c:v>Pre</c:v>
                  </c:pt>
                  <c:pt idx="5">
                    <c:v>Post</c:v>
                  </c:pt>
                </c:lvl>
                <c:lvl>
                  <c:pt idx="0">
                    <c:v>Hospitalizations</c:v>
                  </c:pt>
                  <c:pt idx="2">
                    <c:v>ED Visits</c:v>
                  </c:pt>
                  <c:pt idx="4">
                    <c:v>30-Day Readmissions</c:v>
                  </c:pt>
                </c:lvl>
              </c:multiLvlStrCache>
            </c:multiLvlStrRef>
          </c:cat>
          <c:val>
            <c:numRef>
              <c:f>[TwoInnovativeCancerCarePrograms_Colligan_SDC1_04252017.xlsx]Sheet1!$F$4:$F$9</c:f>
              <c:numCache>
                <c:formatCode>General</c:formatCode>
                <c:ptCount val="6"/>
                <c:pt idx="0">
                  <c:v>89</c:v>
                </c:pt>
                <c:pt idx="1">
                  <c:v>136</c:v>
                </c:pt>
                <c:pt idx="2">
                  <c:v>111</c:v>
                </c:pt>
                <c:pt idx="3">
                  <c:v>148</c:v>
                </c:pt>
                <c:pt idx="4">
                  <c:v>174</c:v>
                </c:pt>
                <c:pt idx="5">
                  <c:v>183</c:v>
                </c:pt>
              </c:numCache>
            </c:numRef>
          </c:val>
        </c:ser>
        <c:ser>
          <c:idx val="1"/>
          <c:order val="1"/>
          <c:tx>
            <c:strRef>
              <c:f>[TwoInnovativeCancerCarePrograms_Colligan_SDC1_04252017.xlsx]Sheet1!$G$3</c:f>
              <c:strCache>
                <c:ptCount val="1"/>
                <c:pt idx="0">
                  <c:v>COME HOME</c:v>
                </c:pt>
              </c:strCache>
            </c:strRef>
          </c:tx>
          <c:spPr>
            <a:solidFill>
              <a:schemeClr val="bg1">
                <a:lumMod val="95000"/>
              </a:schemeClr>
            </a:solidFill>
            <a:ln>
              <a:solidFill>
                <a:schemeClr val="tx1"/>
              </a:solidFill>
            </a:ln>
            <a:effectLst/>
          </c:spPr>
          <c:invertIfNegative val="0"/>
          <c:errBars>
            <c:errBarType val="both"/>
            <c:errValType val="cust"/>
            <c:noEndCap val="0"/>
            <c:plus>
              <c:numRef>
                <c:f>[TwoInnovativeCancerCarePrograms_Colligan_SDC1_04252017.xlsx]Sheet1!$G$10:$G$15</c:f>
                <c:numCache>
                  <c:formatCode>General</c:formatCode>
                  <c:ptCount val="6"/>
                  <c:pt idx="0">
                    <c:v>4</c:v>
                  </c:pt>
                  <c:pt idx="1">
                    <c:v>6</c:v>
                  </c:pt>
                  <c:pt idx="2">
                    <c:v>6</c:v>
                  </c:pt>
                  <c:pt idx="3">
                    <c:v>6</c:v>
                  </c:pt>
                  <c:pt idx="4">
                    <c:v>17</c:v>
                  </c:pt>
                  <c:pt idx="5">
                    <c:v>16</c:v>
                  </c:pt>
                </c:numCache>
              </c:numRef>
            </c:plus>
            <c:minus>
              <c:numRef>
                <c:f>[TwoInnovativeCancerCarePrograms_Colligan_SDC1_04252017.xlsx]Sheet1!$G$10:$G$15</c:f>
                <c:numCache>
                  <c:formatCode>General</c:formatCode>
                  <c:ptCount val="6"/>
                  <c:pt idx="0">
                    <c:v>4</c:v>
                  </c:pt>
                  <c:pt idx="1">
                    <c:v>6</c:v>
                  </c:pt>
                  <c:pt idx="2">
                    <c:v>6</c:v>
                  </c:pt>
                  <c:pt idx="3">
                    <c:v>6</c:v>
                  </c:pt>
                  <c:pt idx="4">
                    <c:v>17</c:v>
                  </c:pt>
                  <c:pt idx="5">
                    <c:v>16</c:v>
                  </c:pt>
                </c:numCache>
              </c:numRef>
            </c:minus>
            <c:spPr>
              <a:noFill/>
              <a:ln w="9525" cap="flat" cmpd="sng" algn="ctr">
                <a:solidFill>
                  <a:schemeClr val="tx1">
                    <a:lumMod val="65000"/>
                    <a:lumOff val="35000"/>
                  </a:schemeClr>
                </a:solidFill>
                <a:round/>
              </a:ln>
              <a:effectLst/>
            </c:spPr>
          </c:errBars>
          <c:cat>
            <c:multiLvlStrRef>
              <c:f>[TwoInnovativeCancerCarePrograms_Colligan_SDC1_04252017.xlsx]Sheet1!$B$4:$C$9</c:f>
              <c:multiLvlStrCache>
                <c:ptCount val="6"/>
                <c:lvl>
                  <c:pt idx="0">
                    <c:v>Pre</c:v>
                  </c:pt>
                  <c:pt idx="1">
                    <c:v>Post</c:v>
                  </c:pt>
                  <c:pt idx="2">
                    <c:v>Pre</c:v>
                  </c:pt>
                  <c:pt idx="3">
                    <c:v>Post</c:v>
                  </c:pt>
                  <c:pt idx="4">
                    <c:v>Pre</c:v>
                  </c:pt>
                  <c:pt idx="5">
                    <c:v>Post</c:v>
                  </c:pt>
                </c:lvl>
                <c:lvl>
                  <c:pt idx="0">
                    <c:v>Hospitalizations</c:v>
                  </c:pt>
                  <c:pt idx="2">
                    <c:v>ED Visits</c:v>
                  </c:pt>
                  <c:pt idx="4">
                    <c:v>30-Day Readmissions</c:v>
                  </c:pt>
                </c:lvl>
              </c:multiLvlStrCache>
            </c:multiLvlStrRef>
          </c:cat>
          <c:val>
            <c:numRef>
              <c:f>[TwoInnovativeCancerCarePrograms_Colligan_SDC1_04252017.xlsx]Sheet1!$G$4:$G$9</c:f>
              <c:numCache>
                <c:formatCode>General</c:formatCode>
                <c:ptCount val="6"/>
                <c:pt idx="0">
                  <c:v>80</c:v>
                </c:pt>
                <c:pt idx="1">
                  <c:v>129</c:v>
                </c:pt>
                <c:pt idx="2">
                  <c:v>124</c:v>
                </c:pt>
                <c:pt idx="3">
                  <c:v>150</c:v>
                </c:pt>
                <c:pt idx="4">
                  <c:v>166</c:v>
                </c:pt>
                <c:pt idx="5">
                  <c:v>157</c:v>
                </c:pt>
              </c:numCache>
            </c:numRef>
          </c:val>
        </c:ser>
        <c:dLbls>
          <c:showLegendKey val="0"/>
          <c:showVal val="0"/>
          <c:showCatName val="0"/>
          <c:showSerName val="0"/>
          <c:showPercent val="0"/>
          <c:showBubbleSize val="0"/>
        </c:dLbls>
        <c:gapWidth val="120"/>
        <c:axId val="396835384"/>
        <c:axId val="396835776"/>
      </c:barChart>
      <c:catAx>
        <c:axId val="396835384"/>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96835776"/>
        <c:crosses val="autoZero"/>
        <c:auto val="1"/>
        <c:lblAlgn val="ctr"/>
        <c:lblOffset val="100"/>
        <c:noMultiLvlLbl val="0"/>
      </c:catAx>
      <c:valAx>
        <c:axId val="396835776"/>
        <c:scaling>
          <c:orientation val="minMax"/>
          <c:max val="250"/>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t>Utilization (per 1,000 Beneficiaries)</a:t>
                </a:r>
              </a:p>
            </c:rich>
          </c:tx>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96835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[TwoInnovativeCancerCarePrograms_Colligan_SDC1_04252017.xlsx]Sheet1!$D$3</c:f>
              <c:strCache>
                <c:ptCount val="1"/>
                <c:pt idx="0">
                  <c:v>Comparison</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[TwoInnovativeCancerCarePrograms_Colligan_SDC1_04252017.xlsx]Sheet1!$D$10:$D$15</c:f>
                <c:numCache>
                  <c:formatCode>General</c:formatCode>
                  <c:ptCount val="6"/>
                  <c:pt idx="0">
                    <c:v>5</c:v>
                  </c:pt>
                  <c:pt idx="1">
                    <c:v>9</c:v>
                  </c:pt>
                  <c:pt idx="2">
                    <c:v>6</c:v>
                  </c:pt>
                  <c:pt idx="3">
                    <c:v>10</c:v>
                  </c:pt>
                  <c:pt idx="4">
                    <c:v>17</c:v>
                  </c:pt>
                  <c:pt idx="5">
                    <c:v>17</c:v>
                  </c:pt>
                </c:numCache>
              </c:numRef>
            </c:plus>
            <c:minus>
              <c:numRef>
                <c:f>[TwoInnovativeCancerCarePrograms_Colligan_SDC1_04252017.xlsx]Sheet1!$D$10:$D$15</c:f>
                <c:numCache>
                  <c:formatCode>General</c:formatCode>
                  <c:ptCount val="6"/>
                  <c:pt idx="0">
                    <c:v>5</c:v>
                  </c:pt>
                  <c:pt idx="1">
                    <c:v>9</c:v>
                  </c:pt>
                  <c:pt idx="2">
                    <c:v>6</c:v>
                  </c:pt>
                  <c:pt idx="3">
                    <c:v>10</c:v>
                  </c:pt>
                  <c:pt idx="4">
                    <c:v>17</c:v>
                  </c:pt>
                  <c:pt idx="5">
                    <c:v>17</c:v>
                  </c:pt>
                </c:numCache>
              </c:numRef>
            </c:minus>
            <c:spPr>
              <a:noFill/>
              <a:ln w="9525" cap="flat" cmpd="sng" algn="ctr">
                <a:solidFill>
                  <a:schemeClr val="tx1">
                    <a:lumMod val="65000"/>
                    <a:lumOff val="35000"/>
                  </a:schemeClr>
                </a:solidFill>
                <a:round/>
              </a:ln>
              <a:effectLst/>
            </c:spPr>
          </c:errBars>
          <c:cat>
            <c:multiLvlStrRef>
              <c:f>[TwoInnovativeCancerCarePrograms_Colligan_SDC1_04252017.xlsx]Sheet1!$B$4:$C$9</c:f>
              <c:multiLvlStrCache>
                <c:ptCount val="6"/>
                <c:lvl>
                  <c:pt idx="0">
                    <c:v>Pre</c:v>
                  </c:pt>
                  <c:pt idx="1">
                    <c:v>Post</c:v>
                  </c:pt>
                  <c:pt idx="2">
                    <c:v>Pre</c:v>
                  </c:pt>
                  <c:pt idx="3">
                    <c:v>Post</c:v>
                  </c:pt>
                  <c:pt idx="4">
                    <c:v>Pre</c:v>
                  </c:pt>
                  <c:pt idx="5">
                    <c:v>Post</c:v>
                  </c:pt>
                </c:lvl>
                <c:lvl>
                  <c:pt idx="0">
                    <c:v>Hospitalizations</c:v>
                  </c:pt>
                  <c:pt idx="2">
                    <c:v>ED Visits</c:v>
                  </c:pt>
                  <c:pt idx="4">
                    <c:v>30-Day Readmissions</c:v>
                  </c:pt>
                </c:lvl>
              </c:multiLvlStrCache>
            </c:multiLvlStrRef>
          </c:cat>
          <c:val>
            <c:numRef>
              <c:f>[TwoInnovativeCancerCarePrograms_Colligan_SDC1_04252017.xlsx]Sheet1!$D$4:$D$9</c:f>
              <c:numCache>
                <c:formatCode>General</c:formatCode>
                <c:ptCount val="6"/>
                <c:pt idx="0">
                  <c:v>103</c:v>
                </c:pt>
                <c:pt idx="1">
                  <c:v>198</c:v>
                </c:pt>
                <c:pt idx="2">
                  <c:v>127</c:v>
                </c:pt>
                <c:pt idx="3">
                  <c:v>219</c:v>
                </c:pt>
                <c:pt idx="4">
                  <c:v>196</c:v>
                </c:pt>
                <c:pt idx="5">
                  <c:v>204</c:v>
                </c:pt>
              </c:numCache>
            </c:numRef>
          </c:val>
        </c:ser>
        <c:ser>
          <c:idx val="1"/>
          <c:order val="1"/>
          <c:tx>
            <c:strRef>
              <c:f>[TwoInnovativeCancerCarePrograms_Colligan_SDC1_04252017.xlsx]Sheet1!$E$3</c:f>
              <c:strCache>
                <c:ptCount val="1"/>
                <c:pt idx="0">
                  <c:v>PCCP</c:v>
                </c:pt>
              </c:strCache>
            </c:strRef>
          </c:tx>
          <c:spPr>
            <a:solidFill>
              <a:schemeClr val="bg1">
                <a:lumMod val="95000"/>
              </a:schemeClr>
            </a:solidFill>
            <a:ln>
              <a:solidFill>
                <a:schemeClr val="tx1"/>
              </a:solidFill>
            </a:ln>
            <a:effectLst/>
          </c:spPr>
          <c:invertIfNegative val="0"/>
          <c:errBars>
            <c:errBarType val="both"/>
            <c:errValType val="cust"/>
            <c:noEndCap val="0"/>
            <c:plus>
              <c:numRef>
                <c:f>[TwoInnovativeCancerCarePrograms_Colligan_SDC1_04252017.xlsx]Sheet1!$E$10:$E$15</c:f>
                <c:numCache>
                  <c:formatCode>General</c:formatCode>
                  <c:ptCount val="6"/>
                  <c:pt idx="0">
                    <c:v>4</c:v>
                  </c:pt>
                  <c:pt idx="1">
                    <c:v>8</c:v>
                  </c:pt>
                  <c:pt idx="2">
                    <c:v>6</c:v>
                  </c:pt>
                  <c:pt idx="3">
                    <c:v>9</c:v>
                  </c:pt>
                  <c:pt idx="4">
                    <c:v>15</c:v>
                  </c:pt>
                  <c:pt idx="5">
                    <c:v>17</c:v>
                  </c:pt>
                </c:numCache>
              </c:numRef>
            </c:plus>
            <c:minus>
              <c:numRef>
                <c:f>[TwoInnovativeCancerCarePrograms_Colligan_SDC1_04252017.xlsx]Sheet1!$E$10:$E$15</c:f>
                <c:numCache>
                  <c:formatCode>General</c:formatCode>
                  <c:ptCount val="6"/>
                  <c:pt idx="0">
                    <c:v>4</c:v>
                  </c:pt>
                  <c:pt idx="1">
                    <c:v>8</c:v>
                  </c:pt>
                  <c:pt idx="2">
                    <c:v>6</c:v>
                  </c:pt>
                  <c:pt idx="3">
                    <c:v>9</c:v>
                  </c:pt>
                  <c:pt idx="4">
                    <c:v>15</c:v>
                  </c:pt>
                  <c:pt idx="5">
                    <c:v>17</c:v>
                  </c:pt>
                </c:numCache>
              </c:numRef>
            </c:minus>
            <c:spPr>
              <a:noFill/>
              <a:ln w="9525" cap="flat" cmpd="sng" algn="ctr">
                <a:solidFill>
                  <a:schemeClr val="tx1">
                    <a:lumMod val="65000"/>
                    <a:lumOff val="35000"/>
                  </a:schemeClr>
                </a:solidFill>
                <a:round/>
              </a:ln>
              <a:effectLst/>
            </c:spPr>
          </c:errBars>
          <c:cat>
            <c:multiLvlStrRef>
              <c:f>[TwoInnovativeCancerCarePrograms_Colligan_SDC1_04252017.xlsx]Sheet1!$B$4:$C$9</c:f>
              <c:multiLvlStrCache>
                <c:ptCount val="6"/>
                <c:lvl>
                  <c:pt idx="0">
                    <c:v>Pre</c:v>
                  </c:pt>
                  <c:pt idx="1">
                    <c:v>Post</c:v>
                  </c:pt>
                  <c:pt idx="2">
                    <c:v>Pre</c:v>
                  </c:pt>
                  <c:pt idx="3">
                    <c:v>Post</c:v>
                  </c:pt>
                  <c:pt idx="4">
                    <c:v>Pre</c:v>
                  </c:pt>
                  <c:pt idx="5">
                    <c:v>Post</c:v>
                  </c:pt>
                </c:lvl>
                <c:lvl>
                  <c:pt idx="0">
                    <c:v>Hospitalizations</c:v>
                  </c:pt>
                  <c:pt idx="2">
                    <c:v>ED Visits</c:v>
                  </c:pt>
                  <c:pt idx="4">
                    <c:v>30-Day Readmissions</c:v>
                  </c:pt>
                </c:lvl>
              </c:multiLvlStrCache>
            </c:multiLvlStrRef>
          </c:cat>
          <c:val>
            <c:numRef>
              <c:f>[TwoInnovativeCancerCarePrograms_Colligan_SDC1_04252017.xlsx]Sheet1!$E$4:$E$9</c:f>
              <c:numCache>
                <c:formatCode>General</c:formatCode>
                <c:ptCount val="6"/>
                <c:pt idx="0">
                  <c:v>95</c:v>
                </c:pt>
                <c:pt idx="1">
                  <c:v>167</c:v>
                </c:pt>
                <c:pt idx="2">
                  <c:v>128</c:v>
                </c:pt>
                <c:pt idx="3">
                  <c:v>191</c:v>
                </c:pt>
                <c:pt idx="4">
                  <c:v>163</c:v>
                </c:pt>
                <c:pt idx="5">
                  <c:v>177</c:v>
                </c:pt>
              </c:numCache>
            </c:numRef>
          </c:val>
        </c:ser>
        <c:dLbls>
          <c:showLegendKey val="0"/>
          <c:showVal val="0"/>
          <c:showCatName val="0"/>
          <c:showSerName val="0"/>
          <c:showPercent val="0"/>
          <c:showBubbleSize val="0"/>
        </c:dLbls>
        <c:gapWidth val="120"/>
        <c:axId val="492864088"/>
        <c:axId val="492864480"/>
      </c:barChart>
      <c:catAx>
        <c:axId val="492864088"/>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92864480"/>
        <c:crosses val="autoZero"/>
        <c:auto val="1"/>
        <c:lblAlgn val="ctr"/>
        <c:lblOffset val="100"/>
        <c:noMultiLvlLbl val="0"/>
      </c:catAx>
      <c:valAx>
        <c:axId val="492864480"/>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t>Utilization (per 1,000 Beneficiaries)</a:t>
                </a:r>
              </a:p>
            </c:rich>
          </c:tx>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92864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[TwoInnovativeCancerCarePrograms_Colligan_SDC1_04252017.xlsx]Sheet1!$N$3</c:f>
              <c:strCache>
                <c:ptCount val="1"/>
                <c:pt idx="0">
                  <c:v>Comparison</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[TwoInnovativeCancerCarePrograms_Colligan_SDC1_04252017.xlsx]Sheet1!$N$6:$N$7</c:f>
                <c:numCache>
                  <c:formatCode>General</c:formatCode>
                  <c:ptCount val="2"/>
                  <c:pt idx="0">
                    <c:v>153</c:v>
                  </c:pt>
                  <c:pt idx="1">
                    <c:v>474</c:v>
                  </c:pt>
                </c:numCache>
              </c:numRef>
            </c:plus>
            <c:minus>
              <c:numRef>
                <c:f>[TwoInnovativeCancerCarePrograms_Colligan_SDC1_04252017.xlsx]Sheet1!$N$6:$N$7</c:f>
                <c:numCache>
                  <c:formatCode>General</c:formatCode>
                  <c:ptCount val="2"/>
                  <c:pt idx="0">
                    <c:v>153</c:v>
                  </c:pt>
                  <c:pt idx="1">
                    <c:v>474</c:v>
                  </c:pt>
                </c:numCache>
              </c:numRef>
            </c:minus>
            <c:spPr>
              <a:noFill/>
              <a:ln w="9525" cap="flat" cmpd="sng" algn="ctr">
                <a:solidFill>
                  <a:schemeClr val="tx1">
                    <a:lumMod val="65000"/>
                    <a:lumOff val="35000"/>
                  </a:schemeClr>
                </a:solidFill>
                <a:round/>
              </a:ln>
              <a:effectLst/>
            </c:spPr>
          </c:errBars>
          <c:cat>
            <c:strRef>
              <c:f>[TwoInnovativeCancerCarePrograms_Colligan_SDC1_04252017.xlsx]Sheet1!$K$4:$K$5</c:f>
              <c:strCache>
                <c:ptCount val="2"/>
                <c:pt idx="0">
                  <c:v>Pre</c:v>
                </c:pt>
                <c:pt idx="1">
                  <c:v>Post</c:v>
                </c:pt>
              </c:strCache>
            </c:strRef>
          </c:cat>
          <c:val>
            <c:numRef>
              <c:f>[TwoInnovativeCancerCarePrograms_Colligan_SDC1_04252017.xlsx]Sheet1!$N$4:$N$5</c:f>
              <c:numCache>
                <c:formatCode>General</c:formatCode>
                <c:ptCount val="2"/>
                <c:pt idx="0">
                  <c:v>3421</c:v>
                </c:pt>
                <c:pt idx="1">
                  <c:v>8089</c:v>
                </c:pt>
              </c:numCache>
            </c:numRef>
          </c:val>
        </c:ser>
        <c:ser>
          <c:idx val="1"/>
          <c:order val="1"/>
          <c:tx>
            <c:strRef>
              <c:f>[TwoInnovativeCancerCarePrograms_Colligan_SDC1_04252017.xlsx]Sheet1!$O$3</c:f>
              <c:strCache>
                <c:ptCount val="1"/>
                <c:pt idx="0">
                  <c:v>COME HOME</c:v>
                </c:pt>
              </c:strCache>
            </c:strRef>
          </c:tx>
          <c:spPr>
            <a:solidFill>
              <a:schemeClr val="bg1">
                <a:lumMod val="95000"/>
              </a:schemeClr>
            </a:solidFill>
            <a:ln>
              <a:solidFill>
                <a:schemeClr val="tx1"/>
              </a:solidFill>
            </a:ln>
            <a:effectLst/>
          </c:spPr>
          <c:invertIfNegative val="0"/>
          <c:errBars>
            <c:errBarType val="both"/>
            <c:errValType val="cust"/>
            <c:noEndCap val="0"/>
            <c:plus>
              <c:numRef>
                <c:f>[TwoInnovativeCancerCarePrograms_Colligan_SDC1_04252017.xlsx]Sheet1!$O$6:$O$7</c:f>
                <c:numCache>
                  <c:formatCode>General</c:formatCode>
                  <c:ptCount val="2"/>
                  <c:pt idx="0">
                    <c:v>137</c:v>
                  </c:pt>
                  <c:pt idx="1">
                    <c:v>290</c:v>
                  </c:pt>
                </c:numCache>
              </c:numRef>
            </c:plus>
            <c:minus>
              <c:numRef>
                <c:f>[TwoInnovativeCancerCarePrograms_Colligan_SDC1_04252017.xlsx]Sheet1!$O$6:$O$7</c:f>
                <c:numCache>
                  <c:formatCode>General</c:formatCode>
                  <c:ptCount val="2"/>
                  <c:pt idx="0">
                    <c:v>137</c:v>
                  </c:pt>
                  <c:pt idx="1">
                    <c:v>290</c:v>
                  </c:pt>
                </c:numCache>
              </c:numRef>
            </c:minus>
            <c:spPr>
              <a:noFill/>
              <a:ln w="9525" cap="flat" cmpd="sng" algn="ctr">
                <a:solidFill>
                  <a:schemeClr val="tx1">
                    <a:lumMod val="65000"/>
                    <a:lumOff val="35000"/>
                  </a:schemeClr>
                </a:solidFill>
                <a:round/>
              </a:ln>
              <a:effectLst/>
            </c:spPr>
          </c:errBars>
          <c:cat>
            <c:strRef>
              <c:f>[TwoInnovativeCancerCarePrograms_Colligan_SDC1_04252017.xlsx]Sheet1!$K$4:$K$5</c:f>
              <c:strCache>
                <c:ptCount val="2"/>
                <c:pt idx="0">
                  <c:v>Pre</c:v>
                </c:pt>
                <c:pt idx="1">
                  <c:v>Post</c:v>
                </c:pt>
              </c:strCache>
            </c:strRef>
          </c:cat>
          <c:val>
            <c:numRef>
              <c:f>[TwoInnovativeCancerCarePrograms_Colligan_SDC1_04252017.xlsx]Sheet1!$O$4:$O$5</c:f>
              <c:numCache>
                <c:formatCode>General</c:formatCode>
                <c:ptCount val="2"/>
                <c:pt idx="0">
                  <c:v>3298</c:v>
                </c:pt>
                <c:pt idx="1">
                  <c:v>7594</c:v>
                </c:pt>
              </c:numCache>
            </c:numRef>
          </c:val>
        </c:ser>
        <c:dLbls>
          <c:showLegendKey val="0"/>
          <c:showVal val="0"/>
          <c:showCatName val="0"/>
          <c:showSerName val="0"/>
          <c:showPercent val="0"/>
          <c:showBubbleSize val="0"/>
        </c:dLbls>
        <c:gapWidth val="120"/>
        <c:axId val="492865656"/>
        <c:axId val="492864872"/>
      </c:barChart>
      <c:catAx>
        <c:axId val="492865656"/>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92864872"/>
        <c:crosses val="autoZero"/>
        <c:auto val="1"/>
        <c:lblAlgn val="ctr"/>
        <c:lblOffset val="100"/>
        <c:noMultiLvlLbl val="0"/>
      </c:catAx>
      <c:valAx>
        <c:axId val="492864872"/>
        <c:scaling>
          <c:orientation val="minMax"/>
          <c:max val="12000"/>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Cost per Beneficiary ($)</a:t>
                </a:r>
              </a:p>
            </c:rich>
          </c:tx>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92865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1">
          <a:latin typeface="Arial" panose="020B060402020202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[TwoInnovativeCancerCarePrograms_Colligan_SDC1_04252017.xlsx]Sheet1!$L$3</c:f>
              <c:strCache>
                <c:ptCount val="1"/>
                <c:pt idx="0">
                  <c:v>Comparison</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[TwoInnovativeCancerCarePrograms_Colligan_SDC1_04252017.xlsx]Sheet1!$L$6:$L$7</c:f>
                <c:numCache>
                  <c:formatCode>General</c:formatCode>
                  <c:ptCount val="2"/>
                  <c:pt idx="0">
                    <c:v>188</c:v>
                  </c:pt>
                  <c:pt idx="1">
                    <c:v>351</c:v>
                  </c:pt>
                </c:numCache>
              </c:numRef>
            </c:plus>
            <c:minus>
              <c:numRef>
                <c:f>[TwoInnovativeCancerCarePrograms_Colligan_SDC1_04252017.xlsx]Sheet1!$L$6:$L$7</c:f>
                <c:numCache>
                  <c:formatCode>General</c:formatCode>
                  <c:ptCount val="2"/>
                  <c:pt idx="0">
                    <c:v>188</c:v>
                  </c:pt>
                  <c:pt idx="1">
                    <c:v>351</c:v>
                  </c:pt>
                </c:numCache>
              </c:numRef>
            </c:minus>
            <c:spPr>
              <a:noFill/>
              <a:ln w="9525" cap="flat" cmpd="sng" algn="ctr">
                <a:solidFill>
                  <a:schemeClr val="tx1">
                    <a:lumMod val="65000"/>
                    <a:lumOff val="35000"/>
                  </a:schemeClr>
                </a:solidFill>
                <a:round/>
              </a:ln>
              <a:effectLst/>
            </c:spPr>
          </c:errBars>
          <c:cat>
            <c:strRef>
              <c:f>[TwoInnovativeCancerCarePrograms_Colligan_SDC1_04252017.xlsx]Sheet1!$K$4:$K$5</c:f>
              <c:strCache>
                <c:ptCount val="2"/>
                <c:pt idx="0">
                  <c:v>Pre</c:v>
                </c:pt>
                <c:pt idx="1">
                  <c:v>Post</c:v>
                </c:pt>
              </c:strCache>
            </c:strRef>
          </c:cat>
          <c:val>
            <c:numRef>
              <c:f>[TwoInnovativeCancerCarePrograms_Colligan_SDC1_04252017.xlsx]Sheet1!$L$4:$L$5</c:f>
              <c:numCache>
                <c:formatCode>General</c:formatCode>
                <c:ptCount val="2"/>
                <c:pt idx="0">
                  <c:v>4597</c:v>
                </c:pt>
                <c:pt idx="1">
                  <c:v>9759</c:v>
                </c:pt>
              </c:numCache>
            </c:numRef>
          </c:val>
        </c:ser>
        <c:ser>
          <c:idx val="1"/>
          <c:order val="1"/>
          <c:tx>
            <c:strRef>
              <c:f>[TwoInnovativeCancerCarePrograms_Colligan_SDC1_04252017.xlsx]Sheet1!$M$3</c:f>
              <c:strCache>
                <c:ptCount val="1"/>
                <c:pt idx="0">
                  <c:v>PCCP</c:v>
                </c:pt>
              </c:strCache>
            </c:strRef>
          </c:tx>
          <c:spPr>
            <a:solidFill>
              <a:schemeClr val="bg1">
                <a:lumMod val="95000"/>
              </a:schemeClr>
            </a:solidFill>
            <a:ln>
              <a:solidFill>
                <a:schemeClr val="tx1"/>
              </a:solidFill>
            </a:ln>
            <a:effectLst/>
          </c:spPr>
          <c:invertIfNegative val="0"/>
          <c:errBars>
            <c:errBarType val="both"/>
            <c:errValType val="cust"/>
            <c:noEndCap val="0"/>
            <c:plus>
              <c:numRef>
                <c:f>[TwoInnovativeCancerCarePrograms_Colligan_SDC1_04252017.xlsx]Sheet1!$M$6:$M$7</c:f>
                <c:numCache>
                  <c:formatCode>General</c:formatCode>
                  <c:ptCount val="2"/>
                  <c:pt idx="0">
                    <c:v>163</c:v>
                  </c:pt>
                  <c:pt idx="1">
                    <c:v>351</c:v>
                  </c:pt>
                </c:numCache>
              </c:numRef>
            </c:plus>
            <c:minus>
              <c:numRef>
                <c:f>[TwoInnovativeCancerCarePrograms_Colligan_SDC1_04252017.xlsx]Sheet1!$M$6:$M$7</c:f>
                <c:numCache>
                  <c:formatCode>General</c:formatCode>
                  <c:ptCount val="2"/>
                  <c:pt idx="0">
                    <c:v>163</c:v>
                  </c:pt>
                  <c:pt idx="1">
                    <c:v>351</c:v>
                  </c:pt>
                </c:numCache>
              </c:numRef>
            </c:minus>
            <c:spPr>
              <a:noFill/>
              <a:ln w="9525" cap="flat" cmpd="sng" algn="ctr">
                <a:solidFill>
                  <a:schemeClr val="tx1">
                    <a:lumMod val="65000"/>
                    <a:lumOff val="35000"/>
                  </a:schemeClr>
                </a:solidFill>
                <a:round/>
              </a:ln>
              <a:effectLst/>
            </c:spPr>
          </c:errBars>
          <c:cat>
            <c:strRef>
              <c:f>[TwoInnovativeCancerCarePrograms_Colligan_SDC1_04252017.xlsx]Sheet1!$K$4:$K$5</c:f>
              <c:strCache>
                <c:ptCount val="2"/>
                <c:pt idx="0">
                  <c:v>Pre</c:v>
                </c:pt>
                <c:pt idx="1">
                  <c:v>Post</c:v>
                </c:pt>
              </c:strCache>
            </c:strRef>
          </c:cat>
          <c:val>
            <c:numRef>
              <c:f>[TwoInnovativeCancerCarePrograms_Colligan_SDC1_04252017.xlsx]Sheet1!$M$4:$M$5</c:f>
              <c:numCache>
                <c:formatCode>General</c:formatCode>
                <c:ptCount val="2"/>
                <c:pt idx="0">
                  <c:v>4193</c:v>
                </c:pt>
                <c:pt idx="1">
                  <c:v>8987</c:v>
                </c:pt>
              </c:numCache>
            </c:numRef>
          </c:val>
        </c:ser>
        <c:dLbls>
          <c:showLegendKey val="0"/>
          <c:showVal val="0"/>
          <c:showCatName val="0"/>
          <c:showSerName val="0"/>
          <c:showPercent val="0"/>
          <c:showBubbleSize val="0"/>
        </c:dLbls>
        <c:gapWidth val="120"/>
        <c:axId val="492865264"/>
        <c:axId val="492867224"/>
      </c:barChart>
      <c:catAx>
        <c:axId val="492865264"/>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92867224"/>
        <c:crosses val="autoZero"/>
        <c:auto val="1"/>
        <c:lblAlgn val="ctr"/>
        <c:lblOffset val="100"/>
        <c:noMultiLvlLbl val="0"/>
      </c:catAx>
      <c:valAx>
        <c:axId val="492867224"/>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t>Cost per Beneficiary ($)</a:t>
                </a:r>
              </a:p>
            </c:rich>
          </c:tx>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92865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0.14411</cdr:x>
      <cdr:y>0.4517</cdr:y>
    </cdr:from>
    <cdr:to>
      <cdr:x>0.20677</cdr:x>
      <cdr:y>0.51697</cdr:y>
    </cdr:to>
    <cdr:sp macro="" textlink="">
      <cdr:nvSpPr>
        <cdr:cNvPr id="2" name="Text Box 1"/>
        <cdr:cNvSpPr txBox="1"/>
      </cdr:nvSpPr>
      <cdr:spPr>
        <a:xfrm xmlns:a="http://schemas.openxmlformats.org/drawingml/2006/main">
          <a:off x="876300" y="1647825"/>
          <a:ext cx="3810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0.43546</cdr:x>
      <cdr:y>0.34726</cdr:y>
    </cdr:from>
    <cdr:to>
      <cdr:x>0.49812</cdr:x>
      <cdr:y>0.39164</cdr:y>
    </cdr:to>
    <cdr:sp macro="" textlink="">
      <cdr:nvSpPr>
        <cdr:cNvPr id="3" name="Text Box 2"/>
        <cdr:cNvSpPr txBox="1"/>
      </cdr:nvSpPr>
      <cdr:spPr>
        <a:xfrm xmlns:a="http://schemas.openxmlformats.org/drawingml/2006/main">
          <a:off x="2647951" y="1266825"/>
          <a:ext cx="381000"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0.88972</cdr:x>
      <cdr:y>0.13577</cdr:y>
    </cdr:from>
    <cdr:to>
      <cdr:x>0.92575</cdr:x>
      <cdr:y>0.18538</cdr:y>
    </cdr:to>
    <cdr:sp macro="" textlink="">
      <cdr:nvSpPr>
        <cdr:cNvPr id="4" name="Text Box 3"/>
        <cdr:cNvSpPr txBox="1"/>
      </cdr:nvSpPr>
      <cdr:spPr>
        <a:xfrm xmlns:a="http://schemas.openxmlformats.org/drawingml/2006/main">
          <a:off x="5410200" y="495300"/>
          <a:ext cx="21907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0.1536</cdr:x>
      <cdr:y>0.41014</cdr:y>
    </cdr:from>
    <cdr:to>
      <cdr:x>0.221</cdr:x>
      <cdr:y>0.46238</cdr:y>
    </cdr:to>
    <cdr:sp macro="" textlink="">
      <cdr:nvSpPr>
        <cdr:cNvPr id="2" name="Text Box 1"/>
        <cdr:cNvSpPr txBox="1"/>
      </cdr:nvSpPr>
      <cdr:spPr>
        <a:xfrm xmlns:a="http://schemas.openxmlformats.org/drawingml/2006/main">
          <a:off x="933449" y="1495424"/>
          <a:ext cx="409576" cy="1905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0.26385</cdr:x>
      <cdr:y>0.12365</cdr:y>
    </cdr:from>
    <cdr:to>
      <cdr:x>0.28579</cdr:x>
      <cdr:y>0.16022</cdr:y>
    </cdr:to>
    <cdr:sp macro="" textlink="">
      <cdr:nvSpPr>
        <cdr:cNvPr id="3" name="Text Box 1"/>
        <cdr:cNvSpPr txBox="1"/>
      </cdr:nvSpPr>
      <cdr:spPr>
        <a:xfrm xmlns:a="http://schemas.openxmlformats.org/drawingml/2006/main">
          <a:off x="1603375" y="450850"/>
          <a:ext cx="133350" cy="133350"/>
        </a:xfrm>
        <a:prstGeom xmlns:a="http://schemas.openxmlformats.org/drawingml/2006/main" prst="rect">
          <a:avLst/>
        </a:prstGeom>
      </cdr:spPr>
    </cdr:sp>
  </cdr:relSizeAnchor>
  <cdr:relSizeAnchor xmlns:cdr="http://schemas.openxmlformats.org/drawingml/2006/chartDrawing">
    <cdr:from>
      <cdr:x>0.28997</cdr:x>
      <cdr:y>0.10711</cdr:y>
    </cdr:from>
    <cdr:to>
      <cdr:x>0.3652</cdr:x>
      <cdr:y>0.15935</cdr:y>
    </cdr:to>
    <cdr:sp macro="" textlink="">
      <cdr:nvSpPr>
        <cdr:cNvPr id="4" name="Text Box 3"/>
        <cdr:cNvSpPr txBox="1"/>
      </cdr:nvSpPr>
      <cdr:spPr>
        <a:xfrm xmlns:a="http://schemas.openxmlformats.org/drawingml/2006/main">
          <a:off x="1762125" y="390525"/>
          <a:ext cx="4572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0.5815</cdr:x>
      <cdr:y>0.03918</cdr:y>
    </cdr:from>
    <cdr:to>
      <cdr:x>0.66771</cdr:x>
      <cdr:y>0.10972</cdr:y>
    </cdr:to>
    <cdr:sp macro="" textlink="">
      <cdr:nvSpPr>
        <cdr:cNvPr id="5" name="Text Box 4"/>
        <cdr:cNvSpPr txBox="1"/>
      </cdr:nvSpPr>
      <cdr:spPr>
        <a:xfrm xmlns:a="http://schemas.openxmlformats.org/drawingml/2006/main">
          <a:off x="3533775" y="142875"/>
          <a:ext cx="5238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0.73981</cdr:x>
      <cdr:y>0.09143</cdr:y>
    </cdr:from>
    <cdr:to>
      <cdr:x>0.81034</cdr:x>
      <cdr:y>0.14107</cdr:y>
    </cdr:to>
    <cdr:sp macro="" textlink="">
      <cdr:nvSpPr>
        <cdr:cNvPr id="6" name="Text Box 5"/>
        <cdr:cNvSpPr txBox="1"/>
      </cdr:nvSpPr>
      <cdr:spPr>
        <a:xfrm xmlns:a="http://schemas.openxmlformats.org/drawingml/2006/main">
          <a:off x="4495799" y="333375"/>
          <a:ext cx="42862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0.88245</cdr:x>
      <cdr:y>0.06531</cdr:y>
    </cdr:from>
    <cdr:to>
      <cdr:x>0.94514</cdr:x>
      <cdr:y>0.12017</cdr:y>
    </cdr:to>
    <cdr:sp macro="" textlink="">
      <cdr:nvSpPr>
        <cdr:cNvPr id="7" name="Text Box 6"/>
        <cdr:cNvSpPr txBox="1"/>
      </cdr:nvSpPr>
      <cdr:spPr>
        <a:xfrm xmlns:a="http://schemas.openxmlformats.org/drawingml/2006/main">
          <a:off x="5362575" y="238125"/>
          <a:ext cx="3810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0.30545</cdr:x>
      <cdr:y>0.46475</cdr:y>
    </cdr:from>
    <cdr:to>
      <cdr:x>0.37124</cdr:x>
      <cdr:y>0.53003</cdr:y>
    </cdr:to>
    <cdr:sp macro="" textlink="">
      <cdr:nvSpPr>
        <cdr:cNvPr id="2" name="Text Box 1"/>
        <cdr:cNvSpPr txBox="1"/>
      </cdr:nvSpPr>
      <cdr:spPr>
        <a:xfrm xmlns:a="http://schemas.openxmlformats.org/drawingml/2006/main">
          <a:off x="1857375" y="1695450"/>
          <a:ext cx="4000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0.24175</cdr:x>
      <cdr:y>0.27502</cdr:y>
    </cdr:from>
    <cdr:to>
      <cdr:x>0.26681</cdr:x>
      <cdr:y>0.3403</cdr:y>
    </cdr:to>
    <cdr:sp macro="" textlink="">
      <cdr:nvSpPr>
        <cdr:cNvPr id="3" name="Text Box 1"/>
        <cdr:cNvSpPr txBox="1"/>
      </cdr:nvSpPr>
      <cdr:spPr>
        <a:xfrm xmlns:a="http://schemas.openxmlformats.org/drawingml/2006/main">
          <a:off x="1470025" y="1003300"/>
          <a:ext cx="152400" cy="238125"/>
        </a:xfrm>
        <a:prstGeom xmlns:a="http://schemas.openxmlformats.org/drawingml/2006/main" prst="rect">
          <a:avLst/>
        </a:prstGeom>
      </cdr:spPr>
    </cdr:sp>
  </cdr:relSizeAnchor>
  <cdr:relSizeAnchor xmlns:cdr="http://schemas.openxmlformats.org/drawingml/2006/chartDrawing">
    <cdr:from>
      <cdr:x>0.73778</cdr:x>
      <cdr:y>0.10966</cdr:y>
    </cdr:from>
    <cdr:to>
      <cdr:x>0.80514</cdr:x>
      <cdr:y>0.16971</cdr:y>
    </cdr:to>
    <cdr:sp macro="" textlink="">
      <cdr:nvSpPr>
        <cdr:cNvPr id="4" name="Text Box 3"/>
        <cdr:cNvSpPr txBox="1"/>
      </cdr:nvSpPr>
      <cdr:spPr>
        <a:xfrm xmlns:a="http://schemas.openxmlformats.org/drawingml/2006/main">
          <a:off x="4486275" y="400050"/>
          <a:ext cx="4095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Colligan</dc:creator>
  <cp:keywords/>
  <dc:description/>
  <cp:lastModifiedBy>Erin Colligan</cp:lastModifiedBy>
  <cp:revision>2</cp:revision>
  <dcterms:created xsi:type="dcterms:W3CDTF">2017-05-25T00:06:00Z</dcterms:created>
  <dcterms:modified xsi:type="dcterms:W3CDTF">2017-05-25T00:06:00Z</dcterms:modified>
</cp:coreProperties>
</file>