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C0" w:rsidRDefault="004E0AC0" w:rsidP="004E0AC0">
      <w:pPr>
        <w:spacing w:line="480" w:lineRule="auto"/>
        <w:outlineLvl w:val="0"/>
        <w:rPr>
          <w:b/>
        </w:rPr>
      </w:pPr>
      <w:r>
        <w:rPr>
          <w:b/>
        </w:rPr>
        <w:t>Supplementary Digital Content 4. Sample Size Calculation for Chart Review</w:t>
      </w:r>
    </w:p>
    <w:p w:rsidR="004E0AC0" w:rsidRDefault="004E0AC0" w:rsidP="004E0AC0">
      <w:pPr>
        <w:spacing w:line="480" w:lineRule="auto"/>
      </w:pPr>
      <w:r>
        <w:t>We considered a range of feasible sample sizes (</w:t>
      </w:r>
      <m:oMath>
        <m:r>
          <w:rPr>
            <w:rFonts w:ascii="Cambria Math" w:hAnsi="Cambria Math"/>
          </w:rPr>
          <m:t>n</m:t>
        </m:r>
      </m:oMath>
      <w:r>
        <w:t>) and estimated the 95% one-sided confidence lower bounds (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</m:oMath>
      <w:r>
        <w:t>) for a pre-determined sample PPV/NPV (</w:t>
      </w:r>
      <m:oMath>
        <m:acc>
          <m:accPr>
            <m:ctrlPr>
              <w:rPr>
                <w:rFonts w:ascii="Cambria Math" w:eastAsia="Arial Unicode MS" w:hAnsi="Cambria Math" w:cs="Arial Unicode MS"/>
                <w:i/>
              </w:rPr>
            </m:ctrlPr>
          </m:accPr>
          <m:e>
            <m:r>
              <w:rPr>
                <w:rFonts w:ascii="Cambria Math" w:eastAsia="Arial Unicode MS" w:hAnsi="Cambria Math" w:cs="Arial Unicode MS"/>
              </w:rPr>
              <m:t>p</m:t>
            </m:r>
          </m:e>
        </m:acc>
      </m:oMath>
      <w:r>
        <w:t>). Lower bound was based on a proportion test. Bonferroni correction was used to adjust alpha (</w:t>
      </w:r>
      <m:oMath>
        <m:r>
          <w:rPr>
            <w:rFonts w:ascii="Cambria Math" w:hAnsi="Cambria Math"/>
          </w:rPr>
          <m:t>α</m:t>
        </m:r>
      </m:oMath>
      <w:r>
        <w:t xml:space="preserve">) for two comparisons (PPV/NPV) with an overall </w:t>
      </w:r>
      <m:oMath>
        <m:r>
          <w:rPr>
            <w:rFonts w:ascii="Cambria Math" w:hAnsi="Cambria Math"/>
          </w:rPr>
          <m:t>α</m:t>
        </m:r>
      </m:oMath>
      <w:r>
        <w:t xml:space="preserve"> = 0.05. For example, if a random sample of 100 candidate cases are reviewed and the sample PPV reaches 95.0%, the confidence lower bound will be at least 90.7% and we can confidently claim that true PPV is greater than 90%, which is expected to be sufficient for accurately describing aspirin exposure.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4E0AC0" w:rsidTr="00A24AEE">
        <w:trPr>
          <w:trHeight w:val="20"/>
        </w:trPr>
        <w:tc>
          <w:tcPr>
            <w:tcW w:w="1666" w:type="pct"/>
          </w:tcPr>
          <w:p w:rsidR="004E0AC0" w:rsidRDefault="004E0AC0" w:rsidP="00A24AEE">
            <w:pPr>
              <w:rPr>
                <w:sz w:val="22"/>
              </w:rPr>
            </w:pPr>
            <w:r w:rsidRPr="00CE77A8">
              <w:rPr>
                <w:sz w:val="22"/>
              </w:rPr>
              <w:t>Sample Size</w:t>
            </w:r>
            <w:r>
              <w:rPr>
                <w:sz w:val="22"/>
              </w:rPr>
              <w:t xml:space="preserve"> (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sz w:val="22"/>
              </w:rPr>
              <w:t>)</w:t>
            </w:r>
          </w:p>
        </w:tc>
        <w:tc>
          <w:tcPr>
            <w:tcW w:w="1666" w:type="pct"/>
          </w:tcPr>
          <w:p w:rsidR="004E0AC0" w:rsidRPr="00CE77A8" w:rsidRDefault="004E0AC0" w:rsidP="00A24AEE">
            <w:pPr>
              <w:rPr>
                <w:sz w:val="22"/>
              </w:rPr>
            </w:pPr>
            <w:r>
              <w:rPr>
                <w:sz w:val="22"/>
              </w:rPr>
              <w:t>Sample PPV/NPV (</w:t>
            </w:r>
            <m:oMath>
              <m:acc>
                <m:accPr>
                  <m:ctrlPr>
                    <w:rPr>
                      <w:rFonts w:ascii="Cambria Math" w:eastAsia="Arial Unicode MS" w:hAnsi="Cambria Math" w:cs="Arial Unicode MS"/>
                      <w:i/>
                    </w:rPr>
                  </m:ctrlPr>
                </m:accPr>
                <m:e>
                  <m:r>
                    <w:rPr>
                      <w:rFonts w:ascii="Cambria Math" w:eastAsia="Arial Unicode MS" w:hAnsi="Cambria Math" w:cs="Arial Unicode MS"/>
                    </w:rPr>
                    <m:t>p</m:t>
                  </m:r>
                </m:e>
              </m:acc>
            </m:oMath>
            <w:r>
              <w:rPr>
                <w:sz w:val="22"/>
              </w:rPr>
              <w:t>)</w:t>
            </w:r>
          </w:p>
        </w:tc>
        <w:tc>
          <w:tcPr>
            <w:tcW w:w="1667" w:type="pct"/>
          </w:tcPr>
          <w:p w:rsidR="004E0AC0" w:rsidRPr="00CE77A8" w:rsidRDefault="004E0AC0" w:rsidP="00A24AEE">
            <w:pPr>
              <w:rPr>
                <w:sz w:val="22"/>
              </w:rPr>
            </w:pPr>
            <w:r>
              <w:rPr>
                <w:sz w:val="22"/>
              </w:rPr>
              <w:t>Lower Bound (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0</m:t>
                  </m:r>
                </m:sub>
              </m:sSub>
            </m:oMath>
            <w:r>
              <w:rPr>
                <w:sz w:val="22"/>
              </w:rPr>
              <w:t>)</w:t>
            </w:r>
          </w:p>
        </w:tc>
      </w:tr>
      <w:tr w:rsidR="004E0AC0" w:rsidTr="00A24AEE">
        <w:trPr>
          <w:trHeight w:val="288"/>
        </w:trPr>
        <w:tc>
          <w:tcPr>
            <w:tcW w:w="1666" w:type="pct"/>
          </w:tcPr>
          <w:p w:rsidR="004E0AC0" w:rsidRPr="00CE77A8" w:rsidRDefault="004E0AC0" w:rsidP="00A24AEE">
            <w:pPr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66" w:type="pct"/>
          </w:tcPr>
          <w:p w:rsidR="004E0AC0" w:rsidRPr="00CE77A8" w:rsidRDefault="004E0AC0" w:rsidP="00A24AEE">
            <w:pPr>
              <w:rPr>
                <w:sz w:val="22"/>
              </w:rPr>
            </w:pPr>
            <w:r w:rsidRPr="00CE77A8">
              <w:rPr>
                <w:sz w:val="22"/>
              </w:rPr>
              <w:t>0.</w:t>
            </w:r>
            <w:r>
              <w:rPr>
                <w:sz w:val="22"/>
              </w:rPr>
              <w:t>95</w:t>
            </w:r>
            <w:r w:rsidRPr="00CE77A8">
              <w:rPr>
                <w:sz w:val="22"/>
              </w:rPr>
              <w:t>0</w:t>
            </w:r>
          </w:p>
        </w:tc>
        <w:tc>
          <w:tcPr>
            <w:tcW w:w="1667" w:type="pct"/>
          </w:tcPr>
          <w:p w:rsidR="004E0AC0" w:rsidRPr="00CE77A8" w:rsidRDefault="004E0AC0" w:rsidP="00A24AEE">
            <w:pPr>
              <w:rPr>
                <w:sz w:val="22"/>
              </w:rPr>
            </w:pPr>
            <w:r w:rsidRPr="00CE77A8">
              <w:rPr>
                <w:sz w:val="22"/>
              </w:rPr>
              <w:t>0.</w:t>
            </w:r>
            <w:r>
              <w:rPr>
                <w:sz w:val="22"/>
              </w:rPr>
              <w:t>920</w:t>
            </w:r>
          </w:p>
        </w:tc>
      </w:tr>
      <w:tr w:rsidR="004E0AC0" w:rsidTr="00A24AEE">
        <w:trPr>
          <w:trHeight w:val="260"/>
        </w:trPr>
        <w:tc>
          <w:tcPr>
            <w:tcW w:w="1666" w:type="pct"/>
          </w:tcPr>
          <w:p w:rsidR="004E0AC0" w:rsidRPr="00CE77A8" w:rsidRDefault="004E0AC0" w:rsidP="00A24AEE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666" w:type="pct"/>
          </w:tcPr>
          <w:p w:rsidR="004E0AC0" w:rsidRPr="00CE77A8" w:rsidRDefault="004E0AC0" w:rsidP="00A24AEE">
            <w:pPr>
              <w:rPr>
                <w:sz w:val="22"/>
              </w:rPr>
            </w:pPr>
            <w:r w:rsidRPr="00CE77A8">
              <w:rPr>
                <w:sz w:val="22"/>
              </w:rPr>
              <w:t>0.</w:t>
            </w:r>
            <w:r>
              <w:rPr>
                <w:sz w:val="22"/>
              </w:rPr>
              <w:t>95</w:t>
            </w:r>
            <w:r w:rsidRPr="00CE77A8">
              <w:rPr>
                <w:sz w:val="22"/>
              </w:rPr>
              <w:t>0</w:t>
            </w:r>
          </w:p>
        </w:tc>
        <w:tc>
          <w:tcPr>
            <w:tcW w:w="1667" w:type="pct"/>
          </w:tcPr>
          <w:p w:rsidR="004E0AC0" w:rsidRPr="00CE77A8" w:rsidRDefault="004E0AC0" w:rsidP="00A24AEE">
            <w:pPr>
              <w:rPr>
                <w:sz w:val="22"/>
              </w:rPr>
            </w:pPr>
            <w:r w:rsidRPr="00CE77A8">
              <w:rPr>
                <w:sz w:val="22"/>
              </w:rPr>
              <w:t>0.</w:t>
            </w:r>
            <w:r>
              <w:rPr>
                <w:sz w:val="22"/>
              </w:rPr>
              <w:t>915</w:t>
            </w:r>
          </w:p>
        </w:tc>
      </w:tr>
      <w:tr w:rsidR="004E0AC0" w:rsidTr="00A24AEE">
        <w:trPr>
          <w:trHeight w:val="242"/>
        </w:trPr>
        <w:tc>
          <w:tcPr>
            <w:tcW w:w="1666" w:type="pct"/>
          </w:tcPr>
          <w:p w:rsidR="004E0AC0" w:rsidRPr="00CE77A8" w:rsidRDefault="004E0AC0" w:rsidP="00A24AEE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66" w:type="pct"/>
          </w:tcPr>
          <w:p w:rsidR="004E0AC0" w:rsidRPr="00CE77A8" w:rsidRDefault="004E0AC0" w:rsidP="00A24AEE">
            <w:pPr>
              <w:rPr>
                <w:sz w:val="22"/>
              </w:rPr>
            </w:pPr>
            <w:r w:rsidRPr="00CE77A8">
              <w:rPr>
                <w:sz w:val="22"/>
              </w:rPr>
              <w:t>0.9</w:t>
            </w:r>
            <w:r>
              <w:rPr>
                <w:sz w:val="22"/>
              </w:rPr>
              <w:t>5</w:t>
            </w:r>
            <w:r w:rsidRPr="00CE77A8">
              <w:rPr>
                <w:sz w:val="22"/>
              </w:rPr>
              <w:t>0</w:t>
            </w:r>
          </w:p>
        </w:tc>
        <w:tc>
          <w:tcPr>
            <w:tcW w:w="1667" w:type="pct"/>
          </w:tcPr>
          <w:p w:rsidR="004E0AC0" w:rsidRPr="00CE77A8" w:rsidRDefault="004E0AC0" w:rsidP="00A24AEE">
            <w:pPr>
              <w:rPr>
                <w:sz w:val="22"/>
              </w:rPr>
            </w:pPr>
            <w:r w:rsidRPr="00CE77A8">
              <w:rPr>
                <w:sz w:val="22"/>
              </w:rPr>
              <w:t>0.9</w:t>
            </w:r>
            <w:r>
              <w:rPr>
                <w:sz w:val="22"/>
              </w:rPr>
              <w:t>07</w:t>
            </w:r>
          </w:p>
        </w:tc>
      </w:tr>
    </w:tbl>
    <w:p w:rsidR="00655A93" w:rsidRDefault="00655A93">
      <w:bookmarkStart w:id="0" w:name="_GoBack"/>
      <w:bookmarkEnd w:id="0"/>
    </w:p>
    <w:sectPr w:rsidR="0065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C0"/>
    <w:rsid w:val="004E0AC0"/>
    <w:rsid w:val="006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9B0CD-A0C1-4CF3-AEC2-EDE97766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AC0"/>
    <w:pPr>
      <w:spacing w:after="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Earles</dc:creator>
  <cp:keywords/>
  <dc:description/>
  <cp:lastModifiedBy>Ashley Earles</cp:lastModifiedBy>
  <cp:revision>1</cp:revision>
  <dcterms:created xsi:type="dcterms:W3CDTF">2018-05-18T19:05:00Z</dcterms:created>
  <dcterms:modified xsi:type="dcterms:W3CDTF">2018-05-18T19:08:00Z</dcterms:modified>
</cp:coreProperties>
</file>