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E3" w:rsidRDefault="00102FE3" w:rsidP="00102FE3">
      <w:pPr>
        <w:spacing w:line="276" w:lineRule="auto"/>
        <w:ind w:right="16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Appendix 3: Feasibility Criteria</w:t>
      </w:r>
    </w:p>
    <w:p w:rsidR="00102FE3" w:rsidRDefault="00102FE3" w:rsidP="00102FE3">
      <w:pPr>
        <w:spacing w:line="276" w:lineRule="auto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28356" w:type="dxa"/>
        <w:tblInd w:w="-10" w:type="dxa"/>
        <w:tblLook w:val="04A0" w:firstRow="1" w:lastRow="0" w:firstColumn="1" w:lastColumn="0" w:noHBand="0" w:noVBand="1"/>
      </w:tblPr>
      <w:tblGrid>
        <w:gridCol w:w="2160"/>
        <w:gridCol w:w="270"/>
        <w:gridCol w:w="5490"/>
        <w:gridCol w:w="2970"/>
        <w:gridCol w:w="11270"/>
        <w:gridCol w:w="6196"/>
      </w:tblGrid>
      <w:tr w:rsidR="00102FE3" w:rsidRPr="00E643D7" w:rsidTr="00053681">
        <w:trPr>
          <w:gridAfter w:val="2"/>
          <w:wAfter w:w="17466" w:type="dxa"/>
          <w:trHeight w:val="765"/>
        </w:trPr>
        <w:tc>
          <w:tcPr>
            <w:tcW w:w="2160" w:type="dxa"/>
            <w:tcBorders>
              <w:top w:val="single" w:sz="8" w:space="0" w:color="3A3838"/>
              <w:left w:val="single" w:sz="8" w:space="0" w:color="3A3838"/>
              <w:bottom w:val="single" w:sz="4" w:space="0" w:color="3A3838"/>
              <w:right w:val="single" w:sz="4" w:space="0" w:color="3A3838"/>
            </w:tcBorders>
            <w:shd w:val="clear" w:color="000000" w:fill="404040"/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t>Feasibility Criterion</w:t>
            </w:r>
          </w:p>
        </w:tc>
        <w:tc>
          <w:tcPr>
            <w:tcW w:w="5760" w:type="dxa"/>
            <w:gridSpan w:val="2"/>
            <w:tcBorders>
              <w:top w:val="single" w:sz="8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404040"/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t>Definition</w:t>
            </w:r>
          </w:p>
        </w:tc>
        <w:tc>
          <w:tcPr>
            <w:tcW w:w="2970" w:type="dxa"/>
            <w:tcBorders>
              <w:top w:val="single" w:sz="8" w:space="0" w:color="3A3838"/>
              <w:left w:val="nil"/>
              <w:bottom w:val="single" w:sz="4" w:space="0" w:color="3A3838"/>
              <w:right w:val="single" w:sz="8" w:space="0" w:color="3A3838"/>
            </w:tcBorders>
            <w:shd w:val="clear" w:color="000000" w:fill="404040"/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t>Considerations</w:t>
            </w:r>
          </w:p>
        </w:tc>
      </w:tr>
      <w:tr w:rsidR="00102FE3" w:rsidRPr="00E643D7" w:rsidTr="00053681">
        <w:trPr>
          <w:gridAfter w:val="2"/>
          <w:wAfter w:w="17466" w:type="dxa"/>
          <w:trHeight w:val="2040"/>
        </w:trPr>
        <w:tc>
          <w:tcPr>
            <w:tcW w:w="2160" w:type="dxa"/>
            <w:vMerge w:val="restart"/>
            <w:tcBorders>
              <w:top w:val="nil"/>
              <w:left w:val="single" w:sz="8" w:space="0" w:color="3A3838"/>
              <w:bottom w:val="single" w:sz="4" w:space="0" w:color="3A3838"/>
              <w:right w:val="single" w:sz="4" w:space="0" w:color="3A3838"/>
            </w:tcBorders>
            <w:shd w:val="clear" w:color="000000" w:fill="F2F2F2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Data completeness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Data availability: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Level to which data is captured in a 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u w:val="single"/>
              </w:rPr>
              <w:t>structured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format (e.g. picklist, radio buttons, check boxes, date/time fields, data encoded in a controlled vocabulary).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3A3838"/>
              <w:right w:val="single" w:sz="8" w:space="0" w:color="3A3838"/>
            </w:tcBorders>
            <w:shd w:val="clear" w:color="auto" w:fill="auto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* Availability of structured fields (e.g. picklists, radio buttons, checkboxes) for data capture in the EHR or departmental systems.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br/>
              <w:t>* Workflow fit, i.e. level of use of structured data fields to capture the data.</w:t>
            </w:r>
          </w:p>
        </w:tc>
      </w:tr>
      <w:tr w:rsidR="00102FE3" w:rsidRPr="00E643D7" w:rsidTr="00053681">
        <w:trPr>
          <w:gridAfter w:val="2"/>
          <w:wAfter w:w="17466" w:type="dxa"/>
          <w:trHeight w:val="1545"/>
        </w:trPr>
        <w:tc>
          <w:tcPr>
            <w:tcW w:w="2160" w:type="dxa"/>
            <w:vMerge/>
            <w:tcBorders>
              <w:top w:val="nil"/>
              <w:left w:val="single" w:sz="8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auto" w:fill="auto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Data extractability: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level to which 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u w:val="single"/>
              </w:rPr>
              <w:t>structured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data is accessible and retrievable from systems where it is captured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3A3838"/>
            </w:tcBorders>
            <w:shd w:val="clear" w:color="auto" w:fill="auto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* Ability to query the system where the data is captured, whether through transfer of the data to another system (e.g. EHR) or directly from the source system.</w:t>
            </w:r>
          </w:p>
        </w:tc>
      </w:tr>
      <w:tr w:rsidR="00102FE3" w:rsidRPr="00E643D7" w:rsidTr="00053681">
        <w:trPr>
          <w:gridAfter w:val="2"/>
          <w:wAfter w:w="17466" w:type="dxa"/>
          <w:trHeight w:val="1465"/>
        </w:trPr>
        <w:tc>
          <w:tcPr>
            <w:tcW w:w="2160" w:type="dxa"/>
            <w:vMerge w:val="restart"/>
            <w:tcBorders>
              <w:top w:val="single" w:sz="8" w:space="0" w:color="3A3838"/>
              <w:left w:val="single" w:sz="8" w:space="0" w:color="3A3838"/>
              <w:bottom w:val="single" w:sz="8" w:space="0" w:color="3A3838"/>
              <w:right w:val="single" w:sz="4" w:space="0" w:color="3A3838"/>
            </w:tcBorders>
            <w:shd w:val="clear" w:color="000000" w:fill="F2F2F2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Data correctness</w:t>
            </w:r>
          </w:p>
        </w:tc>
        <w:tc>
          <w:tcPr>
            <w:tcW w:w="5760" w:type="dxa"/>
            <w:gridSpan w:val="2"/>
            <w:tcBorders>
              <w:top w:val="single" w:sz="8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Data accuracy: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level to which 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u w:val="single"/>
              </w:rPr>
              <w:t>structured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data represents the "truth" about a patient.</w:t>
            </w:r>
          </w:p>
        </w:tc>
        <w:tc>
          <w:tcPr>
            <w:tcW w:w="2970" w:type="dxa"/>
            <w:tcBorders>
              <w:top w:val="single" w:sz="8" w:space="0" w:color="3A3838"/>
              <w:left w:val="nil"/>
              <w:bottom w:val="single" w:sz="4" w:space="0" w:color="3A3838"/>
              <w:right w:val="single" w:sz="8" w:space="0" w:color="3A3838"/>
            </w:tcBorders>
            <w:shd w:val="clear" w:color="auto" w:fill="auto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* Concordance of structured data with other data sources in the medical record.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br/>
              <w:t>* Currency of data.</w:t>
            </w:r>
          </w:p>
        </w:tc>
      </w:tr>
      <w:tr w:rsidR="00102FE3" w:rsidRPr="00E643D7" w:rsidTr="00053681">
        <w:trPr>
          <w:gridAfter w:val="2"/>
          <w:wAfter w:w="17466" w:type="dxa"/>
          <w:trHeight w:val="1087"/>
        </w:trPr>
        <w:tc>
          <w:tcPr>
            <w:tcW w:w="2160" w:type="dxa"/>
            <w:vMerge/>
            <w:tcBorders>
              <w:top w:val="single" w:sz="8" w:space="0" w:color="3A3838"/>
              <w:left w:val="single" w:sz="8" w:space="0" w:color="3A3838"/>
              <w:bottom w:val="single" w:sz="8" w:space="0" w:color="3A3838"/>
              <w:right w:val="single" w:sz="4" w:space="0" w:color="3A3838"/>
            </w:tcBorders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3A3838"/>
              <w:right w:val="single" w:sz="4" w:space="0" w:color="3A3838"/>
            </w:tcBorders>
            <w:shd w:val="clear" w:color="auto" w:fill="auto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Data reliability: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level to which 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u w:val="single"/>
              </w:rPr>
              <w:t>structured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data is captured with a consistent conceptual definition.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auto" w:fill="auto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* Clarity of data definition.</w:t>
            </w:r>
          </w:p>
        </w:tc>
      </w:tr>
      <w:tr w:rsidR="00102FE3" w:rsidRPr="00E643D7" w:rsidTr="00053681">
        <w:trPr>
          <w:gridAfter w:val="2"/>
          <w:wAfter w:w="17466" w:type="dxa"/>
          <w:trHeight w:val="1348"/>
        </w:trPr>
        <w:tc>
          <w:tcPr>
            <w:tcW w:w="2160" w:type="dxa"/>
            <w:tcBorders>
              <w:top w:val="nil"/>
              <w:left w:val="single" w:sz="8" w:space="0" w:color="3A3838"/>
              <w:bottom w:val="single" w:sz="8" w:space="0" w:color="3A3838"/>
              <w:right w:val="single" w:sz="4" w:space="0" w:color="3A3838"/>
            </w:tcBorders>
            <w:shd w:val="clear" w:color="000000" w:fill="F2F2F2"/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Data normalization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3A3838"/>
              <w:right w:val="single" w:sz="4" w:space="0" w:color="3A3838"/>
            </w:tcBorders>
            <w:shd w:val="clear" w:color="auto" w:fill="auto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Level to which 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u w:val="single"/>
              </w:rPr>
              <w:t>structured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data is captured or can be mapped to standard vocabularies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3A3838"/>
              <w:right w:val="single" w:sz="8" w:space="0" w:color="3A3838"/>
            </w:tcBorders>
            <w:shd w:val="clear" w:color="auto" w:fill="auto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* Standard vocabularies include: SNOMED-CT, LOINC, </w:t>
            </w:r>
            <w:proofErr w:type="spellStart"/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RxNorm</w:t>
            </w:r>
            <w:proofErr w:type="spellEnd"/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, ICD-9-CM, </w:t>
            </w:r>
            <w:proofErr w:type="gramStart"/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ICD</w:t>
            </w:r>
            <w:proofErr w:type="gramEnd"/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-10-CM/PCS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br/>
              <w:t>* Granularity of data.</w:t>
            </w:r>
          </w:p>
        </w:tc>
      </w:tr>
      <w:tr w:rsidR="00102FE3" w:rsidRPr="00E643D7" w:rsidTr="00053681">
        <w:trPr>
          <w:trHeight w:val="2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E3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FE3" w:rsidRPr="00E643D7" w:rsidTr="00053681">
        <w:trPr>
          <w:gridAfter w:val="2"/>
          <w:wAfter w:w="17466" w:type="dxa"/>
          <w:trHeight w:val="765"/>
        </w:trPr>
        <w:tc>
          <w:tcPr>
            <w:tcW w:w="2160" w:type="dxa"/>
            <w:tcBorders>
              <w:top w:val="single" w:sz="8" w:space="0" w:color="3A3838"/>
              <w:left w:val="single" w:sz="8" w:space="0" w:color="3A3838"/>
              <w:bottom w:val="single" w:sz="4" w:space="0" w:color="3A3838"/>
              <w:right w:val="single" w:sz="4" w:space="0" w:color="3A3838"/>
            </w:tcBorders>
            <w:shd w:val="clear" w:color="000000" w:fill="404040"/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t>Overall Feasibility</w:t>
            </w:r>
          </w:p>
        </w:tc>
        <w:tc>
          <w:tcPr>
            <w:tcW w:w="270" w:type="dxa"/>
            <w:tcBorders>
              <w:top w:val="single" w:sz="8" w:space="0" w:color="3A3838"/>
              <w:left w:val="nil"/>
              <w:bottom w:val="single" w:sz="4" w:space="0" w:color="3A3838"/>
              <w:right w:val="nil"/>
            </w:tcBorders>
            <w:shd w:val="clear" w:color="000000" w:fill="404040"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top w:val="single" w:sz="8" w:space="0" w:color="3A3838"/>
              <w:left w:val="nil"/>
              <w:bottom w:val="single" w:sz="4" w:space="0" w:color="3A3838"/>
              <w:right w:val="single" w:sz="8" w:space="0" w:color="3A3838"/>
            </w:tcBorders>
            <w:shd w:val="clear" w:color="000000" w:fill="404040"/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t>Definition</w:t>
            </w:r>
          </w:p>
        </w:tc>
      </w:tr>
      <w:tr w:rsidR="00102FE3" w:rsidRPr="00E643D7" w:rsidTr="00053681">
        <w:trPr>
          <w:gridAfter w:val="2"/>
          <w:wAfter w:w="17466" w:type="dxa"/>
          <w:trHeight w:val="510"/>
        </w:trPr>
        <w:tc>
          <w:tcPr>
            <w:tcW w:w="2160" w:type="dxa"/>
            <w:tcBorders>
              <w:top w:val="nil"/>
              <w:left w:val="single" w:sz="8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E643D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asy</w:t>
            </w:r>
          </w:p>
        </w:tc>
        <w:tc>
          <w:tcPr>
            <w:tcW w:w="270" w:type="dxa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</w:tcPr>
          <w:p w:rsidR="00102FE3" w:rsidRPr="00E643D7" w:rsidRDefault="00102FE3" w:rsidP="00053681">
            <w:pPr>
              <w:widowControl/>
              <w:autoSpaceDE/>
              <w:autoSpaceDN/>
              <w:ind w:left="-108" w:firstLine="108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single" w:sz="8" w:space="0" w:color="3A3838"/>
            </w:tcBorders>
            <w:shd w:val="clear" w:color="auto" w:fill="auto"/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Scores "very likely"</w:t>
            </w: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or “likely”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in 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u w:val="single"/>
              </w:rPr>
              <w:t xml:space="preserve">all 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feasibility criteria</w:t>
            </w:r>
          </w:p>
        </w:tc>
      </w:tr>
      <w:tr w:rsidR="00102FE3" w:rsidRPr="00E643D7" w:rsidTr="00053681">
        <w:trPr>
          <w:gridAfter w:val="2"/>
          <w:wAfter w:w="17466" w:type="dxa"/>
          <w:trHeight w:val="765"/>
        </w:trPr>
        <w:tc>
          <w:tcPr>
            <w:tcW w:w="2160" w:type="dxa"/>
            <w:tcBorders>
              <w:top w:val="nil"/>
              <w:left w:val="single" w:sz="8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Somewhat difficult</w:t>
            </w:r>
          </w:p>
        </w:tc>
        <w:tc>
          <w:tcPr>
            <w:tcW w:w="270" w:type="dxa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single" w:sz="8" w:space="0" w:color="3A3838"/>
            </w:tcBorders>
            <w:shd w:val="clear" w:color="auto" w:fill="auto"/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Scores "somewhat likely"</w:t>
            </w: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or “unlikely”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in 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u w:val="single"/>
              </w:rPr>
              <w:t xml:space="preserve">at least one 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feasibility criterion</w:t>
            </w:r>
          </w:p>
        </w:tc>
      </w:tr>
      <w:tr w:rsidR="00102FE3" w:rsidRPr="00E643D7" w:rsidTr="00053681">
        <w:trPr>
          <w:gridAfter w:val="2"/>
          <w:wAfter w:w="17466" w:type="dxa"/>
          <w:trHeight w:val="525"/>
        </w:trPr>
        <w:tc>
          <w:tcPr>
            <w:tcW w:w="2160" w:type="dxa"/>
            <w:tcBorders>
              <w:top w:val="nil"/>
              <w:left w:val="single" w:sz="8" w:space="0" w:color="3A3838"/>
              <w:bottom w:val="single" w:sz="8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Very difficult</w:t>
            </w:r>
          </w:p>
        </w:tc>
        <w:tc>
          <w:tcPr>
            <w:tcW w:w="270" w:type="dxa"/>
            <w:tcBorders>
              <w:top w:val="single" w:sz="4" w:space="0" w:color="3A3838"/>
              <w:left w:val="nil"/>
              <w:bottom w:val="single" w:sz="8" w:space="0" w:color="3A3838"/>
              <w:right w:val="nil"/>
            </w:tcBorders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3A3838"/>
              <w:left w:val="nil"/>
              <w:bottom w:val="single" w:sz="8" w:space="0" w:color="3A3838"/>
              <w:right w:val="single" w:sz="8" w:space="0" w:color="3A3838"/>
            </w:tcBorders>
            <w:shd w:val="clear" w:color="auto" w:fill="auto"/>
            <w:vAlign w:val="center"/>
            <w:hideMark/>
          </w:tcPr>
          <w:p w:rsidR="00102FE3" w:rsidRPr="00E643D7" w:rsidRDefault="00102FE3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Scores "very unlikely" in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u w:val="single"/>
              </w:rPr>
              <w:t xml:space="preserve"> at least one</w:t>
            </w:r>
            <w:r w:rsidRPr="00E643D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feasibility criterion</w:t>
            </w:r>
          </w:p>
        </w:tc>
      </w:tr>
    </w:tbl>
    <w:p w:rsidR="00962416" w:rsidRDefault="00102FE3">
      <w:bookmarkStart w:id="0" w:name="_GoBack"/>
      <w:bookmarkEnd w:id="0"/>
    </w:p>
    <w:sectPr w:rsidR="0096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E3"/>
    <w:rsid w:val="00102FE3"/>
    <w:rsid w:val="001F385D"/>
    <w:rsid w:val="007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8F9B7-369D-43E4-8A52-058F08B2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2F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Stacey</dc:creator>
  <cp:keywords/>
  <dc:description/>
  <cp:lastModifiedBy>Barrett, Stacey</cp:lastModifiedBy>
  <cp:revision>1</cp:revision>
  <dcterms:created xsi:type="dcterms:W3CDTF">2018-12-19T21:17:00Z</dcterms:created>
  <dcterms:modified xsi:type="dcterms:W3CDTF">2018-12-19T21:17:00Z</dcterms:modified>
</cp:coreProperties>
</file>