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308F" w14:textId="77777777" w:rsidR="00073FEF" w:rsidRPr="001B681B" w:rsidRDefault="00073FEF" w:rsidP="001B681B">
      <w:pPr>
        <w:spacing w:after="0" w:line="480" w:lineRule="auto"/>
        <w:rPr>
          <w:rFonts w:ascii="Arial" w:hAnsi="Arial" w:cs="Arial"/>
          <w:sz w:val="24"/>
          <w:szCs w:val="24"/>
        </w:rPr>
      </w:pPr>
      <w:r w:rsidRPr="001B681B">
        <w:rPr>
          <w:rFonts w:ascii="Arial" w:hAnsi="Arial" w:cs="Arial"/>
          <w:b/>
          <w:sz w:val="24"/>
          <w:szCs w:val="24"/>
        </w:rPr>
        <w:t>Table 2.</w:t>
      </w:r>
      <w:r w:rsidRPr="001B681B">
        <w:rPr>
          <w:rFonts w:ascii="Arial" w:hAnsi="Arial" w:cs="Arial"/>
          <w:sz w:val="24"/>
          <w:szCs w:val="24"/>
        </w:rPr>
        <w:t xml:space="preserve"> Odds ratios from adjusted multilevel logistic regression models estimating the association between discharge functional scores and potentially preventable 30-day readmissions following home health care.</w:t>
      </w:r>
    </w:p>
    <w:tbl>
      <w:tblPr>
        <w:tblStyle w:val="TableGrid"/>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5"/>
        <w:gridCol w:w="2160"/>
        <w:gridCol w:w="1584"/>
        <w:gridCol w:w="1872"/>
      </w:tblGrid>
      <w:tr w:rsidR="006950E0" w:rsidRPr="00073FEF" w14:paraId="786AD15F" w14:textId="77777777" w:rsidTr="003C562C">
        <w:trPr>
          <w:trHeight w:val="432"/>
        </w:trPr>
        <w:tc>
          <w:tcPr>
            <w:tcW w:w="2785" w:type="dxa"/>
            <w:tcBorders>
              <w:top w:val="single" w:sz="4" w:space="0" w:color="auto"/>
              <w:bottom w:val="single" w:sz="4" w:space="0" w:color="auto"/>
            </w:tcBorders>
            <w:vAlign w:val="center"/>
          </w:tcPr>
          <w:p w14:paraId="363AC640" w14:textId="77777777" w:rsidR="006950E0" w:rsidRPr="00073FEF" w:rsidRDefault="006950E0" w:rsidP="00073FEF">
            <w:pPr>
              <w:spacing w:after="0" w:line="240" w:lineRule="auto"/>
              <w:rPr>
                <w:rFonts w:ascii="Arial" w:eastAsia="Calibri" w:hAnsi="Arial" w:cs="Arial"/>
                <w:b/>
                <w:sz w:val="20"/>
                <w:szCs w:val="20"/>
              </w:rPr>
            </w:pPr>
            <w:r w:rsidRPr="00073FEF">
              <w:rPr>
                <w:rFonts w:ascii="Arial" w:eastAsia="Calibri" w:hAnsi="Arial" w:cs="Arial"/>
                <w:b/>
                <w:sz w:val="20"/>
                <w:szCs w:val="20"/>
              </w:rPr>
              <w:t>Functional Domain</w:t>
            </w:r>
          </w:p>
        </w:tc>
        <w:tc>
          <w:tcPr>
            <w:tcW w:w="5616" w:type="dxa"/>
            <w:gridSpan w:val="3"/>
            <w:tcBorders>
              <w:top w:val="single" w:sz="4" w:space="0" w:color="auto"/>
              <w:bottom w:val="single" w:sz="4" w:space="0" w:color="auto"/>
            </w:tcBorders>
            <w:vAlign w:val="center"/>
          </w:tcPr>
          <w:p w14:paraId="07D45919" w14:textId="77777777" w:rsidR="006950E0" w:rsidRPr="00073FEF" w:rsidRDefault="006950E0" w:rsidP="00073FEF">
            <w:pPr>
              <w:spacing w:after="0" w:line="240" w:lineRule="auto"/>
              <w:jc w:val="center"/>
              <w:rPr>
                <w:rFonts w:ascii="Arial" w:eastAsia="Calibri" w:hAnsi="Arial" w:cs="Arial"/>
                <w:sz w:val="20"/>
                <w:szCs w:val="20"/>
              </w:rPr>
            </w:pPr>
            <w:r w:rsidRPr="00073FEF">
              <w:rPr>
                <w:rFonts w:ascii="Arial" w:eastAsia="Calibri" w:hAnsi="Arial" w:cs="Arial"/>
                <w:b/>
                <w:sz w:val="20"/>
                <w:szCs w:val="20"/>
              </w:rPr>
              <w:t>Odds Ratio* (95% CI)</w:t>
            </w:r>
          </w:p>
        </w:tc>
      </w:tr>
      <w:tr w:rsidR="00073FEF" w:rsidRPr="00073FEF" w14:paraId="4496456A" w14:textId="77777777" w:rsidTr="007344E6">
        <w:tc>
          <w:tcPr>
            <w:tcW w:w="2785" w:type="dxa"/>
            <w:tcBorders>
              <w:top w:val="single" w:sz="4" w:space="0" w:color="auto"/>
            </w:tcBorders>
            <w:vAlign w:val="bottom"/>
          </w:tcPr>
          <w:p w14:paraId="34EF19AE" w14:textId="77777777" w:rsidR="00073FEF" w:rsidRPr="00073FEF" w:rsidRDefault="00073FEF" w:rsidP="00CB5A14">
            <w:pPr>
              <w:spacing w:after="0" w:line="240" w:lineRule="auto"/>
              <w:rPr>
                <w:rFonts w:ascii="Arial" w:eastAsia="Calibri" w:hAnsi="Arial" w:cs="Arial"/>
                <w:b/>
                <w:sz w:val="20"/>
                <w:szCs w:val="20"/>
              </w:rPr>
            </w:pPr>
            <w:r w:rsidRPr="00073FEF">
              <w:rPr>
                <w:rFonts w:ascii="Arial" w:eastAsia="Calibri" w:hAnsi="Arial" w:cs="Arial"/>
                <w:b/>
                <w:sz w:val="20"/>
                <w:szCs w:val="20"/>
              </w:rPr>
              <w:t>Mobility</w:t>
            </w:r>
            <w:r w:rsidRPr="00073FEF">
              <w:rPr>
                <w:rFonts w:ascii="Arial" w:eastAsia="Calibri" w:hAnsi="Arial" w:cs="Arial"/>
                <w:b/>
                <w:sz w:val="20"/>
                <w:szCs w:val="20"/>
                <w:vertAlign w:val="superscript"/>
              </w:rPr>
              <w:t>†</w:t>
            </w:r>
          </w:p>
        </w:tc>
        <w:tc>
          <w:tcPr>
            <w:tcW w:w="2160" w:type="dxa"/>
            <w:tcBorders>
              <w:top w:val="single" w:sz="4" w:space="0" w:color="auto"/>
            </w:tcBorders>
            <w:vAlign w:val="center"/>
          </w:tcPr>
          <w:p w14:paraId="53B8FEE7" w14:textId="77777777" w:rsidR="00073FEF" w:rsidRPr="00073FEF" w:rsidRDefault="00073FEF" w:rsidP="00073FEF">
            <w:pPr>
              <w:tabs>
                <w:tab w:val="left" w:pos="1796"/>
              </w:tabs>
              <w:spacing w:after="0" w:line="240" w:lineRule="auto"/>
              <w:jc w:val="center"/>
              <w:rPr>
                <w:rFonts w:ascii="Arial" w:eastAsia="Calibri" w:hAnsi="Arial" w:cs="Arial"/>
                <w:b/>
                <w:sz w:val="20"/>
                <w:szCs w:val="20"/>
              </w:rPr>
            </w:pPr>
            <w:r w:rsidRPr="00073FEF">
              <w:rPr>
                <w:rFonts w:ascii="Arial" w:eastAsia="Calibri" w:hAnsi="Arial" w:cs="Arial"/>
                <w:b/>
                <w:sz w:val="20"/>
                <w:szCs w:val="20"/>
              </w:rPr>
              <w:t>Not Adjusted for Cognition</w:t>
            </w:r>
          </w:p>
        </w:tc>
        <w:tc>
          <w:tcPr>
            <w:tcW w:w="1584" w:type="dxa"/>
            <w:tcBorders>
              <w:top w:val="single" w:sz="4" w:space="0" w:color="auto"/>
            </w:tcBorders>
            <w:vAlign w:val="bottom"/>
          </w:tcPr>
          <w:p w14:paraId="7B17C3D3" w14:textId="77777777" w:rsidR="00073FEF" w:rsidRPr="00073FEF" w:rsidRDefault="00073FEF" w:rsidP="00CB5A14">
            <w:pPr>
              <w:tabs>
                <w:tab w:val="left" w:pos="1796"/>
              </w:tabs>
              <w:spacing w:after="0" w:line="240" w:lineRule="auto"/>
              <w:jc w:val="center"/>
              <w:rPr>
                <w:rFonts w:ascii="Arial" w:eastAsia="Calibri" w:hAnsi="Arial" w:cs="Arial"/>
                <w:b/>
                <w:sz w:val="20"/>
                <w:szCs w:val="20"/>
              </w:rPr>
            </w:pPr>
            <w:r w:rsidRPr="00073FEF">
              <w:rPr>
                <w:rFonts w:ascii="Arial" w:eastAsia="Calibri" w:hAnsi="Arial" w:cs="Arial"/>
                <w:b/>
                <w:sz w:val="20"/>
                <w:szCs w:val="20"/>
              </w:rPr>
              <w:t>Adjusted for Cognition</w:t>
            </w:r>
          </w:p>
        </w:tc>
        <w:tc>
          <w:tcPr>
            <w:tcW w:w="1872" w:type="dxa"/>
            <w:tcBorders>
              <w:top w:val="single" w:sz="4" w:space="0" w:color="auto"/>
            </w:tcBorders>
            <w:vAlign w:val="center"/>
          </w:tcPr>
          <w:p w14:paraId="59C062AC" w14:textId="77777777" w:rsidR="00073FEF" w:rsidRPr="00073FEF" w:rsidRDefault="00073FEF" w:rsidP="00073FEF">
            <w:pPr>
              <w:tabs>
                <w:tab w:val="left" w:pos="1796"/>
              </w:tabs>
              <w:spacing w:after="0" w:line="240" w:lineRule="auto"/>
              <w:jc w:val="center"/>
              <w:rPr>
                <w:rFonts w:ascii="Arial" w:eastAsia="Calibri" w:hAnsi="Arial" w:cs="Arial"/>
                <w:sz w:val="20"/>
                <w:szCs w:val="20"/>
              </w:rPr>
            </w:pPr>
          </w:p>
        </w:tc>
      </w:tr>
      <w:tr w:rsidR="00073FEF" w:rsidRPr="00073FEF" w14:paraId="41CD95FF" w14:textId="77777777" w:rsidTr="007344E6">
        <w:tc>
          <w:tcPr>
            <w:tcW w:w="2785" w:type="dxa"/>
            <w:vAlign w:val="center"/>
          </w:tcPr>
          <w:p w14:paraId="53F1C0AF" w14:textId="77777777" w:rsidR="00073FEF" w:rsidRPr="00073FEF" w:rsidRDefault="00CB5A14" w:rsidP="00073FEF">
            <w:pPr>
              <w:spacing w:after="0" w:line="240" w:lineRule="auto"/>
              <w:rPr>
                <w:rFonts w:ascii="Arial" w:eastAsia="Calibri" w:hAnsi="Arial" w:cs="Arial"/>
                <w:sz w:val="20"/>
                <w:szCs w:val="20"/>
              </w:rPr>
            </w:pPr>
            <w:r>
              <w:rPr>
                <w:rFonts w:ascii="Arial" w:eastAsia="Calibri" w:hAnsi="Arial" w:cs="Arial"/>
                <w:sz w:val="20"/>
                <w:szCs w:val="20"/>
              </w:rPr>
              <w:t xml:space="preserve">  Quartile 1 (most independent)</w:t>
            </w:r>
          </w:p>
        </w:tc>
        <w:tc>
          <w:tcPr>
            <w:tcW w:w="2160" w:type="dxa"/>
            <w:vAlign w:val="center"/>
          </w:tcPr>
          <w:p w14:paraId="7C79D6DB" w14:textId="77777777" w:rsidR="00073FEF" w:rsidRPr="00073FEF" w:rsidRDefault="00073FEF" w:rsidP="00073FEF">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584" w:type="dxa"/>
            <w:vAlign w:val="center"/>
          </w:tcPr>
          <w:p w14:paraId="6934953A" w14:textId="77777777" w:rsidR="00073FEF" w:rsidRPr="00073FEF" w:rsidRDefault="00073FEF" w:rsidP="00073FEF">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872" w:type="dxa"/>
            <w:vAlign w:val="center"/>
          </w:tcPr>
          <w:p w14:paraId="214DD413" w14:textId="77777777" w:rsidR="00073FEF" w:rsidRPr="00073FEF" w:rsidRDefault="00073FEF" w:rsidP="00073FEF">
            <w:pPr>
              <w:spacing w:after="0" w:line="240" w:lineRule="auto"/>
              <w:jc w:val="center"/>
              <w:rPr>
                <w:rFonts w:ascii="Arial" w:eastAsia="Calibri" w:hAnsi="Arial" w:cs="Arial"/>
                <w:sz w:val="20"/>
                <w:szCs w:val="20"/>
              </w:rPr>
            </w:pPr>
          </w:p>
        </w:tc>
      </w:tr>
      <w:tr w:rsidR="00073FEF" w:rsidRPr="00073FEF" w14:paraId="379574CA" w14:textId="77777777" w:rsidTr="007344E6">
        <w:trPr>
          <w:trHeight w:val="233"/>
        </w:trPr>
        <w:tc>
          <w:tcPr>
            <w:tcW w:w="2785" w:type="dxa"/>
            <w:vAlign w:val="center"/>
          </w:tcPr>
          <w:p w14:paraId="07004137" w14:textId="77777777" w:rsidR="00073FEF" w:rsidRPr="00073FEF" w:rsidRDefault="00CB5A14" w:rsidP="00073FEF">
            <w:pPr>
              <w:spacing w:after="0" w:line="240" w:lineRule="auto"/>
              <w:rPr>
                <w:rFonts w:ascii="Arial" w:eastAsia="Calibri" w:hAnsi="Arial" w:cs="Arial"/>
                <w:sz w:val="20"/>
                <w:szCs w:val="20"/>
              </w:rPr>
            </w:pPr>
            <w:r>
              <w:rPr>
                <w:rFonts w:ascii="Arial" w:eastAsia="Calibri" w:hAnsi="Arial" w:cs="Arial"/>
                <w:sz w:val="20"/>
                <w:szCs w:val="20"/>
              </w:rPr>
              <w:t xml:space="preserve">  Quartile 2</w:t>
            </w:r>
          </w:p>
        </w:tc>
        <w:tc>
          <w:tcPr>
            <w:tcW w:w="2160" w:type="dxa"/>
            <w:vAlign w:val="center"/>
          </w:tcPr>
          <w:p w14:paraId="2FD28BD6" w14:textId="627528FA" w:rsidR="00073FEF" w:rsidRPr="00073FEF" w:rsidRDefault="00073FEF" w:rsidP="00073FEF">
            <w:pPr>
              <w:spacing w:after="0" w:line="240" w:lineRule="auto"/>
              <w:jc w:val="center"/>
              <w:rPr>
                <w:rFonts w:ascii="Arial" w:eastAsia="Calibri" w:hAnsi="Arial" w:cs="Arial"/>
                <w:sz w:val="20"/>
                <w:szCs w:val="20"/>
              </w:rPr>
            </w:pPr>
            <w:r w:rsidRPr="00073FEF">
              <w:rPr>
                <w:rFonts w:ascii="Arial" w:eastAsia="Calibri" w:hAnsi="Arial" w:cs="Arial"/>
                <w:sz w:val="20"/>
                <w:szCs w:val="20"/>
              </w:rPr>
              <w:t xml:space="preserve">1.04 (1.00 – </w:t>
            </w:r>
            <w:r w:rsidRPr="00585030">
              <w:rPr>
                <w:rFonts w:ascii="Arial" w:eastAsia="Calibri" w:hAnsi="Arial" w:cs="Arial"/>
                <w:b/>
                <w:sz w:val="20"/>
                <w:szCs w:val="20"/>
              </w:rPr>
              <w:t>1.0</w:t>
            </w:r>
            <w:r w:rsidR="00585030" w:rsidRPr="00585030">
              <w:rPr>
                <w:rFonts w:ascii="Arial" w:eastAsia="Calibri" w:hAnsi="Arial" w:cs="Arial"/>
                <w:b/>
                <w:sz w:val="20"/>
                <w:szCs w:val="20"/>
              </w:rPr>
              <w:t>8</w:t>
            </w:r>
            <w:r w:rsidRPr="00073FEF">
              <w:rPr>
                <w:rFonts w:ascii="Arial" w:eastAsia="Calibri" w:hAnsi="Arial" w:cs="Arial"/>
                <w:sz w:val="20"/>
                <w:szCs w:val="20"/>
              </w:rPr>
              <w:t>)</w:t>
            </w:r>
          </w:p>
        </w:tc>
        <w:tc>
          <w:tcPr>
            <w:tcW w:w="1584" w:type="dxa"/>
            <w:vAlign w:val="center"/>
          </w:tcPr>
          <w:p w14:paraId="3B4B54B4" w14:textId="3AAFC71C" w:rsidR="00073FEF" w:rsidRPr="00073FEF" w:rsidRDefault="00A87718" w:rsidP="00073FEF">
            <w:pPr>
              <w:spacing w:after="0" w:line="240" w:lineRule="auto"/>
              <w:jc w:val="center"/>
              <w:rPr>
                <w:rFonts w:ascii="Arial" w:eastAsia="Calibri" w:hAnsi="Arial" w:cs="Arial"/>
                <w:sz w:val="20"/>
                <w:szCs w:val="20"/>
              </w:rPr>
            </w:pPr>
            <w:r>
              <w:rPr>
                <w:rFonts w:ascii="Arial" w:eastAsia="Calibri" w:hAnsi="Arial" w:cs="Arial"/>
                <w:sz w:val="20"/>
                <w:szCs w:val="20"/>
              </w:rPr>
              <w:t>1.03 (</w:t>
            </w:r>
            <w:r w:rsidR="00585030" w:rsidRPr="00585030">
              <w:rPr>
                <w:rFonts w:ascii="Arial" w:eastAsia="Calibri" w:hAnsi="Arial" w:cs="Arial"/>
                <w:b/>
                <w:sz w:val="20"/>
                <w:szCs w:val="20"/>
              </w:rPr>
              <w:t>1.00</w:t>
            </w:r>
            <w:r w:rsidR="00073FEF" w:rsidRPr="00073FEF">
              <w:rPr>
                <w:rFonts w:ascii="Arial" w:eastAsia="Calibri" w:hAnsi="Arial" w:cs="Arial"/>
                <w:sz w:val="20"/>
                <w:szCs w:val="20"/>
              </w:rPr>
              <w:t xml:space="preserve"> – 1.07)</w:t>
            </w:r>
          </w:p>
        </w:tc>
        <w:tc>
          <w:tcPr>
            <w:tcW w:w="1872" w:type="dxa"/>
            <w:vAlign w:val="center"/>
          </w:tcPr>
          <w:p w14:paraId="53FD4D90" w14:textId="77777777" w:rsidR="00073FEF" w:rsidRPr="00073FEF" w:rsidRDefault="00073FEF" w:rsidP="00073FEF">
            <w:pPr>
              <w:spacing w:after="0" w:line="240" w:lineRule="auto"/>
              <w:jc w:val="center"/>
              <w:rPr>
                <w:rFonts w:ascii="Arial" w:eastAsia="Calibri" w:hAnsi="Arial" w:cs="Arial"/>
                <w:sz w:val="20"/>
                <w:szCs w:val="20"/>
              </w:rPr>
            </w:pPr>
          </w:p>
        </w:tc>
      </w:tr>
      <w:tr w:rsidR="00073FEF" w:rsidRPr="00073FEF" w14:paraId="74E912F8" w14:textId="77777777" w:rsidTr="007344E6">
        <w:trPr>
          <w:trHeight w:val="233"/>
        </w:trPr>
        <w:tc>
          <w:tcPr>
            <w:tcW w:w="2785" w:type="dxa"/>
            <w:vAlign w:val="center"/>
          </w:tcPr>
          <w:p w14:paraId="7BAE3D4D" w14:textId="77777777" w:rsidR="00073FEF" w:rsidRPr="00073FEF" w:rsidRDefault="00CB5A14" w:rsidP="00073FEF">
            <w:pPr>
              <w:spacing w:after="0" w:line="240" w:lineRule="auto"/>
              <w:rPr>
                <w:rFonts w:ascii="Arial" w:eastAsia="Calibri" w:hAnsi="Arial" w:cs="Arial"/>
                <w:sz w:val="20"/>
                <w:szCs w:val="20"/>
              </w:rPr>
            </w:pPr>
            <w:r>
              <w:rPr>
                <w:rFonts w:ascii="Arial" w:eastAsia="Calibri" w:hAnsi="Arial" w:cs="Arial"/>
                <w:sz w:val="20"/>
                <w:szCs w:val="20"/>
              </w:rPr>
              <w:t xml:space="preserve">  Quartile 3</w:t>
            </w:r>
          </w:p>
        </w:tc>
        <w:tc>
          <w:tcPr>
            <w:tcW w:w="2160" w:type="dxa"/>
            <w:vAlign w:val="center"/>
          </w:tcPr>
          <w:p w14:paraId="66729D98" w14:textId="77777777" w:rsidR="00073FEF" w:rsidRPr="00073FEF" w:rsidRDefault="00073FEF" w:rsidP="00073FEF">
            <w:pPr>
              <w:spacing w:after="0" w:line="240" w:lineRule="auto"/>
              <w:jc w:val="center"/>
              <w:rPr>
                <w:rFonts w:ascii="Arial" w:eastAsia="Calibri" w:hAnsi="Arial" w:cs="Arial"/>
                <w:sz w:val="20"/>
                <w:szCs w:val="20"/>
              </w:rPr>
            </w:pPr>
            <w:r w:rsidRPr="00073FEF">
              <w:rPr>
                <w:rFonts w:ascii="Arial" w:eastAsia="Calibri" w:hAnsi="Arial" w:cs="Arial"/>
                <w:sz w:val="20"/>
                <w:szCs w:val="20"/>
              </w:rPr>
              <w:t>1.30 (1.27 – 1.34)</w:t>
            </w:r>
          </w:p>
        </w:tc>
        <w:tc>
          <w:tcPr>
            <w:tcW w:w="1584" w:type="dxa"/>
            <w:vAlign w:val="center"/>
          </w:tcPr>
          <w:p w14:paraId="5614BC57" w14:textId="77777777" w:rsidR="00073FEF" w:rsidRPr="00073FEF" w:rsidRDefault="00A87718" w:rsidP="00073FEF">
            <w:pPr>
              <w:spacing w:after="0" w:line="240" w:lineRule="auto"/>
              <w:jc w:val="center"/>
              <w:rPr>
                <w:rFonts w:ascii="Arial" w:eastAsia="Calibri" w:hAnsi="Arial" w:cs="Arial"/>
                <w:sz w:val="20"/>
                <w:szCs w:val="20"/>
              </w:rPr>
            </w:pPr>
            <w:r>
              <w:rPr>
                <w:rFonts w:ascii="Arial" w:eastAsia="Calibri" w:hAnsi="Arial" w:cs="Arial"/>
                <w:sz w:val="20"/>
                <w:szCs w:val="20"/>
              </w:rPr>
              <w:t>1.29 (1.25</w:t>
            </w:r>
            <w:r w:rsidR="00073FEF" w:rsidRPr="00073FEF">
              <w:rPr>
                <w:rFonts w:ascii="Arial" w:eastAsia="Calibri" w:hAnsi="Arial" w:cs="Arial"/>
                <w:sz w:val="20"/>
                <w:szCs w:val="20"/>
              </w:rPr>
              <w:t xml:space="preserve"> – 1.33)</w:t>
            </w:r>
          </w:p>
        </w:tc>
        <w:tc>
          <w:tcPr>
            <w:tcW w:w="1872" w:type="dxa"/>
            <w:vAlign w:val="center"/>
          </w:tcPr>
          <w:p w14:paraId="748A3390" w14:textId="77777777" w:rsidR="00073FEF" w:rsidRPr="00073FEF" w:rsidRDefault="00073FEF" w:rsidP="00073FEF">
            <w:pPr>
              <w:spacing w:after="0" w:line="240" w:lineRule="auto"/>
              <w:jc w:val="center"/>
              <w:rPr>
                <w:rFonts w:ascii="Arial" w:eastAsia="Calibri" w:hAnsi="Arial" w:cs="Arial"/>
                <w:sz w:val="20"/>
                <w:szCs w:val="20"/>
              </w:rPr>
            </w:pPr>
          </w:p>
        </w:tc>
      </w:tr>
      <w:tr w:rsidR="00073FEF" w:rsidRPr="00073FEF" w14:paraId="4D7ABA72" w14:textId="77777777" w:rsidTr="007344E6">
        <w:trPr>
          <w:trHeight w:val="233"/>
        </w:trPr>
        <w:tc>
          <w:tcPr>
            <w:tcW w:w="2785" w:type="dxa"/>
            <w:vAlign w:val="center"/>
          </w:tcPr>
          <w:p w14:paraId="2C89B772" w14:textId="77777777" w:rsidR="00073FEF" w:rsidRPr="00073FEF" w:rsidRDefault="00CB5A14" w:rsidP="00073FEF">
            <w:pPr>
              <w:spacing w:after="0" w:line="240" w:lineRule="auto"/>
              <w:rPr>
                <w:rFonts w:ascii="Arial" w:eastAsia="Calibri" w:hAnsi="Arial" w:cs="Arial"/>
                <w:sz w:val="20"/>
                <w:szCs w:val="20"/>
              </w:rPr>
            </w:pPr>
            <w:r>
              <w:rPr>
                <w:rFonts w:ascii="Arial" w:eastAsia="Calibri" w:hAnsi="Arial" w:cs="Arial"/>
                <w:sz w:val="20"/>
                <w:szCs w:val="20"/>
              </w:rPr>
              <w:t xml:space="preserve">  Quartile 4 (most dependent)</w:t>
            </w:r>
          </w:p>
        </w:tc>
        <w:tc>
          <w:tcPr>
            <w:tcW w:w="2160" w:type="dxa"/>
            <w:vAlign w:val="center"/>
          </w:tcPr>
          <w:p w14:paraId="3A4F53ED" w14:textId="77777777" w:rsidR="00073FEF" w:rsidRPr="00073FEF" w:rsidRDefault="00A87718" w:rsidP="00073FEF">
            <w:pPr>
              <w:spacing w:after="0" w:line="240" w:lineRule="auto"/>
              <w:jc w:val="center"/>
              <w:rPr>
                <w:rFonts w:ascii="Arial" w:eastAsia="Calibri" w:hAnsi="Arial" w:cs="Arial"/>
                <w:sz w:val="20"/>
                <w:szCs w:val="20"/>
              </w:rPr>
            </w:pPr>
            <w:r>
              <w:rPr>
                <w:rFonts w:ascii="Arial" w:eastAsia="Calibri" w:hAnsi="Arial" w:cs="Arial"/>
                <w:sz w:val="20"/>
                <w:szCs w:val="20"/>
              </w:rPr>
              <w:t>1.58</w:t>
            </w:r>
            <w:r w:rsidR="00073FEF" w:rsidRPr="00073FEF">
              <w:rPr>
                <w:rFonts w:ascii="Arial" w:eastAsia="Calibri" w:hAnsi="Arial" w:cs="Arial"/>
                <w:sz w:val="20"/>
                <w:szCs w:val="20"/>
              </w:rPr>
              <w:t xml:space="preserve"> (1.53 – 1.63)</w:t>
            </w:r>
          </w:p>
        </w:tc>
        <w:tc>
          <w:tcPr>
            <w:tcW w:w="1584" w:type="dxa"/>
            <w:vAlign w:val="center"/>
          </w:tcPr>
          <w:p w14:paraId="105377D4" w14:textId="47826777" w:rsidR="00073FEF" w:rsidRPr="00073FEF" w:rsidRDefault="00073FEF" w:rsidP="00073FEF">
            <w:pPr>
              <w:spacing w:after="0" w:line="240" w:lineRule="auto"/>
              <w:jc w:val="center"/>
              <w:rPr>
                <w:rFonts w:ascii="Arial" w:eastAsia="Calibri" w:hAnsi="Arial" w:cs="Arial"/>
                <w:sz w:val="20"/>
                <w:szCs w:val="20"/>
              </w:rPr>
            </w:pPr>
            <w:r w:rsidRPr="00073FEF">
              <w:rPr>
                <w:rFonts w:ascii="Arial" w:eastAsia="Calibri" w:hAnsi="Arial" w:cs="Arial"/>
                <w:sz w:val="20"/>
                <w:szCs w:val="20"/>
              </w:rPr>
              <w:t>1.53 (</w:t>
            </w:r>
            <w:r w:rsidRPr="00585030">
              <w:rPr>
                <w:rFonts w:ascii="Arial" w:eastAsia="Calibri" w:hAnsi="Arial" w:cs="Arial"/>
                <w:b/>
                <w:sz w:val="20"/>
                <w:szCs w:val="20"/>
              </w:rPr>
              <w:t>1.4</w:t>
            </w:r>
            <w:r w:rsidR="00585030" w:rsidRPr="00585030">
              <w:rPr>
                <w:rFonts w:ascii="Arial" w:eastAsia="Calibri" w:hAnsi="Arial" w:cs="Arial"/>
                <w:b/>
                <w:sz w:val="20"/>
                <w:szCs w:val="20"/>
              </w:rPr>
              <w:t>9</w:t>
            </w:r>
            <w:r w:rsidRPr="00073FEF">
              <w:rPr>
                <w:rFonts w:ascii="Arial" w:eastAsia="Calibri" w:hAnsi="Arial" w:cs="Arial"/>
                <w:sz w:val="20"/>
                <w:szCs w:val="20"/>
              </w:rPr>
              <w:t xml:space="preserve"> – 1.58)</w:t>
            </w:r>
          </w:p>
        </w:tc>
        <w:tc>
          <w:tcPr>
            <w:tcW w:w="1872" w:type="dxa"/>
            <w:vAlign w:val="center"/>
          </w:tcPr>
          <w:p w14:paraId="6D28B37D" w14:textId="77777777" w:rsidR="00073FEF" w:rsidRPr="00073FEF" w:rsidRDefault="00073FEF" w:rsidP="00073FEF">
            <w:pPr>
              <w:spacing w:after="0" w:line="240" w:lineRule="auto"/>
              <w:jc w:val="center"/>
              <w:rPr>
                <w:rFonts w:ascii="Arial" w:eastAsia="Calibri" w:hAnsi="Arial" w:cs="Arial"/>
                <w:sz w:val="20"/>
                <w:szCs w:val="20"/>
              </w:rPr>
            </w:pPr>
          </w:p>
        </w:tc>
      </w:tr>
      <w:tr w:rsidR="00073FEF" w:rsidRPr="00073FEF" w14:paraId="78E77237" w14:textId="77777777" w:rsidTr="007344E6">
        <w:trPr>
          <w:trHeight w:val="233"/>
        </w:trPr>
        <w:tc>
          <w:tcPr>
            <w:tcW w:w="2785" w:type="dxa"/>
            <w:vAlign w:val="center"/>
          </w:tcPr>
          <w:p w14:paraId="784F80F3" w14:textId="77777777" w:rsidR="00073FEF" w:rsidRPr="00073FEF" w:rsidRDefault="00073FEF" w:rsidP="00073FEF">
            <w:pPr>
              <w:spacing w:after="0" w:line="240" w:lineRule="auto"/>
              <w:rPr>
                <w:rFonts w:ascii="Arial" w:eastAsia="Calibri" w:hAnsi="Arial" w:cs="Arial"/>
                <w:sz w:val="20"/>
                <w:szCs w:val="20"/>
              </w:rPr>
            </w:pPr>
          </w:p>
        </w:tc>
        <w:tc>
          <w:tcPr>
            <w:tcW w:w="2160" w:type="dxa"/>
            <w:vAlign w:val="center"/>
          </w:tcPr>
          <w:p w14:paraId="1D12ECCE" w14:textId="77777777" w:rsidR="00073FEF" w:rsidRPr="00073FEF" w:rsidRDefault="00073FEF" w:rsidP="00073FEF">
            <w:pPr>
              <w:spacing w:after="0" w:line="240" w:lineRule="auto"/>
              <w:jc w:val="center"/>
              <w:rPr>
                <w:rFonts w:ascii="Arial" w:eastAsia="Calibri" w:hAnsi="Arial" w:cs="Arial"/>
                <w:sz w:val="20"/>
                <w:szCs w:val="20"/>
              </w:rPr>
            </w:pPr>
          </w:p>
        </w:tc>
        <w:tc>
          <w:tcPr>
            <w:tcW w:w="1584" w:type="dxa"/>
            <w:vAlign w:val="center"/>
          </w:tcPr>
          <w:p w14:paraId="7A135E7E" w14:textId="77777777" w:rsidR="00073FEF" w:rsidRPr="00073FEF" w:rsidRDefault="00073FEF" w:rsidP="00073FEF">
            <w:pPr>
              <w:spacing w:after="0" w:line="240" w:lineRule="auto"/>
              <w:jc w:val="center"/>
              <w:rPr>
                <w:rFonts w:ascii="Arial" w:eastAsia="Calibri" w:hAnsi="Arial" w:cs="Arial"/>
                <w:sz w:val="20"/>
                <w:szCs w:val="20"/>
              </w:rPr>
            </w:pPr>
          </w:p>
        </w:tc>
        <w:tc>
          <w:tcPr>
            <w:tcW w:w="1872" w:type="dxa"/>
            <w:vAlign w:val="center"/>
          </w:tcPr>
          <w:p w14:paraId="541D08CD" w14:textId="77777777" w:rsidR="00073FEF" w:rsidRPr="00073FEF" w:rsidRDefault="00073FEF" w:rsidP="00073FEF">
            <w:pPr>
              <w:spacing w:after="0" w:line="240" w:lineRule="auto"/>
              <w:jc w:val="center"/>
              <w:rPr>
                <w:rFonts w:ascii="Arial" w:eastAsia="Calibri" w:hAnsi="Arial" w:cs="Arial"/>
                <w:sz w:val="20"/>
                <w:szCs w:val="20"/>
              </w:rPr>
            </w:pPr>
          </w:p>
        </w:tc>
      </w:tr>
      <w:tr w:rsidR="00073FEF" w:rsidRPr="00073FEF" w14:paraId="37551752" w14:textId="77777777" w:rsidTr="007344E6">
        <w:trPr>
          <w:trHeight w:val="233"/>
        </w:trPr>
        <w:tc>
          <w:tcPr>
            <w:tcW w:w="2785" w:type="dxa"/>
            <w:vAlign w:val="bottom"/>
          </w:tcPr>
          <w:p w14:paraId="6215AEB3" w14:textId="77777777" w:rsidR="00073FEF" w:rsidRPr="00073FEF" w:rsidRDefault="00073FEF" w:rsidP="00CB5A14">
            <w:pPr>
              <w:spacing w:after="0" w:line="240" w:lineRule="auto"/>
              <w:rPr>
                <w:rFonts w:ascii="Arial" w:eastAsia="Calibri" w:hAnsi="Arial" w:cs="Arial"/>
                <w:b/>
                <w:sz w:val="20"/>
                <w:szCs w:val="20"/>
                <w:vertAlign w:val="superscript"/>
              </w:rPr>
            </w:pPr>
            <w:r w:rsidRPr="00073FEF">
              <w:rPr>
                <w:rFonts w:ascii="Arial" w:eastAsia="Calibri" w:hAnsi="Arial" w:cs="Arial"/>
                <w:b/>
                <w:sz w:val="20"/>
                <w:szCs w:val="20"/>
              </w:rPr>
              <w:t>Self-Care</w:t>
            </w:r>
            <w:r w:rsidRPr="00073FEF">
              <w:rPr>
                <w:rFonts w:ascii="Arial" w:eastAsia="Calibri" w:hAnsi="Arial" w:cs="Arial"/>
                <w:b/>
                <w:sz w:val="20"/>
                <w:szCs w:val="20"/>
                <w:vertAlign w:val="superscript"/>
              </w:rPr>
              <w:t>†</w:t>
            </w:r>
          </w:p>
        </w:tc>
        <w:tc>
          <w:tcPr>
            <w:tcW w:w="2160" w:type="dxa"/>
            <w:vAlign w:val="center"/>
          </w:tcPr>
          <w:p w14:paraId="74DBF9A4" w14:textId="77777777" w:rsidR="00073FEF" w:rsidRPr="00073FEF" w:rsidRDefault="00073FEF" w:rsidP="00073FEF">
            <w:pPr>
              <w:spacing w:after="0" w:line="240" w:lineRule="auto"/>
              <w:jc w:val="center"/>
              <w:rPr>
                <w:rFonts w:ascii="Arial" w:eastAsia="Calibri" w:hAnsi="Arial" w:cs="Arial"/>
                <w:b/>
                <w:sz w:val="20"/>
                <w:szCs w:val="20"/>
              </w:rPr>
            </w:pPr>
            <w:r w:rsidRPr="00073FEF">
              <w:rPr>
                <w:rFonts w:ascii="Arial" w:eastAsia="Calibri" w:hAnsi="Arial" w:cs="Arial"/>
                <w:b/>
                <w:sz w:val="20"/>
                <w:szCs w:val="20"/>
              </w:rPr>
              <w:t>Not Adjusted for Cognition</w:t>
            </w:r>
          </w:p>
        </w:tc>
        <w:tc>
          <w:tcPr>
            <w:tcW w:w="1584" w:type="dxa"/>
            <w:vAlign w:val="bottom"/>
          </w:tcPr>
          <w:p w14:paraId="36050902" w14:textId="77777777" w:rsidR="00073FEF" w:rsidRPr="00073FEF" w:rsidRDefault="00073FEF" w:rsidP="00CB5A14">
            <w:pPr>
              <w:spacing w:after="0" w:line="240" w:lineRule="auto"/>
              <w:jc w:val="center"/>
              <w:rPr>
                <w:rFonts w:ascii="Arial" w:eastAsia="Calibri" w:hAnsi="Arial" w:cs="Arial"/>
                <w:b/>
                <w:sz w:val="20"/>
                <w:szCs w:val="20"/>
              </w:rPr>
            </w:pPr>
            <w:r w:rsidRPr="00073FEF">
              <w:rPr>
                <w:rFonts w:ascii="Arial" w:eastAsia="Calibri" w:hAnsi="Arial" w:cs="Arial"/>
                <w:b/>
                <w:sz w:val="20"/>
                <w:szCs w:val="20"/>
              </w:rPr>
              <w:t>Adjusted for Cognition</w:t>
            </w:r>
          </w:p>
        </w:tc>
        <w:tc>
          <w:tcPr>
            <w:tcW w:w="1872" w:type="dxa"/>
            <w:vAlign w:val="center"/>
          </w:tcPr>
          <w:p w14:paraId="7A375216" w14:textId="77777777" w:rsidR="00073FEF" w:rsidRPr="00073FEF" w:rsidRDefault="00073FEF" w:rsidP="00073FEF">
            <w:pPr>
              <w:spacing w:after="0" w:line="240" w:lineRule="auto"/>
              <w:jc w:val="center"/>
              <w:rPr>
                <w:rFonts w:ascii="Arial" w:eastAsia="Calibri" w:hAnsi="Arial" w:cs="Arial"/>
                <w:sz w:val="20"/>
                <w:szCs w:val="20"/>
              </w:rPr>
            </w:pPr>
          </w:p>
        </w:tc>
      </w:tr>
      <w:tr w:rsidR="00CB5A14" w:rsidRPr="00073FEF" w14:paraId="26A9D3A1" w14:textId="77777777" w:rsidTr="007344E6">
        <w:trPr>
          <w:trHeight w:val="233"/>
        </w:trPr>
        <w:tc>
          <w:tcPr>
            <w:tcW w:w="2785" w:type="dxa"/>
            <w:vAlign w:val="center"/>
          </w:tcPr>
          <w:p w14:paraId="566C6C0B" w14:textId="77777777" w:rsidR="00CB5A14" w:rsidRPr="00073FEF" w:rsidRDefault="00CB5A14" w:rsidP="00CB5A14">
            <w:pPr>
              <w:spacing w:after="0" w:line="240" w:lineRule="auto"/>
              <w:rPr>
                <w:rFonts w:ascii="Arial" w:eastAsia="Calibri" w:hAnsi="Arial" w:cs="Arial"/>
                <w:sz w:val="20"/>
                <w:szCs w:val="20"/>
              </w:rPr>
            </w:pPr>
            <w:r>
              <w:rPr>
                <w:rFonts w:ascii="Arial" w:eastAsia="Calibri" w:hAnsi="Arial" w:cs="Arial"/>
                <w:sz w:val="20"/>
                <w:szCs w:val="20"/>
              </w:rPr>
              <w:t xml:space="preserve">  Quartile 1 (most independent)</w:t>
            </w:r>
          </w:p>
        </w:tc>
        <w:tc>
          <w:tcPr>
            <w:tcW w:w="2160" w:type="dxa"/>
            <w:vAlign w:val="center"/>
          </w:tcPr>
          <w:p w14:paraId="1879D83C"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584" w:type="dxa"/>
            <w:vAlign w:val="center"/>
          </w:tcPr>
          <w:p w14:paraId="15694167"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872" w:type="dxa"/>
            <w:vAlign w:val="center"/>
          </w:tcPr>
          <w:p w14:paraId="01FECA76" w14:textId="77777777" w:rsidR="00CB5A14" w:rsidRPr="00073FEF" w:rsidRDefault="00CB5A14" w:rsidP="00CB5A14">
            <w:pPr>
              <w:spacing w:after="0" w:line="240" w:lineRule="auto"/>
              <w:jc w:val="center"/>
              <w:rPr>
                <w:rFonts w:ascii="Arial" w:eastAsia="Calibri" w:hAnsi="Arial" w:cs="Arial"/>
                <w:sz w:val="20"/>
                <w:szCs w:val="20"/>
              </w:rPr>
            </w:pPr>
          </w:p>
        </w:tc>
      </w:tr>
      <w:tr w:rsidR="00CB5A14" w:rsidRPr="00073FEF" w14:paraId="4688D9A3" w14:textId="77777777" w:rsidTr="007344E6">
        <w:trPr>
          <w:trHeight w:val="233"/>
        </w:trPr>
        <w:tc>
          <w:tcPr>
            <w:tcW w:w="2785" w:type="dxa"/>
            <w:vAlign w:val="center"/>
          </w:tcPr>
          <w:p w14:paraId="5C289B42" w14:textId="77777777" w:rsidR="00CB5A14" w:rsidRPr="00073FEF" w:rsidRDefault="00CB5A14" w:rsidP="00CB5A14">
            <w:pPr>
              <w:spacing w:after="0" w:line="240" w:lineRule="auto"/>
              <w:rPr>
                <w:rFonts w:ascii="Arial" w:eastAsia="Calibri" w:hAnsi="Arial" w:cs="Arial"/>
                <w:sz w:val="20"/>
                <w:szCs w:val="20"/>
              </w:rPr>
            </w:pPr>
            <w:r>
              <w:rPr>
                <w:rFonts w:ascii="Arial" w:eastAsia="Calibri" w:hAnsi="Arial" w:cs="Arial"/>
                <w:sz w:val="20"/>
                <w:szCs w:val="20"/>
              </w:rPr>
              <w:t xml:space="preserve">  Quartile 2</w:t>
            </w:r>
          </w:p>
        </w:tc>
        <w:tc>
          <w:tcPr>
            <w:tcW w:w="2160" w:type="dxa"/>
            <w:vAlign w:val="center"/>
          </w:tcPr>
          <w:p w14:paraId="1CD926AB"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1.09 (1.05 – 1.13)</w:t>
            </w:r>
          </w:p>
        </w:tc>
        <w:tc>
          <w:tcPr>
            <w:tcW w:w="1584" w:type="dxa"/>
            <w:vAlign w:val="center"/>
          </w:tcPr>
          <w:p w14:paraId="51AD32FB" w14:textId="476C1869" w:rsidR="00CB5A14" w:rsidRPr="00073FEF" w:rsidRDefault="00CB5A14" w:rsidP="00CB5A14">
            <w:pPr>
              <w:spacing w:after="0" w:line="240" w:lineRule="auto"/>
              <w:jc w:val="center"/>
              <w:rPr>
                <w:rFonts w:ascii="Arial" w:eastAsia="Calibri" w:hAnsi="Arial" w:cs="Arial"/>
                <w:sz w:val="20"/>
                <w:szCs w:val="20"/>
              </w:rPr>
            </w:pPr>
            <w:r w:rsidRPr="00585030">
              <w:rPr>
                <w:rFonts w:ascii="Arial" w:eastAsia="Calibri" w:hAnsi="Arial" w:cs="Arial"/>
                <w:b/>
                <w:sz w:val="20"/>
                <w:szCs w:val="20"/>
              </w:rPr>
              <w:t>1.0</w:t>
            </w:r>
            <w:r w:rsidR="00585030" w:rsidRPr="00585030">
              <w:rPr>
                <w:rFonts w:ascii="Arial" w:eastAsia="Calibri" w:hAnsi="Arial" w:cs="Arial"/>
                <w:b/>
                <w:sz w:val="20"/>
                <w:szCs w:val="20"/>
              </w:rPr>
              <w:t>8</w:t>
            </w:r>
            <w:r w:rsidRPr="00073FEF">
              <w:rPr>
                <w:rFonts w:ascii="Arial" w:eastAsia="Calibri" w:hAnsi="Arial" w:cs="Arial"/>
                <w:sz w:val="20"/>
                <w:szCs w:val="20"/>
              </w:rPr>
              <w:t xml:space="preserve"> (1.05 – 1.12)</w:t>
            </w:r>
          </w:p>
        </w:tc>
        <w:tc>
          <w:tcPr>
            <w:tcW w:w="1872" w:type="dxa"/>
            <w:vAlign w:val="center"/>
          </w:tcPr>
          <w:p w14:paraId="7C899E3F" w14:textId="77777777" w:rsidR="00CB5A14" w:rsidRPr="00073FEF" w:rsidRDefault="00CB5A14" w:rsidP="00CB5A14">
            <w:pPr>
              <w:spacing w:after="0" w:line="240" w:lineRule="auto"/>
              <w:jc w:val="center"/>
              <w:rPr>
                <w:rFonts w:ascii="Arial" w:eastAsia="Calibri" w:hAnsi="Arial" w:cs="Arial"/>
                <w:sz w:val="20"/>
                <w:szCs w:val="20"/>
              </w:rPr>
            </w:pPr>
          </w:p>
        </w:tc>
      </w:tr>
      <w:tr w:rsidR="00CB5A14" w:rsidRPr="00073FEF" w14:paraId="54D7B37C" w14:textId="77777777" w:rsidTr="007344E6">
        <w:trPr>
          <w:trHeight w:val="233"/>
        </w:trPr>
        <w:tc>
          <w:tcPr>
            <w:tcW w:w="2785" w:type="dxa"/>
            <w:vAlign w:val="center"/>
          </w:tcPr>
          <w:p w14:paraId="0B121AB5" w14:textId="77777777" w:rsidR="00CB5A14" w:rsidRPr="00073FEF" w:rsidRDefault="00CB5A14" w:rsidP="00CB5A14">
            <w:pPr>
              <w:spacing w:after="0" w:line="240" w:lineRule="auto"/>
              <w:rPr>
                <w:rFonts w:ascii="Arial" w:eastAsia="Calibri" w:hAnsi="Arial" w:cs="Arial"/>
                <w:sz w:val="20"/>
                <w:szCs w:val="20"/>
              </w:rPr>
            </w:pPr>
            <w:r>
              <w:rPr>
                <w:rFonts w:ascii="Arial" w:eastAsia="Calibri" w:hAnsi="Arial" w:cs="Arial"/>
                <w:sz w:val="20"/>
                <w:szCs w:val="20"/>
              </w:rPr>
              <w:t xml:space="preserve">  Quartile 3</w:t>
            </w:r>
          </w:p>
        </w:tc>
        <w:tc>
          <w:tcPr>
            <w:tcW w:w="2160" w:type="dxa"/>
            <w:vAlign w:val="center"/>
          </w:tcPr>
          <w:p w14:paraId="50975916"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1.34 (1.30 – 1.38)</w:t>
            </w:r>
          </w:p>
        </w:tc>
        <w:tc>
          <w:tcPr>
            <w:tcW w:w="1584" w:type="dxa"/>
            <w:vAlign w:val="center"/>
          </w:tcPr>
          <w:p w14:paraId="594177D5"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1.33 (1.29 – 1.37)</w:t>
            </w:r>
          </w:p>
        </w:tc>
        <w:tc>
          <w:tcPr>
            <w:tcW w:w="1872" w:type="dxa"/>
            <w:vAlign w:val="center"/>
          </w:tcPr>
          <w:p w14:paraId="3F9F1439" w14:textId="77777777" w:rsidR="00CB5A14" w:rsidRPr="00073FEF" w:rsidRDefault="00CB5A14" w:rsidP="00CB5A14">
            <w:pPr>
              <w:spacing w:after="0" w:line="240" w:lineRule="auto"/>
              <w:jc w:val="center"/>
              <w:rPr>
                <w:rFonts w:ascii="Arial" w:eastAsia="Calibri" w:hAnsi="Arial" w:cs="Arial"/>
                <w:sz w:val="20"/>
                <w:szCs w:val="20"/>
              </w:rPr>
            </w:pPr>
          </w:p>
        </w:tc>
      </w:tr>
      <w:tr w:rsidR="00CB5A14" w:rsidRPr="00073FEF" w14:paraId="1C8A60D9" w14:textId="77777777" w:rsidTr="007344E6">
        <w:trPr>
          <w:trHeight w:val="233"/>
        </w:trPr>
        <w:tc>
          <w:tcPr>
            <w:tcW w:w="2785" w:type="dxa"/>
            <w:vAlign w:val="center"/>
          </w:tcPr>
          <w:p w14:paraId="720D81A6" w14:textId="77777777" w:rsidR="00CB5A14" w:rsidRPr="00073FEF" w:rsidRDefault="00CB5A14" w:rsidP="00CB5A14">
            <w:pPr>
              <w:spacing w:after="0" w:line="240" w:lineRule="auto"/>
              <w:rPr>
                <w:rFonts w:ascii="Arial" w:eastAsia="Calibri" w:hAnsi="Arial" w:cs="Arial"/>
                <w:sz w:val="20"/>
                <w:szCs w:val="20"/>
              </w:rPr>
            </w:pPr>
            <w:r>
              <w:rPr>
                <w:rFonts w:ascii="Arial" w:eastAsia="Calibri" w:hAnsi="Arial" w:cs="Arial"/>
                <w:sz w:val="20"/>
                <w:szCs w:val="20"/>
              </w:rPr>
              <w:t xml:space="preserve">  Quartile 4 (most dependent)</w:t>
            </w:r>
          </w:p>
        </w:tc>
        <w:tc>
          <w:tcPr>
            <w:tcW w:w="2160" w:type="dxa"/>
            <w:vAlign w:val="center"/>
          </w:tcPr>
          <w:p w14:paraId="0B33A2D6"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1.65 (1.59 – 1.69)</w:t>
            </w:r>
          </w:p>
        </w:tc>
        <w:tc>
          <w:tcPr>
            <w:tcW w:w="1584" w:type="dxa"/>
            <w:vAlign w:val="center"/>
          </w:tcPr>
          <w:p w14:paraId="56FAA403"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1.61 (1.56 – 1.66)</w:t>
            </w:r>
          </w:p>
        </w:tc>
        <w:tc>
          <w:tcPr>
            <w:tcW w:w="1872" w:type="dxa"/>
            <w:vAlign w:val="center"/>
          </w:tcPr>
          <w:p w14:paraId="6872F0BD" w14:textId="77777777" w:rsidR="00CB5A14" w:rsidRPr="00073FEF" w:rsidRDefault="00CB5A14" w:rsidP="00CB5A14">
            <w:pPr>
              <w:spacing w:after="0" w:line="240" w:lineRule="auto"/>
              <w:jc w:val="center"/>
              <w:rPr>
                <w:rFonts w:ascii="Arial" w:eastAsia="Calibri" w:hAnsi="Arial" w:cs="Arial"/>
                <w:sz w:val="20"/>
                <w:szCs w:val="20"/>
              </w:rPr>
            </w:pPr>
          </w:p>
        </w:tc>
      </w:tr>
      <w:tr w:rsidR="00CB5A14" w:rsidRPr="00073FEF" w14:paraId="2B8CC028" w14:textId="77777777" w:rsidTr="007344E6">
        <w:trPr>
          <w:trHeight w:val="233"/>
        </w:trPr>
        <w:tc>
          <w:tcPr>
            <w:tcW w:w="2785" w:type="dxa"/>
            <w:vAlign w:val="center"/>
          </w:tcPr>
          <w:p w14:paraId="03B224AD" w14:textId="77777777" w:rsidR="00CB5A14" w:rsidRPr="00073FEF" w:rsidRDefault="00CB5A14" w:rsidP="00CB5A14">
            <w:pPr>
              <w:spacing w:after="0" w:line="240" w:lineRule="auto"/>
              <w:rPr>
                <w:rFonts w:ascii="Arial" w:eastAsia="Calibri" w:hAnsi="Arial" w:cs="Arial"/>
                <w:sz w:val="20"/>
                <w:szCs w:val="20"/>
              </w:rPr>
            </w:pPr>
          </w:p>
        </w:tc>
        <w:tc>
          <w:tcPr>
            <w:tcW w:w="2160" w:type="dxa"/>
            <w:vAlign w:val="center"/>
          </w:tcPr>
          <w:p w14:paraId="6435AB08" w14:textId="77777777" w:rsidR="00CB5A14" w:rsidRPr="00073FEF" w:rsidRDefault="00CB5A14" w:rsidP="00CB5A14">
            <w:pPr>
              <w:spacing w:after="0" w:line="240" w:lineRule="auto"/>
              <w:jc w:val="center"/>
              <w:rPr>
                <w:rFonts w:ascii="Arial" w:eastAsia="Calibri" w:hAnsi="Arial" w:cs="Arial"/>
                <w:sz w:val="20"/>
                <w:szCs w:val="20"/>
              </w:rPr>
            </w:pPr>
          </w:p>
        </w:tc>
        <w:tc>
          <w:tcPr>
            <w:tcW w:w="1584" w:type="dxa"/>
            <w:vAlign w:val="center"/>
          </w:tcPr>
          <w:p w14:paraId="79EF35DB" w14:textId="77777777" w:rsidR="00CB5A14" w:rsidRPr="00073FEF" w:rsidRDefault="00CB5A14" w:rsidP="00CB5A14">
            <w:pPr>
              <w:spacing w:after="0" w:line="240" w:lineRule="auto"/>
              <w:jc w:val="center"/>
              <w:rPr>
                <w:rFonts w:ascii="Arial" w:eastAsia="Calibri" w:hAnsi="Arial" w:cs="Arial"/>
                <w:sz w:val="20"/>
                <w:szCs w:val="20"/>
              </w:rPr>
            </w:pPr>
          </w:p>
        </w:tc>
        <w:tc>
          <w:tcPr>
            <w:tcW w:w="1872" w:type="dxa"/>
            <w:vAlign w:val="center"/>
          </w:tcPr>
          <w:p w14:paraId="68F21E99" w14:textId="77777777" w:rsidR="00CB5A14" w:rsidRPr="00073FEF" w:rsidRDefault="00CB5A14" w:rsidP="00CB5A14">
            <w:pPr>
              <w:spacing w:after="0" w:line="240" w:lineRule="auto"/>
              <w:jc w:val="center"/>
              <w:rPr>
                <w:rFonts w:ascii="Arial" w:eastAsia="Calibri" w:hAnsi="Arial" w:cs="Arial"/>
                <w:sz w:val="20"/>
                <w:szCs w:val="20"/>
              </w:rPr>
            </w:pPr>
          </w:p>
        </w:tc>
      </w:tr>
      <w:tr w:rsidR="00CB5A14" w:rsidRPr="00073FEF" w14:paraId="254D9A1E" w14:textId="77777777" w:rsidTr="007344E6">
        <w:trPr>
          <w:trHeight w:val="233"/>
        </w:trPr>
        <w:tc>
          <w:tcPr>
            <w:tcW w:w="2785" w:type="dxa"/>
            <w:vAlign w:val="center"/>
          </w:tcPr>
          <w:p w14:paraId="51B47993" w14:textId="77777777" w:rsidR="00CB5A14" w:rsidRPr="00073FEF" w:rsidRDefault="00CB5A14" w:rsidP="00CB5A14">
            <w:pPr>
              <w:spacing w:after="0" w:line="240" w:lineRule="auto"/>
              <w:rPr>
                <w:rFonts w:ascii="Arial" w:eastAsia="Calibri" w:hAnsi="Arial" w:cs="Arial"/>
                <w:b/>
                <w:sz w:val="20"/>
                <w:szCs w:val="20"/>
              </w:rPr>
            </w:pPr>
          </w:p>
          <w:p w14:paraId="13A8DB57" w14:textId="77777777" w:rsidR="00CB5A14" w:rsidRPr="00073FEF" w:rsidRDefault="00CB5A14" w:rsidP="00CB5A14">
            <w:pPr>
              <w:spacing w:after="0" w:line="240" w:lineRule="auto"/>
              <w:rPr>
                <w:rFonts w:ascii="Arial" w:eastAsia="Calibri" w:hAnsi="Arial" w:cs="Arial"/>
                <w:b/>
                <w:sz w:val="20"/>
                <w:szCs w:val="20"/>
              </w:rPr>
            </w:pPr>
            <w:r w:rsidRPr="00073FEF">
              <w:rPr>
                <w:rFonts w:ascii="Arial" w:eastAsia="Calibri" w:hAnsi="Arial" w:cs="Arial"/>
                <w:b/>
                <w:sz w:val="20"/>
                <w:szCs w:val="20"/>
              </w:rPr>
              <w:t>Cognitive status</w:t>
            </w:r>
            <w:r w:rsidR="006677A5" w:rsidRPr="006677A5">
              <w:rPr>
                <w:rFonts w:ascii="Arial" w:eastAsia="Calibri" w:hAnsi="Arial" w:cs="Arial"/>
                <w:b/>
                <w:sz w:val="20"/>
                <w:szCs w:val="20"/>
                <w:vertAlign w:val="superscript"/>
              </w:rPr>
              <w:t>‡</w:t>
            </w:r>
          </w:p>
        </w:tc>
        <w:tc>
          <w:tcPr>
            <w:tcW w:w="2160" w:type="dxa"/>
            <w:vAlign w:val="center"/>
          </w:tcPr>
          <w:p w14:paraId="4FF35167" w14:textId="77777777" w:rsidR="00CB5A14" w:rsidRPr="00073FEF" w:rsidRDefault="00CB5A14" w:rsidP="00CB5A14">
            <w:pPr>
              <w:spacing w:after="0" w:line="240" w:lineRule="auto"/>
              <w:jc w:val="center"/>
              <w:rPr>
                <w:rFonts w:ascii="Arial" w:eastAsia="Calibri" w:hAnsi="Arial" w:cs="Arial"/>
                <w:b/>
                <w:sz w:val="20"/>
                <w:szCs w:val="20"/>
              </w:rPr>
            </w:pPr>
            <w:r w:rsidRPr="00073FEF">
              <w:rPr>
                <w:rFonts w:ascii="Arial" w:eastAsia="Calibri" w:hAnsi="Arial" w:cs="Arial"/>
                <w:b/>
                <w:sz w:val="20"/>
                <w:szCs w:val="20"/>
              </w:rPr>
              <w:t>Not Adjusted for</w:t>
            </w:r>
          </w:p>
          <w:p w14:paraId="4486AA1E" w14:textId="77777777" w:rsidR="00CB5A14" w:rsidRPr="00073FEF" w:rsidRDefault="00CB5A14" w:rsidP="00CB5A14">
            <w:pPr>
              <w:spacing w:after="0" w:line="240" w:lineRule="auto"/>
              <w:jc w:val="center"/>
              <w:rPr>
                <w:rFonts w:ascii="Arial" w:eastAsia="Calibri" w:hAnsi="Arial" w:cs="Arial"/>
                <w:b/>
                <w:sz w:val="20"/>
                <w:szCs w:val="20"/>
              </w:rPr>
            </w:pPr>
            <w:r w:rsidRPr="00073FEF">
              <w:rPr>
                <w:rFonts w:ascii="Arial" w:eastAsia="Calibri" w:hAnsi="Arial" w:cs="Arial"/>
                <w:b/>
                <w:sz w:val="20"/>
                <w:szCs w:val="20"/>
              </w:rPr>
              <w:t>Self-Care or Mobility</w:t>
            </w:r>
          </w:p>
        </w:tc>
        <w:tc>
          <w:tcPr>
            <w:tcW w:w="1584" w:type="dxa"/>
            <w:vAlign w:val="center"/>
          </w:tcPr>
          <w:p w14:paraId="7D392899" w14:textId="77777777" w:rsidR="00CB5A14" w:rsidRPr="00073FEF" w:rsidRDefault="00CB5A14" w:rsidP="00CB5A14">
            <w:pPr>
              <w:spacing w:after="0" w:line="240" w:lineRule="auto"/>
              <w:jc w:val="center"/>
              <w:rPr>
                <w:rFonts w:ascii="Arial" w:eastAsia="Calibri" w:hAnsi="Arial" w:cs="Arial"/>
                <w:b/>
                <w:sz w:val="20"/>
                <w:szCs w:val="20"/>
              </w:rPr>
            </w:pPr>
            <w:r w:rsidRPr="00073FEF">
              <w:rPr>
                <w:rFonts w:ascii="Arial" w:eastAsia="Calibri" w:hAnsi="Arial" w:cs="Arial"/>
                <w:b/>
                <w:sz w:val="20"/>
                <w:szCs w:val="20"/>
              </w:rPr>
              <w:t>Adjusted for Self-</w:t>
            </w:r>
            <w:r w:rsidR="007344E6">
              <w:rPr>
                <w:rFonts w:ascii="Arial" w:eastAsia="Calibri" w:hAnsi="Arial" w:cs="Arial"/>
                <w:b/>
                <w:sz w:val="20"/>
                <w:szCs w:val="20"/>
              </w:rPr>
              <w:t>c</w:t>
            </w:r>
            <w:r w:rsidRPr="00073FEF">
              <w:rPr>
                <w:rFonts w:ascii="Arial" w:eastAsia="Calibri" w:hAnsi="Arial" w:cs="Arial"/>
                <w:b/>
                <w:sz w:val="20"/>
                <w:szCs w:val="20"/>
              </w:rPr>
              <w:t>are</w:t>
            </w:r>
          </w:p>
        </w:tc>
        <w:tc>
          <w:tcPr>
            <w:tcW w:w="1872" w:type="dxa"/>
            <w:vAlign w:val="center"/>
          </w:tcPr>
          <w:p w14:paraId="14D75E69" w14:textId="77777777" w:rsidR="00CB5A14" w:rsidRPr="00073FEF" w:rsidRDefault="00CB5A14" w:rsidP="00CB5A14">
            <w:pPr>
              <w:spacing w:after="0" w:line="240" w:lineRule="auto"/>
              <w:jc w:val="center"/>
              <w:rPr>
                <w:rFonts w:ascii="Arial" w:eastAsia="Calibri" w:hAnsi="Arial" w:cs="Arial"/>
                <w:b/>
                <w:sz w:val="20"/>
                <w:szCs w:val="20"/>
              </w:rPr>
            </w:pPr>
            <w:r w:rsidRPr="00073FEF">
              <w:rPr>
                <w:rFonts w:ascii="Arial" w:eastAsia="Calibri" w:hAnsi="Arial" w:cs="Arial"/>
                <w:b/>
                <w:sz w:val="20"/>
                <w:szCs w:val="20"/>
              </w:rPr>
              <w:t>Adjusted for Mobility</w:t>
            </w:r>
          </w:p>
        </w:tc>
      </w:tr>
      <w:tr w:rsidR="00CB5A14" w:rsidRPr="00073FEF" w14:paraId="6919EB97" w14:textId="77777777" w:rsidTr="007344E6">
        <w:trPr>
          <w:trHeight w:val="233"/>
        </w:trPr>
        <w:tc>
          <w:tcPr>
            <w:tcW w:w="2785" w:type="dxa"/>
            <w:vAlign w:val="center"/>
          </w:tcPr>
          <w:p w14:paraId="2D1E3EAD" w14:textId="77777777" w:rsidR="00CB5A14" w:rsidRPr="00073FEF" w:rsidRDefault="00CB5A14" w:rsidP="00CB5A14">
            <w:pPr>
              <w:spacing w:after="0" w:line="240" w:lineRule="auto"/>
              <w:rPr>
                <w:rFonts w:ascii="Arial" w:eastAsia="Calibri" w:hAnsi="Arial" w:cs="Arial"/>
                <w:sz w:val="20"/>
                <w:szCs w:val="20"/>
              </w:rPr>
            </w:pPr>
            <w:r w:rsidRPr="00073FEF">
              <w:rPr>
                <w:rFonts w:ascii="Arial" w:eastAsia="Calibri" w:hAnsi="Arial" w:cs="Arial"/>
                <w:sz w:val="20"/>
                <w:szCs w:val="20"/>
              </w:rPr>
              <w:t xml:space="preserve">  Intact </w:t>
            </w:r>
          </w:p>
        </w:tc>
        <w:tc>
          <w:tcPr>
            <w:tcW w:w="2160" w:type="dxa"/>
            <w:vAlign w:val="center"/>
          </w:tcPr>
          <w:p w14:paraId="7C573B26"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584" w:type="dxa"/>
            <w:vAlign w:val="center"/>
          </w:tcPr>
          <w:p w14:paraId="39852BDF"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c>
          <w:tcPr>
            <w:tcW w:w="1872" w:type="dxa"/>
            <w:vAlign w:val="center"/>
          </w:tcPr>
          <w:p w14:paraId="44F0E8A5"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Reference</w:t>
            </w:r>
          </w:p>
        </w:tc>
      </w:tr>
      <w:tr w:rsidR="00CB5A14" w:rsidRPr="00073FEF" w14:paraId="7DEC726B" w14:textId="77777777" w:rsidTr="007344E6">
        <w:trPr>
          <w:trHeight w:val="233"/>
        </w:trPr>
        <w:tc>
          <w:tcPr>
            <w:tcW w:w="2785" w:type="dxa"/>
            <w:tcBorders>
              <w:bottom w:val="single" w:sz="4" w:space="0" w:color="auto"/>
            </w:tcBorders>
            <w:vAlign w:val="center"/>
          </w:tcPr>
          <w:p w14:paraId="226FDE0B" w14:textId="77777777" w:rsidR="00CB5A14" w:rsidRPr="00073FEF" w:rsidRDefault="00CB5A14" w:rsidP="00CB5A14">
            <w:pPr>
              <w:spacing w:after="0" w:line="240" w:lineRule="auto"/>
              <w:rPr>
                <w:rFonts w:ascii="Arial" w:eastAsia="Calibri" w:hAnsi="Arial" w:cs="Arial"/>
                <w:sz w:val="20"/>
                <w:szCs w:val="20"/>
              </w:rPr>
            </w:pPr>
            <w:r w:rsidRPr="00073FEF">
              <w:rPr>
                <w:rFonts w:ascii="Arial" w:eastAsia="Calibri" w:hAnsi="Arial" w:cs="Arial"/>
                <w:sz w:val="20"/>
                <w:szCs w:val="20"/>
              </w:rPr>
              <w:t xml:space="preserve">  Impaired</w:t>
            </w:r>
          </w:p>
        </w:tc>
        <w:tc>
          <w:tcPr>
            <w:tcW w:w="2160" w:type="dxa"/>
            <w:tcBorders>
              <w:bottom w:val="single" w:sz="4" w:space="0" w:color="auto"/>
            </w:tcBorders>
            <w:vAlign w:val="center"/>
          </w:tcPr>
          <w:p w14:paraId="38A60BD6" w14:textId="77777777"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1.21 (1.18 – 1.24)</w:t>
            </w:r>
          </w:p>
        </w:tc>
        <w:tc>
          <w:tcPr>
            <w:tcW w:w="1584" w:type="dxa"/>
            <w:tcBorders>
              <w:bottom w:val="single" w:sz="4" w:space="0" w:color="auto"/>
            </w:tcBorders>
            <w:vAlign w:val="center"/>
          </w:tcPr>
          <w:p w14:paraId="5520E14A" w14:textId="7B3B5A5F" w:rsidR="00CB5A14" w:rsidRPr="00073FEF" w:rsidRDefault="00CB5A14" w:rsidP="00CB5A14">
            <w:pPr>
              <w:spacing w:after="0" w:line="240" w:lineRule="auto"/>
              <w:jc w:val="center"/>
              <w:rPr>
                <w:rFonts w:ascii="Arial" w:eastAsia="Calibri" w:hAnsi="Arial" w:cs="Arial"/>
                <w:sz w:val="20"/>
                <w:szCs w:val="20"/>
              </w:rPr>
            </w:pPr>
            <w:r w:rsidRPr="00073FEF">
              <w:rPr>
                <w:rFonts w:ascii="Arial" w:eastAsia="Calibri" w:hAnsi="Arial" w:cs="Arial"/>
                <w:sz w:val="20"/>
                <w:szCs w:val="20"/>
              </w:rPr>
              <w:t xml:space="preserve">1.04 (1.01 – </w:t>
            </w:r>
            <w:bookmarkStart w:id="0" w:name="_GoBack"/>
            <w:r w:rsidRPr="00585030">
              <w:rPr>
                <w:rFonts w:ascii="Arial" w:eastAsia="Calibri" w:hAnsi="Arial" w:cs="Arial"/>
                <w:b/>
                <w:sz w:val="20"/>
                <w:szCs w:val="20"/>
              </w:rPr>
              <w:t>1.0</w:t>
            </w:r>
            <w:r w:rsidR="00585030" w:rsidRPr="00585030">
              <w:rPr>
                <w:rFonts w:ascii="Arial" w:eastAsia="Calibri" w:hAnsi="Arial" w:cs="Arial"/>
                <w:b/>
                <w:sz w:val="20"/>
                <w:szCs w:val="20"/>
              </w:rPr>
              <w:t>7</w:t>
            </w:r>
            <w:bookmarkEnd w:id="0"/>
            <w:r w:rsidRPr="00073FEF">
              <w:rPr>
                <w:rFonts w:ascii="Arial" w:eastAsia="Calibri" w:hAnsi="Arial" w:cs="Arial"/>
                <w:sz w:val="20"/>
                <w:szCs w:val="20"/>
              </w:rPr>
              <w:t>)</w:t>
            </w:r>
          </w:p>
        </w:tc>
        <w:tc>
          <w:tcPr>
            <w:tcW w:w="1872" w:type="dxa"/>
            <w:tcBorders>
              <w:bottom w:val="single" w:sz="4" w:space="0" w:color="auto"/>
            </w:tcBorders>
            <w:vAlign w:val="center"/>
          </w:tcPr>
          <w:p w14:paraId="696FB7D6" w14:textId="77777777" w:rsidR="00CB5A14" w:rsidRPr="00073FEF" w:rsidRDefault="00A87718" w:rsidP="00CB5A14">
            <w:pPr>
              <w:spacing w:after="0" w:line="240" w:lineRule="auto"/>
              <w:jc w:val="center"/>
              <w:rPr>
                <w:rFonts w:ascii="Arial" w:eastAsia="Calibri" w:hAnsi="Arial" w:cs="Arial"/>
                <w:sz w:val="20"/>
                <w:szCs w:val="20"/>
              </w:rPr>
            </w:pPr>
            <w:r>
              <w:rPr>
                <w:rFonts w:ascii="Arial" w:eastAsia="Calibri" w:hAnsi="Arial" w:cs="Arial"/>
                <w:sz w:val="20"/>
                <w:szCs w:val="20"/>
              </w:rPr>
              <w:t>1.08 (1.05 – 1.10</w:t>
            </w:r>
            <w:r w:rsidR="00CB5A14" w:rsidRPr="00073FEF">
              <w:rPr>
                <w:rFonts w:ascii="Arial" w:eastAsia="Calibri" w:hAnsi="Arial" w:cs="Arial"/>
                <w:sz w:val="20"/>
                <w:szCs w:val="20"/>
              </w:rPr>
              <w:t>)</w:t>
            </w:r>
          </w:p>
        </w:tc>
      </w:tr>
    </w:tbl>
    <w:p w14:paraId="72EE5F5D" w14:textId="77777777" w:rsidR="002670B2" w:rsidRDefault="002670B2" w:rsidP="001B681B">
      <w:pPr>
        <w:spacing w:after="0" w:line="480" w:lineRule="auto"/>
        <w:rPr>
          <w:rFonts w:ascii="Arial" w:hAnsi="Arial" w:cs="Arial"/>
        </w:rPr>
      </w:pPr>
      <w:r>
        <w:rPr>
          <w:rFonts w:ascii="Arial" w:hAnsi="Arial" w:cs="Arial"/>
        </w:rPr>
        <w:t>Abbreviation: CI, confidence interval</w:t>
      </w:r>
    </w:p>
    <w:p w14:paraId="3DCD7396" w14:textId="77777777" w:rsidR="002670B2" w:rsidRPr="00EE6678" w:rsidRDefault="002670B2" w:rsidP="001B681B">
      <w:pPr>
        <w:spacing w:after="0" w:line="480" w:lineRule="auto"/>
        <w:ind w:left="216" w:hanging="216"/>
        <w:rPr>
          <w:rFonts w:ascii="Arial" w:hAnsi="Arial" w:cs="Arial"/>
        </w:rPr>
      </w:pPr>
      <w:r w:rsidRPr="002670B2">
        <w:rPr>
          <w:rFonts w:ascii="Arial" w:hAnsi="Arial" w:cs="Arial"/>
        </w:rPr>
        <w:t>*</w:t>
      </w:r>
      <w:r>
        <w:rPr>
          <w:rFonts w:ascii="Arial" w:hAnsi="Arial" w:cs="Arial"/>
        </w:rPr>
        <w:t xml:space="preserve"> Odds ratios from multilevel models adjusted for </w:t>
      </w:r>
      <w:r w:rsidRPr="00CB6E8A">
        <w:rPr>
          <w:rFonts w:ascii="Arial" w:hAnsi="Arial" w:cs="Arial"/>
        </w:rPr>
        <w:t>patients’ age; sex; race/ethnicity; dual eligibility; Medicare original reason for entitlement; number of hospitalizations over the prior year; comorbidities (hi</w:t>
      </w:r>
      <w:r w:rsidR="00983436">
        <w:rPr>
          <w:rFonts w:ascii="Arial" w:hAnsi="Arial" w:cs="Arial"/>
        </w:rPr>
        <w:t>erarchical condition categories</w:t>
      </w:r>
      <w:r w:rsidRPr="00CB6E8A">
        <w:rPr>
          <w:rFonts w:ascii="Arial" w:hAnsi="Arial" w:cs="Arial"/>
        </w:rPr>
        <w:t>); and index hospitalization diagnostic category, primary procedure</w:t>
      </w:r>
      <w:r w:rsidR="00C71629">
        <w:rPr>
          <w:rFonts w:ascii="Arial" w:hAnsi="Arial" w:cs="Arial"/>
        </w:rPr>
        <w:t xml:space="preserve"> category</w:t>
      </w:r>
      <w:r w:rsidRPr="00CB6E8A">
        <w:rPr>
          <w:rFonts w:ascii="Arial" w:hAnsi="Arial" w:cs="Arial"/>
        </w:rPr>
        <w:t xml:space="preserve"> (if applicable), length of stay, receipt of dialysis, and intensive or coronary care unit utilization. </w:t>
      </w:r>
      <w:r w:rsidRPr="00DE7176">
        <w:rPr>
          <w:rFonts w:ascii="Arial" w:hAnsi="Arial" w:cs="Arial"/>
        </w:rPr>
        <w:t>Complete listings of the odds ratios from the multilevel models prese</w:t>
      </w:r>
      <w:r w:rsidR="00EE6678" w:rsidRPr="00DE7176">
        <w:rPr>
          <w:rFonts w:ascii="Arial" w:hAnsi="Arial" w:cs="Arial"/>
        </w:rPr>
        <w:t>nted are available in Appendix 2</w:t>
      </w:r>
      <w:r w:rsidRPr="00DE7176">
        <w:rPr>
          <w:rFonts w:ascii="Arial" w:hAnsi="Arial" w:cs="Arial"/>
        </w:rPr>
        <w:t>.</w:t>
      </w:r>
    </w:p>
    <w:p w14:paraId="0DD824A0" w14:textId="77777777" w:rsidR="006677A5" w:rsidRPr="00EE6678" w:rsidRDefault="006677A5" w:rsidP="001B681B">
      <w:pPr>
        <w:spacing w:after="0" w:line="480" w:lineRule="auto"/>
        <w:ind w:left="216" w:hanging="216"/>
        <w:rPr>
          <w:rFonts w:ascii="Arial" w:hAnsi="Arial" w:cs="Arial"/>
        </w:rPr>
      </w:pPr>
      <w:r w:rsidRPr="00EE6678">
        <w:rPr>
          <w:rFonts w:ascii="Arial" w:hAnsi="Arial" w:cs="Arial"/>
        </w:rPr>
        <w:t xml:space="preserve">† </w:t>
      </w:r>
      <w:r w:rsidR="00EE6678" w:rsidRPr="00EE6678">
        <w:rPr>
          <w:rFonts w:ascii="Arial" w:hAnsi="Arial" w:cs="Arial"/>
        </w:rPr>
        <w:t xml:space="preserve">Mobility and self-care domains created using items from </w:t>
      </w:r>
      <w:r w:rsidR="00EE6678" w:rsidRPr="00EE6678">
        <w:rPr>
          <w:rFonts w:ascii="Arial" w:hAnsi="Arial" w:cs="Arial"/>
          <w:color w:val="000000" w:themeColor="text1"/>
        </w:rPr>
        <w:t>Home Health Outcome and Assessment Information Set (OASIS). The mobility domain included three items related to transfers and ambulation/locomotion. The self-care domain included seven items related to feeding, preparing light meals, grooming, dressing, bathing, and toilet hygiene.</w:t>
      </w:r>
    </w:p>
    <w:p w14:paraId="3801CD84" w14:textId="77777777" w:rsidR="00EE6678" w:rsidRPr="00EE6678" w:rsidRDefault="006677A5" w:rsidP="001B681B">
      <w:pPr>
        <w:spacing w:after="0" w:line="480" w:lineRule="auto"/>
        <w:ind w:left="216" w:hanging="216"/>
        <w:rPr>
          <w:rFonts w:ascii="Arial" w:hAnsi="Arial" w:cs="Arial"/>
        </w:rPr>
      </w:pPr>
      <w:r w:rsidRPr="00EE6678">
        <w:rPr>
          <w:rFonts w:ascii="Arial" w:hAnsi="Arial" w:cs="Arial"/>
        </w:rPr>
        <w:t xml:space="preserve">‡ </w:t>
      </w:r>
      <w:r w:rsidR="00EE6678" w:rsidRPr="00EE6678">
        <w:rPr>
          <w:rFonts w:ascii="Arial" w:hAnsi="Arial" w:cs="Arial"/>
        </w:rPr>
        <w:t xml:space="preserve">Cognitive categories created using two items from the </w:t>
      </w:r>
      <w:r w:rsidR="00EE6678" w:rsidRPr="00EE6678">
        <w:rPr>
          <w:rFonts w:ascii="Arial" w:hAnsi="Arial" w:cs="Arial"/>
          <w:color w:val="000000" w:themeColor="text1"/>
        </w:rPr>
        <w:t xml:space="preserve">OASIS. Patients were categorized as ‘Intact’ if they were scored as ‘Alert/oriented, able to focus and shift attention, comprehends </w:t>
      </w:r>
      <w:r w:rsidR="00EE6678" w:rsidRPr="00EE6678">
        <w:rPr>
          <w:rFonts w:ascii="Arial" w:hAnsi="Arial" w:cs="Arial"/>
          <w:color w:val="000000" w:themeColor="text1"/>
        </w:rPr>
        <w:lastRenderedPageBreak/>
        <w:t>and recalls task directions independently’ on the cognitive functioning item and as ‘Expresses complex ideas, feelings, and needs clearly, completely, and easily in all situations with no observable impairment’ on the speech/oral expression item.</w:t>
      </w:r>
    </w:p>
    <w:sectPr w:rsidR="00EE6678" w:rsidRPr="00EE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121B"/>
    <w:multiLevelType w:val="hybridMultilevel"/>
    <w:tmpl w:val="4E7A268C"/>
    <w:lvl w:ilvl="0" w:tplc="D7F09FE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EF"/>
    <w:rsid w:val="00073FEF"/>
    <w:rsid w:val="001B681B"/>
    <w:rsid w:val="002670B2"/>
    <w:rsid w:val="005664B0"/>
    <w:rsid w:val="00585030"/>
    <w:rsid w:val="006677A5"/>
    <w:rsid w:val="006716C4"/>
    <w:rsid w:val="006950E0"/>
    <w:rsid w:val="007344E6"/>
    <w:rsid w:val="007A0219"/>
    <w:rsid w:val="008D5A0F"/>
    <w:rsid w:val="00983436"/>
    <w:rsid w:val="009A661F"/>
    <w:rsid w:val="00A87718"/>
    <w:rsid w:val="00A9319A"/>
    <w:rsid w:val="00C71629"/>
    <w:rsid w:val="00CB5A14"/>
    <w:rsid w:val="00DD00ED"/>
    <w:rsid w:val="00DE7176"/>
    <w:rsid w:val="00E2245C"/>
    <w:rsid w:val="00EE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0568"/>
  <w15:chartTrackingRefBased/>
  <w15:docId w15:val="{74CC3601-635C-44E0-9433-7B748879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EF"/>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FEF"/>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Addie</dc:creator>
  <cp:keywords/>
  <dc:description/>
  <cp:lastModifiedBy>Addie Middleton</cp:lastModifiedBy>
  <cp:revision>3</cp:revision>
  <dcterms:created xsi:type="dcterms:W3CDTF">2019-03-06T13:16:00Z</dcterms:created>
  <dcterms:modified xsi:type="dcterms:W3CDTF">2019-03-06T13:20:00Z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-430334236</vt:i4>
  </property>
  <property fmtid="{D5CDD505-2E9C-101B-9397-08002B2CF9AE}" pid="4" name="_EmailSubject">
    <vt:lpwstr>Correction Request for Article (Med Care 2019;57:145–151)</vt:lpwstr>
  </property>
  <property fmtid="{D5CDD505-2E9C-101B-9397-08002B2CF9AE}" pid="5" name="_AuthorEmail">
    <vt:lpwstr>middlja@musc.edu</vt:lpwstr>
  </property>
  <property fmtid="{D5CDD505-2E9C-101B-9397-08002B2CF9AE}" pid="6" name="_AuthorEmailDisplayName">
    <vt:lpwstr>Middleton, Addie</vt:lpwstr>
  </property>
</Properties>
</file>