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D9" w:rsidRPr="00C41F9A" w:rsidRDefault="007A7CD9" w:rsidP="007A7CD9">
      <w:pPr>
        <w:snapToGrid w:val="0"/>
        <w:rPr>
          <w:rFonts w:eastAsia="PMingLiU"/>
          <w:b/>
        </w:rPr>
      </w:pPr>
      <w:proofErr w:type="spellStart"/>
      <w:proofErr w:type="gramStart"/>
      <w:r w:rsidRPr="00C41F9A">
        <w:rPr>
          <w:rFonts w:eastAsia="PMingLiU"/>
          <w:b/>
        </w:rPr>
        <w:t>eTable</w:t>
      </w:r>
      <w:proofErr w:type="spellEnd"/>
      <w:proofErr w:type="gramEnd"/>
      <w:r w:rsidRPr="00C41F9A">
        <w:rPr>
          <w:rFonts w:eastAsia="PMingLiU"/>
          <w:b/>
        </w:rPr>
        <w:t xml:space="preserve"> 2. Characteristics of patients by medication classes</w:t>
      </w:r>
    </w:p>
    <w:p w:rsidR="007A7CD9" w:rsidRPr="00C41F9A" w:rsidRDefault="007A7CD9" w:rsidP="007A7CD9">
      <w:pPr>
        <w:snapToGrid w:val="0"/>
        <w:rPr>
          <w:rFonts w:eastAsia="PMingLiU"/>
          <w:b/>
        </w:rPr>
      </w:pPr>
    </w:p>
    <w:tbl>
      <w:tblPr>
        <w:tblStyle w:val="TableGrid"/>
        <w:tblW w:w="1068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885"/>
        <w:gridCol w:w="1715"/>
        <w:gridCol w:w="1739"/>
        <w:gridCol w:w="1738"/>
        <w:gridCol w:w="1738"/>
        <w:gridCol w:w="1872"/>
      </w:tblGrid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rPr>
                <w:rFonts w:eastAsia="PMingLiU"/>
              </w:rPr>
            </w:pPr>
            <w:r w:rsidRPr="00C41F9A">
              <w:rPr>
                <w:rFonts w:eastAsia="PMingLiU"/>
              </w:rPr>
              <w:t>Class</w:t>
            </w:r>
          </w:p>
        </w:tc>
        <w:tc>
          <w:tcPr>
            <w:tcW w:w="1715" w:type="dxa"/>
          </w:tcPr>
          <w:p w:rsidR="007A7CD9" w:rsidRPr="00C41F9A" w:rsidRDefault="007A7CD9" w:rsidP="00065644">
            <w:pPr>
              <w:snapToGrid w:val="0"/>
              <w:jc w:val="center"/>
              <w:rPr>
                <w:rFonts w:eastAsia="PMingLiU"/>
              </w:rPr>
            </w:pPr>
            <w:proofErr w:type="spellStart"/>
            <w:r>
              <w:rPr>
                <w:rFonts w:eastAsia="PMingLiU"/>
              </w:rPr>
              <w:t>A</w:t>
            </w:r>
            <w:r w:rsidRPr="00C41F9A">
              <w:rPr>
                <w:rFonts w:eastAsia="PMingLiU"/>
              </w:rPr>
              <w:t>ntilipids</w:t>
            </w:r>
            <w:proofErr w:type="spellEnd"/>
          </w:p>
        </w:tc>
        <w:tc>
          <w:tcPr>
            <w:tcW w:w="1739" w:type="dxa"/>
          </w:tcPr>
          <w:p w:rsidR="007A7CD9" w:rsidRPr="00C41F9A" w:rsidRDefault="007A7CD9" w:rsidP="00065644">
            <w:pPr>
              <w:snapToGrid w:val="0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A</w:t>
            </w:r>
            <w:r w:rsidRPr="00C41F9A">
              <w:rPr>
                <w:rFonts w:eastAsia="PMingLiU"/>
              </w:rPr>
              <w:t>ntipsychotics</w:t>
            </w:r>
          </w:p>
        </w:tc>
        <w:tc>
          <w:tcPr>
            <w:tcW w:w="1738" w:type="dxa"/>
          </w:tcPr>
          <w:p w:rsidR="007A7CD9" w:rsidRPr="00C41F9A" w:rsidRDefault="007A7CD9" w:rsidP="00065644">
            <w:pPr>
              <w:snapToGrid w:val="0"/>
              <w:jc w:val="center"/>
              <w:rPr>
                <w:rFonts w:eastAsia="PMingLiU"/>
              </w:rPr>
            </w:pPr>
            <w:bookmarkStart w:id="0" w:name="OLE_LINK20"/>
            <w:bookmarkStart w:id="1" w:name="OLE_LINK21"/>
            <w:proofErr w:type="spellStart"/>
            <w:r>
              <w:rPr>
                <w:rFonts w:eastAsia="PMingLiU"/>
              </w:rPr>
              <w:t>A</w:t>
            </w:r>
            <w:r w:rsidRPr="00C41F9A">
              <w:rPr>
                <w:rFonts w:eastAsia="PMingLiU"/>
              </w:rPr>
              <w:t>ntiepileptics</w:t>
            </w:r>
            <w:bookmarkEnd w:id="0"/>
            <w:bookmarkEnd w:id="1"/>
            <w:proofErr w:type="spellEnd"/>
          </w:p>
        </w:tc>
        <w:tc>
          <w:tcPr>
            <w:tcW w:w="1738" w:type="dxa"/>
          </w:tcPr>
          <w:p w:rsidR="007A7CD9" w:rsidRPr="00C41F9A" w:rsidRDefault="007A7CD9" w:rsidP="00065644">
            <w:pPr>
              <w:snapToGrid w:val="0"/>
              <w:jc w:val="center"/>
              <w:rPr>
                <w:rFonts w:eastAsia="PMingLiU"/>
              </w:rPr>
            </w:pPr>
            <w:bookmarkStart w:id="2" w:name="OLE_LINK26"/>
            <w:bookmarkStart w:id="3" w:name="OLE_LINK27"/>
            <w:r>
              <w:rPr>
                <w:rFonts w:eastAsia="PMingLiU"/>
              </w:rPr>
              <w:t>A</w:t>
            </w:r>
            <w:r w:rsidRPr="00C41F9A">
              <w:rPr>
                <w:rFonts w:eastAsia="PMingLiU"/>
              </w:rPr>
              <w:t>ntidiabetics</w:t>
            </w:r>
            <w:bookmarkEnd w:id="2"/>
            <w:bookmarkEnd w:id="3"/>
          </w:p>
        </w:tc>
        <w:tc>
          <w:tcPr>
            <w:tcW w:w="1872" w:type="dxa"/>
          </w:tcPr>
          <w:p w:rsidR="007A7CD9" w:rsidRPr="00C41F9A" w:rsidRDefault="007A7CD9" w:rsidP="00065644">
            <w:pPr>
              <w:snapToGrid w:val="0"/>
              <w:jc w:val="center"/>
              <w:rPr>
                <w:rFonts w:eastAsia="PMingLiU"/>
              </w:rPr>
            </w:pPr>
            <w:bookmarkStart w:id="4" w:name="OLE_LINK28"/>
            <w:r>
              <w:rPr>
                <w:rFonts w:eastAsia="PMingLiU"/>
              </w:rPr>
              <w:t>A</w:t>
            </w:r>
            <w:r w:rsidRPr="00C41F9A">
              <w:rPr>
                <w:rFonts w:eastAsia="PMingLiU"/>
              </w:rPr>
              <w:t>ntidepressants</w:t>
            </w:r>
            <w:bookmarkEnd w:id="4"/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rPr>
                <w:rFonts w:eastAsia="PMingLiU"/>
              </w:rPr>
            </w:pPr>
            <w:r w:rsidRPr="00C41F9A">
              <w:rPr>
                <w:rFonts w:eastAsia="PMingLiU"/>
              </w:rPr>
              <w:t>N</w:t>
            </w:r>
          </w:p>
        </w:tc>
        <w:tc>
          <w:tcPr>
            <w:tcW w:w="171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771</w:t>
            </w:r>
          </w:p>
        </w:tc>
        <w:tc>
          <w:tcPr>
            <w:tcW w:w="1739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704</w:t>
            </w:r>
          </w:p>
        </w:tc>
        <w:tc>
          <w:tcPr>
            <w:tcW w:w="1738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2,376</w:t>
            </w:r>
          </w:p>
        </w:tc>
        <w:tc>
          <w:tcPr>
            <w:tcW w:w="1738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226</w:t>
            </w:r>
          </w:p>
        </w:tc>
        <w:tc>
          <w:tcPr>
            <w:tcW w:w="1872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4,647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rPr>
                <w:rFonts w:eastAsia="PMingLiU"/>
              </w:rPr>
            </w:pPr>
            <w:r w:rsidRPr="00C41F9A">
              <w:rPr>
                <w:rFonts w:eastAsia="PMingLiU"/>
              </w:rPr>
              <w:t>Age</w:t>
            </w:r>
          </w:p>
        </w:tc>
        <w:tc>
          <w:tcPr>
            <w:tcW w:w="171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bookmarkStart w:id="5" w:name="OLE_LINK46"/>
            <w:r w:rsidRPr="00C41F9A">
              <w:rPr>
                <w:rFonts w:eastAsia="PMingLiU"/>
              </w:rPr>
              <w:t>51.7±8.4</w:t>
            </w:r>
            <w:bookmarkEnd w:id="5"/>
          </w:p>
        </w:tc>
        <w:tc>
          <w:tcPr>
            <w:tcW w:w="1739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37.8±13.8</w:t>
            </w:r>
          </w:p>
        </w:tc>
        <w:tc>
          <w:tcPr>
            <w:tcW w:w="1738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39.6±12.6</w:t>
            </w:r>
          </w:p>
        </w:tc>
        <w:tc>
          <w:tcPr>
            <w:tcW w:w="1738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51.1±9.9</w:t>
            </w:r>
          </w:p>
        </w:tc>
        <w:tc>
          <w:tcPr>
            <w:tcW w:w="1872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38.7±12.9</w:t>
            </w:r>
          </w:p>
        </w:tc>
      </w:tr>
      <w:tr w:rsidR="007A7CD9" w:rsidRPr="00C41F9A" w:rsidTr="00065644">
        <w:tc>
          <w:tcPr>
            <w:tcW w:w="1885" w:type="dxa"/>
            <w:tcBorders>
              <w:bottom w:val="nil"/>
            </w:tcBorders>
          </w:tcPr>
          <w:p w:rsidR="007A7CD9" w:rsidRPr="00C41F9A" w:rsidRDefault="007A7CD9" w:rsidP="00065644">
            <w:pPr>
              <w:snapToGrid w:val="0"/>
              <w:rPr>
                <w:rFonts w:eastAsia="PMingLiU"/>
              </w:rPr>
            </w:pPr>
            <w:r w:rsidRPr="00C41F9A">
              <w:rPr>
                <w:rFonts w:eastAsia="PMingLiU"/>
              </w:rPr>
              <w:t>Female</w:t>
            </w:r>
          </w:p>
        </w:tc>
        <w:tc>
          <w:tcPr>
            <w:tcW w:w="1715" w:type="dxa"/>
            <w:tcBorders>
              <w:bottom w:val="nil"/>
            </w:tcBorders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38.26%</w:t>
            </w:r>
          </w:p>
        </w:tc>
        <w:tc>
          <w:tcPr>
            <w:tcW w:w="1739" w:type="dxa"/>
            <w:tcBorders>
              <w:bottom w:val="nil"/>
            </w:tcBorders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51.99%</w:t>
            </w:r>
          </w:p>
        </w:tc>
        <w:tc>
          <w:tcPr>
            <w:tcW w:w="1738" w:type="dxa"/>
            <w:tcBorders>
              <w:bottom w:val="nil"/>
            </w:tcBorders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53.32%</w:t>
            </w:r>
          </w:p>
        </w:tc>
        <w:tc>
          <w:tcPr>
            <w:tcW w:w="1738" w:type="dxa"/>
            <w:tcBorders>
              <w:bottom w:val="nil"/>
            </w:tcBorders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38.05%</w:t>
            </w:r>
          </w:p>
        </w:tc>
        <w:tc>
          <w:tcPr>
            <w:tcW w:w="1872" w:type="dxa"/>
            <w:tcBorders>
              <w:bottom w:val="nil"/>
            </w:tcBorders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52.85%</w:t>
            </w:r>
          </w:p>
        </w:tc>
      </w:tr>
    </w:tbl>
    <w:tbl>
      <w:tblPr>
        <w:tblStyle w:val="TableGrid2"/>
        <w:tblW w:w="10683" w:type="dxa"/>
        <w:tblInd w:w="-455" w:type="dxa"/>
        <w:tblLook w:val="04A0" w:firstRow="1" w:lastRow="0" w:firstColumn="1" w:lastColumn="0" w:noHBand="0" w:noVBand="1"/>
      </w:tblPr>
      <w:tblGrid>
        <w:gridCol w:w="1885"/>
        <w:gridCol w:w="1726"/>
        <w:gridCol w:w="1736"/>
        <w:gridCol w:w="1734"/>
        <w:gridCol w:w="1734"/>
        <w:gridCol w:w="1868"/>
      </w:tblGrid>
      <w:tr w:rsidR="007A7CD9" w:rsidRPr="00C41F9A" w:rsidTr="00065644">
        <w:tc>
          <w:tcPr>
            <w:tcW w:w="10683" w:type="dxa"/>
            <w:gridSpan w:val="6"/>
          </w:tcPr>
          <w:p w:rsidR="007A7CD9" w:rsidRPr="00C41F9A" w:rsidRDefault="007A7CD9" w:rsidP="00065644">
            <w:pPr>
              <w:snapToGrid w:val="0"/>
              <w:rPr>
                <w:rFonts w:eastAsia="PMingLiU"/>
              </w:rPr>
            </w:pPr>
            <w:bookmarkStart w:id="6" w:name="OLE_LINK39"/>
            <w:bookmarkStart w:id="7" w:name="OLE_LINK38"/>
            <w:r w:rsidRPr="00C41F9A">
              <w:rPr>
                <w:rFonts w:eastAsia="PMingLiU"/>
              </w:rPr>
              <w:t>Year of the first opioid use disorder diagnosis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bookmarkStart w:id="8" w:name="_Hlk517052951"/>
            <w:r w:rsidRPr="00C41F9A">
              <w:rPr>
                <w:rFonts w:eastAsia="PMingLiU"/>
              </w:rPr>
              <w:t>2011</w:t>
            </w:r>
          </w:p>
        </w:tc>
        <w:tc>
          <w:tcPr>
            <w:tcW w:w="172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28.92%</w:t>
            </w:r>
          </w:p>
        </w:tc>
        <w:tc>
          <w:tcPr>
            <w:tcW w:w="173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33.52%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28.16%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28.76%</w:t>
            </w:r>
          </w:p>
        </w:tc>
        <w:tc>
          <w:tcPr>
            <w:tcW w:w="1868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29.50%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2012</w:t>
            </w:r>
          </w:p>
        </w:tc>
        <w:tc>
          <w:tcPr>
            <w:tcW w:w="172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23.87%</w:t>
            </w:r>
          </w:p>
        </w:tc>
        <w:tc>
          <w:tcPr>
            <w:tcW w:w="173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28.27%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25.34%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21.24%</w:t>
            </w:r>
          </w:p>
        </w:tc>
        <w:tc>
          <w:tcPr>
            <w:tcW w:w="1868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26.23%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2013</w:t>
            </w:r>
          </w:p>
        </w:tc>
        <w:tc>
          <w:tcPr>
            <w:tcW w:w="172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22.31%</w:t>
            </w:r>
          </w:p>
        </w:tc>
        <w:tc>
          <w:tcPr>
            <w:tcW w:w="173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23.58%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23.86%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22.57%</w:t>
            </w:r>
          </w:p>
        </w:tc>
        <w:tc>
          <w:tcPr>
            <w:tcW w:w="1868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23.09%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2014</w:t>
            </w:r>
          </w:p>
        </w:tc>
        <w:tc>
          <w:tcPr>
            <w:tcW w:w="172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18.29%</w:t>
            </w:r>
          </w:p>
        </w:tc>
        <w:tc>
          <w:tcPr>
            <w:tcW w:w="173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12.36%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16.75%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18.58%</w:t>
            </w:r>
          </w:p>
        </w:tc>
        <w:tc>
          <w:tcPr>
            <w:tcW w:w="1868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15.58%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2015</w:t>
            </w:r>
          </w:p>
        </w:tc>
        <w:tc>
          <w:tcPr>
            <w:tcW w:w="172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6.61%</w:t>
            </w:r>
          </w:p>
        </w:tc>
        <w:tc>
          <w:tcPr>
            <w:tcW w:w="173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2.27%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5.89%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8.85%</w:t>
            </w:r>
          </w:p>
        </w:tc>
        <w:tc>
          <w:tcPr>
            <w:tcW w:w="1868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5.60%</w:t>
            </w:r>
          </w:p>
        </w:tc>
      </w:tr>
      <w:tr w:rsidR="007A7CD9" w:rsidRPr="00C41F9A" w:rsidTr="00065644">
        <w:tc>
          <w:tcPr>
            <w:tcW w:w="10683" w:type="dxa"/>
            <w:gridSpan w:val="6"/>
          </w:tcPr>
          <w:p w:rsidR="007A7CD9" w:rsidRPr="00C41F9A" w:rsidRDefault="007A7CD9" w:rsidP="00065644">
            <w:pPr>
              <w:snapToGrid w:val="0"/>
              <w:rPr>
                <w:rFonts w:eastAsia="PMingLiU"/>
              </w:rPr>
            </w:pPr>
            <w:bookmarkStart w:id="9" w:name="OLE_LINK40"/>
            <w:bookmarkEnd w:id="6"/>
            <w:bookmarkEnd w:id="8"/>
            <w:r w:rsidRPr="00C41F9A">
              <w:rPr>
                <w:rFonts w:eastAsia="PMingLiU"/>
              </w:rPr>
              <w:t>Year of the first buprenorphine prescription</w:t>
            </w:r>
          </w:p>
        </w:tc>
      </w:tr>
      <w:bookmarkEnd w:id="9"/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2011</w:t>
            </w:r>
          </w:p>
        </w:tc>
        <w:tc>
          <w:tcPr>
            <w:tcW w:w="172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22.05%</w:t>
            </w:r>
          </w:p>
        </w:tc>
        <w:tc>
          <w:tcPr>
            <w:tcW w:w="173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20.17%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18.69%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21.24%</w:t>
            </w:r>
          </w:p>
        </w:tc>
        <w:tc>
          <w:tcPr>
            <w:tcW w:w="1868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20.14%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2012</w:t>
            </w:r>
          </w:p>
        </w:tc>
        <w:tc>
          <w:tcPr>
            <w:tcW w:w="172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20.49%</w:t>
            </w:r>
          </w:p>
        </w:tc>
        <w:tc>
          <w:tcPr>
            <w:tcW w:w="173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25.28%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22.39%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15.93%</w:t>
            </w:r>
          </w:p>
        </w:tc>
        <w:tc>
          <w:tcPr>
            <w:tcW w:w="1868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24.51%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2013</w:t>
            </w:r>
          </w:p>
        </w:tc>
        <w:tc>
          <w:tcPr>
            <w:tcW w:w="172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24.38%</w:t>
            </w:r>
          </w:p>
        </w:tc>
        <w:tc>
          <w:tcPr>
            <w:tcW w:w="173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25.85%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24.03%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23.45%</w:t>
            </w:r>
          </w:p>
        </w:tc>
        <w:tc>
          <w:tcPr>
            <w:tcW w:w="1868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24.55%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2014</w:t>
            </w:r>
          </w:p>
        </w:tc>
        <w:tc>
          <w:tcPr>
            <w:tcW w:w="172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22.57%</w:t>
            </w:r>
          </w:p>
        </w:tc>
        <w:tc>
          <w:tcPr>
            <w:tcW w:w="173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21.16%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23.32%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24.78%</w:t>
            </w:r>
          </w:p>
        </w:tc>
        <w:tc>
          <w:tcPr>
            <w:tcW w:w="1868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20.53%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2015</w:t>
            </w:r>
          </w:p>
        </w:tc>
        <w:tc>
          <w:tcPr>
            <w:tcW w:w="172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10.51%</w:t>
            </w:r>
          </w:p>
        </w:tc>
        <w:tc>
          <w:tcPr>
            <w:tcW w:w="1736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7.53%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11.57%</w:t>
            </w:r>
          </w:p>
        </w:tc>
        <w:tc>
          <w:tcPr>
            <w:tcW w:w="1734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14.60%</w:t>
            </w:r>
          </w:p>
        </w:tc>
        <w:tc>
          <w:tcPr>
            <w:tcW w:w="1868" w:type="dxa"/>
            <w:vAlign w:val="bottom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10.26%</w:t>
            </w:r>
          </w:p>
        </w:tc>
      </w:tr>
    </w:tbl>
    <w:tbl>
      <w:tblPr>
        <w:tblStyle w:val="TableGrid"/>
        <w:tblW w:w="10705" w:type="dxa"/>
        <w:tblInd w:w="-455" w:type="dxa"/>
        <w:tblLook w:val="04A0" w:firstRow="1" w:lastRow="0" w:firstColumn="1" w:lastColumn="0" w:noHBand="0" w:noVBand="1"/>
      </w:tblPr>
      <w:tblGrid>
        <w:gridCol w:w="1885"/>
        <w:gridCol w:w="1750"/>
        <w:gridCol w:w="1736"/>
        <w:gridCol w:w="1734"/>
        <w:gridCol w:w="1734"/>
        <w:gridCol w:w="1866"/>
      </w:tblGrid>
      <w:tr w:rsidR="007A7CD9" w:rsidRPr="00C41F9A" w:rsidTr="00065644">
        <w:tc>
          <w:tcPr>
            <w:tcW w:w="10705" w:type="dxa"/>
            <w:gridSpan w:val="6"/>
          </w:tcPr>
          <w:p w:rsidR="007A7CD9" w:rsidRPr="00C41F9A" w:rsidRDefault="007A7CD9" w:rsidP="00065644">
            <w:pPr>
              <w:snapToGrid w:val="0"/>
              <w:rPr>
                <w:rFonts w:eastAsia="PMingLiU"/>
              </w:rPr>
            </w:pPr>
            <w:r w:rsidRPr="00C41F9A">
              <w:rPr>
                <w:rFonts w:eastAsia="PMingLiU"/>
              </w:rPr>
              <w:t>Year of the first chronic medication prescription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2010</w:t>
            </w:r>
          </w:p>
        </w:tc>
        <w:tc>
          <w:tcPr>
            <w:tcW w:w="1750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52.79%</w:t>
            </w:r>
          </w:p>
        </w:tc>
        <w:tc>
          <w:tcPr>
            <w:tcW w:w="173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35.51%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39.98%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53.10%</w:t>
            </w:r>
          </w:p>
        </w:tc>
        <w:tc>
          <w:tcPr>
            <w:tcW w:w="186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47.58%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2011</w:t>
            </w:r>
          </w:p>
        </w:tc>
        <w:tc>
          <w:tcPr>
            <w:tcW w:w="1750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19.58%</w:t>
            </w:r>
          </w:p>
        </w:tc>
        <w:tc>
          <w:tcPr>
            <w:tcW w:w="173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27.70%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23.70%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19.91%</w:t>
            </w:r>
          </w:p>
        </w:tc>
        <w:tc>
          <w:tcPr>
            <w:tcW w:w="186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21.84%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2012</w:t>
            </w:r>
          </w:p>
        </w:tc>
        <w:tc>
          <w:tcPr>
            <w:tcW w:w="1750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11.67%</w:t>
            </w:r>
          </w:p>
        </w:tc>
        <w:tc>
          <w:tcPr>
            <w:tcW w:w="173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16.90%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15.11%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9.73%</w:t>
            </w:r>
          </w:p>
        </w:tc>
        <w:tc>
          <w:tcPr>
            <w:tcW w:w="186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13.94%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2013</w:t>
            </w:r>
          </w:p>
        </w:tc>
        <w:tc>
          <w:tcPr>
            <w:tcW w:w="1750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11.15%</w:t>
            </w:r>
          </w:p>
        </w:tc>
        <w:tc>
          <w:tcPr>
            <w:tcW w:w="173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15.63%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15.57%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10.18%</w:t>
            </w:r>
          </w:p>
        </w:tc>
        <w:tc>
          <w:tcPr>
            <w:tcW w:w="186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12.29%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2014</w:t>
            </w:r>
          </w:p>
        </w:tc>
        <w:tc>
          <w:tcPr>
            <w:tcW w:w="1750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4.80%</w:t>
            </w:r>
          </w:p>
        </w:tc>
        <w:tc>
          <w:tcPr>
            <w:tcW w:w="173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4.26%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5.64%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7.08%</w:t>
            </w:r>
          </w:p>
        </w:tc>
        <w:tc>
          <w:tcPr>
            <w:tcW w:w="186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4.35%</w:t>
            </w:r>
          </w:p>
        </w:tc>
      </w:tr>
      <w:tr w:rsidR="007A7CD9" w:rsidRPr="00C41F9A" w:rsidTr="00065644">
        <w:tc>
          <w:tcPr>
            <w:tcW w:w="10705" w:type="dxa"/>
            <w:gridSpan w:val="6"/>
          </w:tcPr>
          <w:p w:rsidR="007A7CD9" w:rsidRPr="00C41F9A" w:rsidRDefault="007A7CD9" w:rsidP="00065644">
            <w:pPr>
              <w:snapToGrid w:val="0"/>
              <w:rPr>
                <w:rFonts w:eastAsia="PMingLiU"/>
              </w:rPr>
            </w:pPr>
            <w:bookmarkStart w:id="10" w:name="_Hlk518593982"/>
            <w:bookmarkEnd w:id="7"/>
            <w:r w:rsidRPr="00C41F9A">
              <w:rPr>
                <w:rFonts w:eastAsia="PMingLiU"/>
              </w:rPr>
              <w:t xml:space="preserve">Morbidity / Chronic Classification Software </w:t>
            </w:r>
          </w:p>
        </w:tc>
      </w:tr>
      <w:bookmarkEnd w:id="10"/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&lt;=5</w:t>
            </w:r>
          </w:p>
        </w:tc>
        <w:tc>
          <w:tcPr>
            <w:tcW w:w="1750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17.64%</w:t>
            </w:r>
          </w:p>
        </w:tc>
        <w:tc>
          <w:tcPr>
            <w:tcW w:w="173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21.16%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21.55%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14.16%</w:t>
            </w:r>
          </w:p>
        </w:tc>
        <w:tc>
          <w:tcPr>
            <w:tcW w:w="186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27.18%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6 – 10</w:t>
            </w:r>
          </w:p>
        </w:tc>
        <w:tc>
          <w:tcPr>
            <w:tcW w:w="1750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30.09%</w:t>
            </w:r>
          </w:p>
        </w:tc>
        <w:tc>
          <w:tcPr>
            <w:tcW w:w="173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31.11%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29.63%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24.78%</w:t>
            </w:r>
          </w:p>
        </w:tc>
        <w:tc>
          <w:tcPr>
            <w:tcW w:w="186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30.97%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10 – 15</w:t>
            </w:r>
          </w:p>
        </w:tc>
        <w:tc>
          <w:tcPr>
            <w:tcW w:w="1750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23.35%</w:t>
            </w:r>
          </w:p>
        </w:tc>
        <w:tc>
          <w:tcPr>
            <w:tcW w:w="173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20.03%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21.30%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26.11%</w:t>
            </w:r>
          </w:p>
        </w:tc>
        <w:tc>
          <w:tcPr>
            <w:tcW w:w="186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20.06%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16 – 20</w:t>
            </w:r>
          </w:p>
        </w:tc>
        <w:tc>
          <w:tcPr>
            <w:tcW w:w="1750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14.53%</w:t>
            </w:r>
          </w:p>
        </w:tc>
        <w:tc>
          <w:tcPr>
            <w:tcW w:w="173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13.64%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13.68%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14.16%</w:t>
            </w:r>
          </w:p>
        </w:tc>
        <w:tc>
          <w:tcPr>
            <w:tcW w:w="186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11.58%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&gt;20</w:t>
            </w:r>
          </w:p>
        </w:tc>
        <w:tc>
          <w:tcPr>
            <w:tcW w:w="1750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14.40%</w:t>
            </w:r>
          </w:p>
        </w:tc>
        <w:tc>
          <w:tcPr>
            <w:tcW w:w="173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14.06%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13.85%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20.80%</w:t>
            </w:r>
          </w:p>
        </w:tc>
        <w:tc>
          <w:tcPr>
            <w:tcW w:w="186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10.22%</w:t>
            </w:r>
          </w:p>
        </w:tc>
      </w:tr>
      <w:tr w:rsidR="007A7CD9" w:rsidRPr="00C41F9A" w:rsidTr="00065644">
        <w:tc>
          <w:tcPr>
            <w:tcW w:w="10705" w:type="dxa"/>
            <w:gridSpan w:val="6"/>
          </w:tcPr>
          <w:p w:rsidR="007A7CD9" w:rsidRPr="00C41F9A" w:rsidRDefault="007A7CD9" w:rsidP="00065644">
            <w:pPr>
              <w:snapToGrid w:val="0"/>
              <w:rPr>
                <w:rFonts w:eastAsia="PMingLiU"/>
              </w:rPr>
            </w:pPr>
            <w:r w:rsidRPr="00C41F9A">
              <w:rPr>
                <w:rFonts w:eastAsia="PMingLiU"/>
              </w:rPr>
              <w:t>Prescriptions and adherence of medications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bookmarkStart w:id="11" w:name="_Hlk517111215"/>
            <w:r w:rsidRPr="00C41F9A">
              <w:rPr>
                <w:rFonts w:eastAsia="PMingLiU"/>
              </w:rPr>
              <w:t># of prescriptions</w:t>
            </w:r>
          </w:p>
        </w:tc>
        <w:tc>
          <w:tcPr>
            <w:tcW w:w="1750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6.1±4.5</w:t>
            </w:r>
          </w:p>
        </w:tc>
        <w:tc>
          <w:tcPr>
            <w:tcW w:w="173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6.8±5.2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8.3±6.4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7.9±5.7</w:t>
            </w:r>
          </w:p>
        </w:tc>
        <w:tc>
          <w:tcPr>
            <w:tcW w:w="186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9.2±6.7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Pre-Index adherence</w:t>
            </w:r>
          </w:p>
        </w:tc>
        <w:tc>
          <w:tcPr>
            <w:tcW w:w="1750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61.6%±33.3%</w:t>
            </w:r>
          </w:p>
        </w:tc>
        <w:tc>
          <w:tcPr>
            <w:tcW w:w="173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47.1%±35.1%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54.0%±35.6%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63.3%±33.1%</w:t>
            </w:r>
          </w:p>
        </w:tc>
        <w:tc>
          <w:tcPr>
            <w:tcW w:w="186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55.8%±35.4%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>
              <w:rPr>
                <w:rFonts w:eastAsia="PMingLiU"/>
              </w:rPr>
              <w:t>A</w:t>
            </w:r>
            <w:r w:rsidRPr="00C41F9A">
              <w:rPr>
                <w:rFonts w:eastAsia="PMingLiU"/>
              </w:rPr>
              <w:t>dherence</w:t>
            </w:r>
            <w:r>
              <w:rPr>
                <w:rFonts w:eastAsia="PMingLiU"/>
              </w:rPr>
              <w:t xml:space="preserve"> after buprenorphine initiation</w:t>
            </w:r>
          </w:p>
        </w:tc>
        <w:tc>
          <w:tcPr>
            <w:tcW w:w="1750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56.3%±36.4%</w:t>
            </w:r>
          </w:p>
        </w:tc>
        <w:tc>
          <w:tcPr>
            <w:tcW w:w="173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47.5%±37.3%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48.9%±37.7%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63.5%±34.8%</w:t>
            </w:r>
          </w:p>
        </w:tc>
        <w:tc>
          <w:tcPr>
            <w:tcW w:w="186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59.1%±35.7%</w:t>
            </w:r>
          </w:p>
        </w:tc>
      </w:tr>
      <w:tr w:rsidR="007A7CD9" w:rsidRPr="00C41F9A" w:rsidTr="00065644">
        <w:tc>
          <w:tcPr>
            <w:tcW w:w="1885" w:type="dxa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Buprenorphine adherence</w:t>
            </w:r>
          </w:p>
        </w:tc>
        <w:tc>
          <w:tcPr>
            <w:tcW w:w="1750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85.0%±19.2%</w:t>
            </w:r>
          </w:p>
        </w:tc>
        <w:tc>
          <w:tcPr>
            <w:tcW w:w="173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80.7%±21.0%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83.7%±20.0%</w:t>
            </w:r>
          </w:p>
        </w:tc>
        <w:tc>
          <w:tcPr>
            <w:tcW w:w="1734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82.9%±19.9%</w:t>
            </w:r>
          </w:p>
        </w:tc>
        <w:tc>
          <w:tcPr>
            <w:tcW w:w="1866" w:type="dxa"/>
            <w:vAlign w:val="center"/>
          </w:tcPr>
          <w:p w:rsidR="007A7CD9" w:rsidRPr="00C41F9A" w:rsidRDefault="007A7CD9" w:rsidP="00065644">
            <w:pPr>
              <w:snapToGrid w:val="0"/>
              <w:jc w:val="right"/>
              <w:rPr>
                <w:rFonts w:eastAsia="PMingLiU"/>
              </w:rPr>
            </w:pPr>
            <w:r w:rsidRPr="00C41F9A">
              <w:rPr>
                <w:rFonts w:eastAsia="PMingLiU"/>
              </w:rPr>
              <w:t>83.7%±19.8%</w:t>
            </w:r>
          </w:p>
        </w:tc>
      </w:tr>
      <w:bookmarkEnd w:id="11"/>
    </w:tbl>
    <w:p w:rsidR="007A7CD9" w:rsidRPr="00C41F9A" w:rsidRDefault="007A7CD9" w:rsidP="007A7CD9">
      <w:pPr>
        <w:snapToGrid w:val="0"/>
        <w:jc w:val="right"/>
        <w:rPr>
          <w:rFonts w:eastAsia="PMingLiU"/>
          <w:b/>
        </w:rPr>
      </w:pPr>
    </w:p>
    <w:p w:rsidR="007A7CD9" w:rsidRPr="00C41F9A" w:rsidRDefault="007A7CD9" w:rsidP="007A7CD9">
      <w:pPr>
        <w:snapToGrid w:val="0"/>
        <w:rPr>
          <w:rFonts w:eastAsia="PMingLiU"/>
          <w:b/>
        </w:rPr>
      </w:pPr>
    </w:p>
    <w:p w:rsidR="00D83E4D" w:rsidRPr="007A7CD9" w:rsidRDefault="007A7CD9" w:rsidP="007A7CD9">
      <w:bookmarkStart w:id="12" w:name="_GoBack"/>
      <w:bookmarkEnd w:id="12"/>
    </w:p>
    <w:sectPr w:rsidR="00D83E4D" w:rsidRPr="007A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A8"/>
    <w:rsid w:val="003E2FAB"/>
    <w:rsid w:val="00740F9B"/>
    <w:rsid w:val="00773BF6"/>
    <w:rsid w:val="007A7CD9"/>
    <w:rsid w:val="00C27FA8"/>
    <w:rsid w:val="00ED15A8"/>
    <w:rsid w:val="00F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ED3DD-9C22-429C-9FF1-4579DBCC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5A8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7CD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Heyward, James</dc:creator>
  <cp:keywords/>
  <dc:description/>
  <cp:lastModifiedBy>Heyward, James</cp:lastModifiedBy>
  <cp:revision>2</cp:revision>
  <dcterms:created xsi:type="dcterms:W3CDTF">2018-11-13T21:22:00Z</dcterms:created>
  <dcterms:modified xsi:type="dcterms:W3CDTF">2018-11-13T21:22:00Z</dcterms:modified>
</cp:coreProperties>
</file>