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F" w:rsidRPr="00087F36" w:rsidRDefault="009E44AF" w:rsidP="009E44AF">
      <w:pPr>
        <w:rPr>
          <w:b/>
        </w:rPr>
      </w:pPr>
      <w:r>
        <w:rPr>
          <w:b/>
        </w:rPr>
        <w:t xml:space="preserve">Supplemental </w:t>
      </w:r>
      <w:r w:rsidRPr="00087F36">
        <w:rPr>
          <w:b/>
        </w:rPr>
        <w:t xml:space="preserve">Table </w:t>
      </w:r>
      <w:r>
        <w:rPr>
          <w:b/>
        </w:rPr>
        <w:t>1</w:t>
      </w:r>
      <w:r w:rsidRPr="00087F36">
        <w:rPr>
          <w:b/>
        </w:rPr>
        <w:t xml:space="preserve"> Absolute and </w:t>
      </w:r>
      <w:r>
        <w:rPr>
          <w:b/>
        </w:rPr>
        <w:t xml:space="preserve">Unadjusted </w:t>
      </w:r>
      <w:r w:rsidRPr="00087F36">
        <w:rPr>
          <w:b/>
        </w:rPr>
        <w:t xml:space="preserve">Relative Risks of </w:t>
      </w:r>
      <w:r>
        <w:rPr>
          <w:b/>
        </w:rPr>
        <w:t>Associated Risk Factors for Thrombotic Events Stratified by Inflammatory Bowel Disease Type</w:t>
      </w:r>
    </w:p>
    <w:p w:rsidR="009E44AF" w:rsidRPr="00087F36" w:rsidRDefault="009E44AF" w:rsidP="009E4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2250"/>
        <w:gridCol w:w="2160"/>
        <w:gridCol w:w="2340"/>
      </w:tblGrid>
      <w:tr w:rsidR="009E44AF" w:rsidRPr="00087F36" w:rsidTr="008D4A39">
        <w:tc>
          <w:tcPr>
            <w:tcW w:w="2970" w:type="dxa"/>
          </w:tcPr>
          <w:p w:rsidR="009E44AF" w:rsidRPr="00087F36" w:rsidRDefault="009E44AF" w:rsidP="008D4A39"/>
        </w:tc>
        <w:tc>
          <w:tcPr>
            <w:tcW w:w="2250" w:type="dxa"/>
          </w:tcPr>
          <w:p w:rsidR="009E44AF" w:rsidRPr="00087F36" w:rsidRDefault="009E44AF" w:rsidP="008D4A39">
            <w:proofErr w:type="spellStart"/>
            <w:r w:rsidRPr="00087F36">
              <w:t>Crohn’s</w:t>
            </w:r>
            <w:proofErr w:type="spellEnd"/>
            <w:r w:rsidRPr="00087F36">
              <w:t xml:space="preserve"> Disease</w:t>
            </w:r>
          </w:p>
        </w:tc>
        <w:tc>
          <w:tcPr>
            <w:tcW w:w="2160" w:type="dxa"/>
          </w:tcPr>
          <w:p w:rsidR="009E44AF" w:rsidRPr="00087F36" w:rsidRDefault="009E44AF" w:rsidP="008D4A39">
            <w:r w:rsidRPr="00087F36">
              <w:t>Ulcerative Colitis</w:t>
            </w:r>
          </w:p>
        </w:tc>
        <w:tc>
          <w:tcPr>
            <w:tcW w:w="2340" w:type="dxa"/>
          </w:tcPr>
          <w:p w:rsidR="009E44AF" w:rsidRPr="00087F36" w:rsidRDefault="009E44AF" w:rsidP="008D4A39">
            <w:r w:rsidRPr="00087F36">
              <w:t xml:space="preserve">Non-IBD 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Default="009E44AF" w:rsidP="008D4A39">
            <w:r>
              <w:t>Baseline Absolute Risk</w:t>
            </w:r>
          </w:p>
        </w:tc>
        <w:tc>
          <w:tcPr>
            <w:tcW w:w="2250" w:type="dxa"/>
          </w:tcPr>
          <w:p w:rsidR="009E44AF" w:rsidRPr="0057197F" w:rsidRDefault="009E44AF" w:rsidP="008D4A39">
            <w:r w:rsidRPr="0057197F">
              <w:t>119.8</w:t>
            </w:r>
          </w:p>
        </w:tc>
        <w:tc>
          <w:tcPr>
            <w:tcW w:w="2160" w:type="dxa"/>
          </w:tcPr>
          <w:p w:rsidR="009E44AF" w:rsidRPr="0057197F" w:rsidRDefault="009E44AF" w:rsidP="008D4A39">
            <w:r w:rsidRPr="0057197F">
              <w:t>101.7</w:t>
            </w:r>
          </w:p>
        </w:tc>
        <w:tc>
          <w:tcPr>
            <w:tcW w:w="2340" w:type="dxa"/>
          </w:tcPr>
          <w:p w:rsidR="009E44AF" w:rsidRPr="0057197F" w:rsidRDefault="009E44AF" w:rsidP="008D4A39">
            <w:r w:rsidRPr="0057197F">
              <w:t>50.4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Pr="00087F36" w:rsidRDefault="009E44AF" w:rsidP="008D4A39">
            <w:r>
              <w:t>Female</w:t>
            </w:r>
          </w:p>
          <w:p w:rsidR="009E44AF" w:rsidRPr="00087F36" w:rsidRDefault="009E44AF" w:rsidP="008D4A39">
            <w:r w:rsidRPr="00087F36">
              <w:t xml:space="preserve">     Absolute Risk </w:t>
            </w:r>
          </w:p>
          <w:p w:rsidR="009E44AF" w:rsidRPr="00087F36" w:rsidRDefault="009E44AF" w:rsidP="008D4A39">
            <w:r w:rsidRPr="00087F36">
              <w:t xml:space="preserve">     Relative Risk</w:t>
            </w:r>
          </w:p>
        </w:tc>
        <w:tc>
          <w:tcPr>
            <w:tcW w:w="2250" w:type="dxa"/>
          </w:tcPr>
          <w:p w:rsidR="009E44AF" w:rsidRPr="00087F36" w:rsidRDefault="009E44AF" w:rsidP="008D4A39"/>
          <w:p w:rsidR="009E44AF" w:rsidRPr="00087F36" w:rsidRDefault="009E44AF" w:rsidP="008D4A39">
            <w:r>
              <w:t>130.3</w:t>
            </w:r>
          </w:p>
          <w:p w:rsidR="009E44AF" w:rsidRPr="00137C94" w:rsidRDefault="009E44AF" w:rsidP="008D4A39">
            <w:r w:rsidRPr="00137C94">
              <w:t>1.18 (0.97-1.43)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087F36" w:rsidRDefault="009E44AF" w:rsidP="008D4A39">
            <w:r>
              <w:t>95.5</w:t>
            </w:r>
          </w:p>
          <w:p w:rsidR="009E44AF" w:rsidRPr="00137C94" w:rsidRDefault="009E44AF" w:rsidP="008D4A39">
            <w:r w:rsidRPr="00137C94">
              <w:t xml:space="preserve">0.87 (0.50-1.53) 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52.0</w:t>
            </w:r>
          </w:p>
          <w:p w:rsidR="009E44AF" w:rsidRPr="00F466FC" w:rsidRDefault="009E44AF" w:rsidP="008D4A39">
            <w:pPr>
              <w:rPr>
                <w:b/>
              </w:rPr>
            </w:pPr>
            <w:r w:rsidRPr="00F466FC">
              <w:rPr>
                <w:b/>
              </w:rPr>
              <w:t>1.05(1.02-1.08)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Default="009E44AF" w:rsidP="008D4A39">
            <w:r>
              <w:t>Abdominal Surgery</w:t>
            </w:r>
          </w:p>
          <w:p w:rsidR="009E44AF" w:rsidRPr="00087F36" w:rsidRDefault="009E44AF" w:rsidP="008D4A39">
            <w:r>
              <w:t xml:space="preserve">     </w:t>
            </w:r>
            <w:r w:rsidRPr="00087F36">
              <w:t xml:space="preserve">Absolute Risk </w:t>
            </w:r>
          </w:p>
          <w:p w:rsidR="009E44AF" w:rsidRPr="00087F36" w:rsidRDefault="009E44AF" w:rsidP="008D4A39">
            <w:r w:rsidRPr="00087F36">
              <w:t xml:space="preserve">     Relative Risk</w:t>
            </w:r>
          </w:p>
        </w:tc>
        <w:tc>
          <w:tcPr>
            <w:tcW w:w="2250" w:type="dxa"/>
          </w:tcPr>
          <w:p w:rsidR="009E44AF" w:rsidRDefault="009E44AF" w:rsidP="008D4A39"/>
          <w:p w:rsidR="009E44AF" w:rsidRDefault="009E44AF" w:rsidP="008D4A39">
            <w:r>
              <w:t>111.2</w:t>
            </w:r>
          </w:p>
          <w:p w:rsidR="009E44AF" w:rsidRPr="00087F36" w:rsidRDefault="009E44AF" w:rsidP="008D4A39">
            <w:r>
              <w:t>0.92 (0.70-1.19)</w:t>
            </w:r>
          </w:p>
        </w:tc>
        <w:tc>
          <w:tcPr>
            <w:tcW w:w="2160" w:type="dxa"/>
          </w:tcPr>
          <w:p w:rsidR="009E44AF" w:rsidRDefault="009E44AF" w:rsidP="008D4A39"/>
          <w:p w:rsidR="009E44AF" w:rsidRDefault="009E44AF" w:rsidP="008D4A39">
            <w:r>
              <w:t>95.8</w:t>
            </w:r>
          </w:p>
          <w:p w:rsidR="009E44AF" w:rsidRPr="00087F36" w:rsidRDefault="009E44AF" w:rsidP="008D4A39">
            <w:r>
              <w:t>1.18 (0.61-2.26)</w:t>
            </w:r>
          </w:p>
        </w:tc>
        <w:tc>
          <w:tcPr>
            <w:tcW w:w="2340" w:type="dxa"/>
          </w:tcPr>
          <w:p w:rsidR="009E44AF" w:rsidRDefault="009E44AF" w:rsidP="008D4A39">
            <w:pPr>
              <w:rPr>
                <w:b/>
              </w:rPr>
            </w:pPr>
          </w:p>
          <w:p w:rsidR="009E44AF" w:rsidRDefault="009E44AF" w:rsidP="008D4A39">
            <w:r w:rsidRPr="0057197F">
              <w:t>119.5</w:t>
            </w:r>
          </w:p>
          <w:p w:rsidR="009E44AF" w:rsidRPr="0057197F" w:rsidRDefault="009E44AF" w:rsidP="008D4A39">
            <w:pPr>
              <w:rPr>
                <w:b/>
              </w:rPr>
            </w:pPr>
            <w:r w:rsidRPr="0057197F">
              <w:rPr>
                <w:b/>
              </w:rPr>
              <w:t>2.43 (2.27-2.60)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Default="009E44AF" w:rsidP="008D4A39">
            <w:proofErr w:type="spellStart"/>
            <w:r>
              <w:t>Hypercoagulable</w:t>
            </w:r>
            <w:proofErr w:type="spellEnd"/>
            <w:r>
              <w:t xml:space="preserve"> State</w:t>
            </w:r>
          </w:p>
          <w:p w:rsidR="009E44AF" w:rsidRPr="00087F36" w:rsidRDefault="009E44AF" w:rsidP="008D4A39">
            <w:r>
              <w:t xml:space="preserve">     </w:t>
            </w:r>
            <w:r w:rsidRPr="00087F36">
              <w:t xml:space="preserve">Absolute Risk </w:t>
            </w:r>
          </w:p>
          <w:p w:rsidR="009E44AF" w:rsidRPr="00087F36" w:rsidRDefault="009E44AF" w:rsidP="008D4A39">
            <w:r w:rsidRPr="00087F36">
              <w:t xml:space="preserve">     Relative Risk</w:t>
            </w:r>
            <w:r>
              <w:t xml:space="preserve">  </w:t>
            </w:r>
          </w:p>
        </w:tc>
        <w:tc>
          <w:tcPr>
            <w:tcW w:w="2250" w:type="dxa"/>
          </w:tcPr>
          <w:p w:rsidR="009E44AF" w:rsidRDefault="009E44AF" w:rsidP="008D4A39"/>
          <w:p w:rsidR="009E44AF" w:rsidRPr="00087F36" w:rsidRDefault="009E44AF" w:rsidP="008D4A39">
            <w:r>
              <w:t>2743.3</w:t>
            </w:r>
          </w:p>
          <w:p w:rsidR="009E44AF" w:rsidRPr="00087F36" w:rsidRDefault="009E44AF" w:rsidP="008D4A39">
            <w:r>
              <w:rPr>
                <w:b/>
              </w:rPr>
              <w:t>23.54</w:t>
            </w:r>
            <w:r w:rsidRPr="00087F36">
              <w:rPr>
                <w:b/>
              </w:rPr>
              <w:t xml:space="preserve"> (</w:t>
            </w:r>
            <w:r>
              <w:rPr>
                <w:b/>
              </w:rPr>
              <w:t>14.86</w:t>
            </w:r>
            <w:r w:rsidRPr="00087F36">
              <w:rPr>
                <w:b/>
              </w:rPr>
              <w:t>-</w:t>
            </w:r>
            <w:r>
              <w:rPr>
                <w:b/>
              </w:rPr>
              <w:t>37.29</w:t>
            </w:r>
            <w:r w:rsidRPr="00087F36">
              <w:rPr>
                <w:b/>
              </w:rPr>
              <w:t>)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087F36" w:rsidRDefault="009E44AF" w:rsidP="008D4A39">
            <w:r>
              <w:t>3199.8</w:t>
            </w:r>
          </w:p>
          <w:p w:rsidR="009E44AF" w:rsidRPr="00087F36" w:rsidRDefault="009E44AF" w:rsidP="008D4A39">
            <w:r>
              <w:rPr>
                <w:b/>
              </w:rPr>
              <w:t>33.44</w:t>
            </w:r>
            <w:r w:rsidRPr="00087F36">
              <w:rPr>
                <w:b/>
              </w:rPr>
              <w:t xml:space="preserve"> (</w:t>
            </w:r>
            <w:r>
              <w:rPr>
                <w:b/>
              </w:rPr>
              <w:t>12.42-90.00</w:t>
            </w:r>
            <w:r w:rsidRPr="00087F36">
              <w:rPr>
                <w:b/>
              </w:rPr>
              <w:t>)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3179.8</w:t>
            </w:r>
          </w:p>
          <w:p w:rsidR="009E44AF" w:rsidRPr="00F55C3E" w:rsidRDefault="009E44AF" w:rsidP="008D4A39">
            <w:pPr>
              <w:rPr>
                <w:b/>
              </w:rPr>
            </w:pPr>
            <w:r w:rsidRPr="00F55C3E">
              <w:rPr>
                <w:b/>
              </w:rPr>
              <w:t>65.46 (61.88-69.26)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Pr="00087F36" w:rsidRDefault="009E44AF" w:rsidP="008D4A39">
            <w:r>
              <w:t>Central Venous Catheter</w:t>
            </w:r>
          </w:p>
          <w:p w:rsidR="009E44AF" w:rsidRPr="00087F36" w:rsidRDefault="009E44AF" w:rsidP="008D4A39">
            <w:r w:rsidRPr="00087F36">
              <w:t xml:space="preserve">     Absolute Risk</w:t>
            </w:r>
          </w:p>
          <w:p w:rsidR="009E44AF" w:rsidRPr="00087F36" w:rsidRDefault="009E44AF" w:rsidP="008D4A39">
            <w:r w:rsidRPr="00087F36">
              <w:t xml:space="preserve">     Relative Risk</w:t>
            </w:r>
          </w:p>
        </w:tc>
        <w:tc>
          <w:tcPr>
            <w:tcW w:w="2250" w:type="dxa"/>
          </w:tcPr>
          <w:p w:rsidR="009E44AF" w:rsidRPr="00087F36" w:rsidRDefault="009E44AF" w:rsidP="008D4A39"/>
          <w:p w:rsidR="009E44AF" w:rsidRPr="00087F36" w:rsidRDefault="009E44AF" w:rsidP="008D4A39">
            <w:r>
              <w:t>324.7</w:t>
            </w:r>
          </w:p>
          <w:p w:rsidR="009E44AF" w:rsidRPr="00087F36" w:rsidRDefault="009E44AF" w:rsidP="008D4A39">
            <w:r>
              <w:rPr>
                <w:b/>
              </w:rPr>
              <w:t>3.59</w:t>
            </w:r>
            <w:r w:rsidRPr="00087F36">
              <w:rPr>
                <w:b/>
              </w:rPr>
              <w:t xml:space="preserve"> (2.</w:t>
            </w:r>
            <w:r>
              <w:rPr>
                <w:b/>
              </w:rPr>
              <w:t>95</w:t>
            </w:r>
            <w:r w:rsidRPr="00087F36">
              <w:rPr>
                <w:b/>
              </w:rPr>
              <w:t>-</w:t>
            </w:r>
            <w:r>
              <w:rPr>
                <w:b/>
              </w:rPr>
              <w:t>4.37</w:t>
            </w:r>
            <w:r w:rsidRPr="00087F36">
              <w:rPr>
                <w:b/>
              </w:rPr>
              <w:t>)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087F36" w:rsidRDefault="009E44AF" w:rsidP="008D4A39">
            <w:r>
              <w:t>222.1</w:t>
            </w:r>
          </w:p>
          <w:p w:rsidR="009E44AF" w:rsidRPr="00087F36" w:rsidRDefault="009E44AF" w:rsidP="008D4A39">
            <w:r w:rsidRPr="00087F36">
              <w:rPr>
                <w:b/>
              </w:rPr>
              <w:t>2.</w:t>
            </w:r>
            <w:r>
              <w:rPr>
                <w:b/>
              </w:rPr>
              <w:t>92</w:t>
            </w:r>
            <w:r w:rsidRPr="00087F36">
              <w:rPr>
                <w:b/>
              </w:rPr>
              <w:t xml:space="preserve"> (1.</w:t>
            </w:r>
            <w:r>
              <w:rPr>
                <w:b/>
              </w:rPr>
              <w:t>65</w:t>
            </w:r>
            <w:r w:rsidRPr="00087F36">
              <w:rPr>
                <w:b/>
              </w:rPr>
              <w:t>-</w:t>
            </w:r>
            <w:r>
              <w:rPr>
                <w:b/>
              </w:rPr>
              <w:t>5.16</w:t>
            </w:r>
            <w:r w:rsidRPr="00087F36">
              <w:rPr>
                <w:b/>
              </w:rPr>
              <w:t>)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317.4</w:t>
            </w:r>
          </w:p>
          <w:p w:rsidR="009E44AF" w:rsidRPr="00F466FC" w:rsidRDefault="009E44AF" w:rsidP="008D4A39">
            <w:pPr>
              <w:rPr>
                <w:b/>
              </w:rPr>
            </w:pPr>
            <w:r w:rsidRPr="00F466FC">
              <w:rPr>
                <w:b/>
              </w:rPr>
              <w:t>7.59 (7.33-7.86)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Pr="00087F36" w:rsidRDefault="009E44AF" w:rsidP="008D4A39">
            <w:r>
              <w:t>Parenteral Nutrition</w:t>
            </w:r>
          </w:p>
          <w:p w:rsidR="009E44AF" w:rsidRPr="00087F36" w:rsidRDefault="009E44AF" w:rsidP="008D4A39">
            <w:r w:rsidRPr="00087F36">
              <w:t xml:space="preserve">     Absolute Risk</w:t>
            </w:r>
          </w:p>
          <w:p w:rsidR="009E44AF" w:rsidRPr="00087F36" w:rsidRDefault="009E44AF" w:rsidP="008D4A39">
            <w:r w:rsidRPr="00087F36">
              <w:t xml:space="preserve">     Relative Risk</w:t>
            </w:r>
          </w:p>
        </w:tc>
        <w:tc>
          <w:tcPr>
            <w:tcW w:w="2250" w:type="dxa"/>
          </w:tcPr>
          <w:p w:rsidR="009E44AF" w:rsidRPr="00087F36" w:rsidRDefault="009E44AF" w:rsidP="008D4A39"/>
          <w:p w:rsidR="009E44AF" w:rsidRPr="00087F36" w:rsidRDefault="009E44AF" w:rsidP="008D4A39">
            <w:r>
              <w:t>282.5</w:t>
            </w:r>
          </w:p>
          <w:p w:rsidR="009E44AF" w:rsidRPr="00087F36" w:rsidRDefault="009E44AF" w:rsidP="008D4A39">
            <w:r w:rsidRPr="00087F36">
              <w:rPr>
                <w:b/>
              </w:rPr>
              <w:t>2.</w:t>
            </w:r>
            <w:r>
              <w:rPr>
                <w:b/>
              </w:rPr>
              <w:t>73</w:t>
            </w:r>
            <w:r w:rsidRPr="00087F36">
              <w:rPr>
                <w:b/>
              </w:rPr>
              <w:t xml:space="preserve"> (2.1</w:t>
            </w:r>
            <w:r>
              <w:rPr>
                <w:b/>
              </w:rPr>
              <w:t>8</w:t>
            </w:r>
            <w:r w:rsidRPr="00087F36">
              <w:rPr>
                <w:b/>
              </w:rPr>
              <w:t>-3.</w:t>
            </w:r>
            <w:r>
              <w:rPr>
                <w:b/>
              </w:rPr>
              <w:t>43</w:t>
            </w:r>
            <w:r w:rsidRPr="00087F36">
              <w:rPr>
                <w:b/>
              </w:rPr>
              <w:t>)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087F36" w:rsidRDefault="009E44AF" w:rsidP="008D4A39">
            <w:r>
              <w:t>229.6</w:t>
            </w:r>
          </w:p>
          <w:p w:rsidR="009E44AF" w:rsidRPr="00087F36" w:rsidRDefault="009E44AF" w:rsidP="008D4A39">
            <w:r w:rsidRPr="00087F36">
              <w:rPr>
                <w:b/>
              </w:rPr>
              <w:t>2.</w:t>
            </w:r>
            <w:r>
              <w:rPr>
                <w:b/>
              </w:rPr>
              <w:t>82</w:t>
            </w:r>
            <w:r w:rsidRPr="00087F36">
              <w:rPr>
                <w:b/>
              </w:rPr>
              <w:t xml:space="preserve"> (1.</w:t>
            </w:r>
            <w:r>
              <w:rPr>
                <w:b/>
              </w:rPr>
              <w:t>56</w:t>
            </w:r>
            <w:r w:rsidRPr="00087F36">
              <w:rPr>
                <w:b/>
              </w:rPr>
              <w:t>-</w:t>
            </w:r>
            <w:r>
              <w:rPr>
                <w:b/>
              </w:rPr>
              <w:t>5.13</w:t>
            </w:r>
            <w:r w:rsidRPr="00087F36">
              <w:rPr>
                <w:b/>
              </w:rPr>
              <w:t xml:space="preserve">) 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320.2</w:t>
            </w:r>
          </w:p>
          <w:p w:rsidR="009E44AF" w:rsidRPr="00962619" w:rsidRDefault="009E44AF" w:rsidP="008D4A39">
            <w:pPr>
              <w:rPr>
                <w:b/>
              </w:rPr>
            </w:pPr>
            <w:r w:rsidRPr="00962619">
              <w:rPr>
                <w:b/>
              </w:rPr>
              <w:t>6.59 (6.17-7.01)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Default="009E44AF" w:rsidP="008D4A39">
            <w:pPr>
              <w:rPr>
                <w:color w:val="000000"/>
              </w:rPr>
            </w:pPr>
            <w:r>
              <w:rPr>
                <w:color w:val="000000"/>
              </w:rPr>
              <w:t>Cancer</w:t>
            </w:r>
          </w:p>
          <w:p w:rsidR="009E44AF" w:rsidRPr="00087F36" w:rsidRDefault="009E44AF" w:rsidP="008D4A39">
            <w:r w:rsidRPr="00087F36">
              <w:t xml:space="preserve">     Absolute Risk</w:t>
            </w:r>
          </w:p>
          <w:p w:rsidR="009E44AF" w:rsidRPr="00087F36" w:rsidRDefault="009E44AF" w:rsidP="008D4A39">
            <w:r w:rsidRPr="00087F36">
              <w:t xml:space="preserve">     Relative Risk</w:t>
            </w:r>
          </w:p>
        </w:tc>
        <w:tc>
          <w:tcPr>
            <w:tcW w:w="2250" w:type="dxa"/>
          </w:tcPr>
          <w:p w:rsidR="009E44AF" w:rsidRPr="00087F36" w:rsidRDefault="009E44AF" w:rsidP="008D4A39"/>
          <w:p w:rsidR="009E44AF" w:rsidRPr="00087F36" w:rsidRDefault="009E44AF" w:rsidP="008D4A39">
            <w:r>
              <w:t>79.6</w:t>
            </w:r>
          </w:p>
          <w:p w:rsidR="009E44AF" w:rsidRPr="00416663" w:rsidRDefault="009E44AF" w:rsidP="008D4A39">
            <w:r w:rsidRPr="00416663">
              <w:t>0.66 (0.19-2.34)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087F36" w:rsidRDefault="009E44AF" w:rsidP="008D4A39">
            <w:r>
              <w:t>132.3</w:t>
            </w:r>
          </w:p>
          <w:p w:rsidR="009E44AF" w:rsidRPr="00416663" w:rsidRDefault="009E44AF" w:rsidP="008D4A39">
            <w:r w:rsidRPr="00416663">
              <w:t>1.32 (0.32-5.47)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106.8</w:t>
            </w:r>
          </w:p>
          <w:p w:rsidR="009E44AF" w:rsidRPr="00962619" w:rsidRDefault="009E44AF" w:rsidP="008D4A39">
            <w:pPr>
              <w:rPr>
                <w:b/>
              </w:rPr>
            </w:pPr>
            <w:r w:rsidRPr="00962619">
              <w:rPr>
                <w:b/>
              </w:rPr>
              <w:t>2.28 (2.18-2.38)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Pr="00087F36" w:rsidRDefault="009E44AF" w:rsidP="008D4A39">
            <w:pPr>
              <w:rPr>
                <w:lang w:val="sv-SE"/>
              </w:rPr>
            </w:pPr>
            <w:r>
              <w:rPr>
                <w:lang w:val="sv-SE"/>
              </w:rPr>
              <w:t>Sickle Cell Anemia</w:t>
            </w:r>
          </w:p>
          <w:p w:rsidR="009E44AF" w:rsidRPr="00087F36" w:rsidRDefault="009E44AF" w:rsidP="008D4A39">
            <w:pPr>
              <w:rPr>
                <w:lang w:val="sv-SE"/>
              </w:rPr>
            </w:pPr>
            <w:r w:rsidRPr="00087F36">
              <w:rPr>
                <w:lang w:val="sv-SE"/>
              </w:rPr>
              <w:t xml:space="preserve">     Absolute Risk</w:t>
            </w:r>
          </w:p>
          <w:p w:rsidR="009E44AF" w:rsidRPr="00087F36" w:rsidRDefault="009E44AF" w:rsidP="008D4A39">
            <w:pPr>
              <w:rPr>
                <w:lang w:val="sv-SE"/>
              </w:rPr>
            </w:pPr>
            <w:r w:rsidRPr="00087F36">
              <w:rPr>
                <w:lang w:val="sv-SE"/>
              </w:rPr>
              <w:t xml:space="preserve">     Relative Risk</w:t>
            </w:r>
          </w:p>
        </w:tc>
        <w:tc>
          <w:tcPr>
            <w:tcW w:w="2250" w:type="dxa"/>
          </w:tcPr>
          <w:p w:rsidR="009E44AF" w:rsidRPr="00087F36" w:rsidRDefault="009E44AF" w:rsidP="008D4A39">
            <w:pPr>
              <w:rPr>
                <w:lang w:val="sv-SE"/>
              </w:rPr>
            </w:pPr>
          </w:p>
          <w:p w:rsidR="009E44AF" w:rsidRPr="00087F36" w:rsidRDefault="009E44AF" w:rsidP="008D4A39">
            <w:r>
              <w:t>147.8</w:t>
            </w:r>
          </w:p>
          <w:p w:rsidR="009E44AF" w:rsidRPr="00416663" w:rsidRDefault="009E44AF" w:rsidP="008D4A39">
            <w:r w:rsidRPr="00416663">
              <w:t xml:space="preserve">1.24 (0.46-3.30) 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087F36" w:rsidRDefault="009E44AF" w:rsidP="008D4A39">
            <w:r>
              <w:t>402.3</w:t>
            </w:r>
          </w:p>
          <w:p w:rsidR="009E44AF" w:rsidRPr="00416663" w:rsidRDefault="009E44AF" w:rsidP="008D4A39">
            <w:r w:rsidRPr="00416663">
              <w:t>4.01 (0.57-28.10)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77.3</w:t>
            </w:r>
          </w:p>
          <w:p w:rsidR="009E44AF" w:rsidRPr="00416663" w:rsidRDefault="009E44AF" w:rsidP="008D4A39">
            <w:pPr>
              <w:rPr>
                <w:b/>
              </w:rPr>
            </w:pPr>
            <w:r w:rsidRPr="00416663">
              <w:rPr>
                <w:b/>
              </w:rPr>
              <w:t>1.56 (1.43-1.69)</w:t>
            </w:r>
          </w:p>
        </w:tc>
      </w:tr>
      <w:tr w:rsidR="009E44AF" w:rsidRPr="00087F36" w:rsidTr="008D4A39">
        <w:tc>
          <w:tcPr>
            <w:tcW w:w="2970" w:type="dxa"/>
          </w:tcPr>
          <w:p w:rsidR="009E44AF" w:rsidRPr="00087F36" w:rsidRDefault="009E44AF" w:rsidP="008D4A39">
            <w:r>
              <w:t>Tobacco</w:t>
            </w:r>
          </w:p>
          <w:p w:rsidR="009E44AF" w:rsidRPr="00087F36" w:rsidRDefault="009E44AF" w:rsidP="008D4A39">
            <w:r w:rsidRPr="00087F36">
              <w:t xml:space="preserve">     Absolute Risk</w:t>
            </w:r>
          </w:p>
          <w:p w:rsidR="009E44AF" w:rsidRPr="00087F36" w:rsidRDefault="009E44AF" w:rsidP="008D4A39">
            <w:r w:rsidRPr="00087F36">
              <w:t xml:space="preserve">     Relative Risk</w:t>
            </w:r>
          </w:p>
        </w:tc>
        <w:tc>
          <w:tcPr>
            <w:tcW w:w="2250" w:type="dxa"/>
          </w:tcPr>
          <w:p w:rsidR="009E44AF" w:rsidRPr="00087F36" w:rsidRDefault="009E44AF" w:rsidP="008D4A39"/>
          <w:p w:rsidR="009E44AF" w:rsidRPr="00087F36" w:rsidRDefault="009E44AF" w:rsidP="008D4A39">
            <w:r>
              <w:t>60.2</w:t>
            </w:r>
          </w:p>
          <w:p w:rsidR="009E44AF" w:rsidRPr="00087F36" w:rsidRDefault="009E44AF" w:rsidP="008D4A39">
            <w:r>
              <w:rPr>
                <w:b/>
              </w:rPr>
              <w:t>0.49</w:t>
            </w:r>
            <w:r w:rsidRPr="00087F36">
              <w:rPr>
                <w:b/>
              </w:rPr>
              <w:t xml:space="preserve"> (</w:t>
            </w:r>
            <w:r>
              <w:rPr>
                <w:b/>
              </w:rPr>
              <w:t>0.26-0.96</w:t>
            </w:r>
            <w:r w:rsidRPr="00087F36">
              <w:rPr>
                <w:b/>
              </w:rPr>
              <w:t>)</w:t>
            </w:r>
          </w:p>
        </w:tc>
        <w:tc>
          <w:tcPr>
            <w:tcW w:w="2160" w:type="dxa"/>
          </w:tcPr>
          <w:p w:rsidR="009E44AF" w:rsidRPr="00087F36" w:rsidRDefault="009E44AF" w:rsidP="008D4A39"/>
          <w:p w:rsidR="009E44AF" w:rsidRPr="00416663" w:rsidRDefault="009E44AF" w:rsidP="008D4A39">
            <w:r w:rsidRPr="00416663">
              <w:t>----</w:t>
            </w:r>
          </w:p>
          <w:p w:rsidR="009E44AF" w:rsidRPr="00416663" w:rsidRDefault="009E44AF" w:rsidP="008D4A39">
            <w:r w:rsidRPr="00416663">
              <w:t>----</w:t>
            </w:r>
          </w:p>
        </w:tc>
        <w:tc>
          <w:tcPr>
            <w:tcW w:w="2340" w:type="dxa"/>
          </w:tcPr>
          <w:p w:rsidR="009E44AF" w:rsidRPr="00087F36" w:rsidRDefault="009E44AF" w:rsidP="008D4A39"/>
          <w:p w:rsidR="009E44AF" w:rsidRDefault="009E44AF" w:rsidP="008D4A39">
            <w:r>
              <w:t>89.5</w:t>
            </w:r>
          </w:p>
          <w:p w:rsidR="009E44AF" w:rsidRPr="00416663" w:rsidRDefault="009E44AF" w:rsidP="008D4A39">
            <w:pPr>
              <w:rPr>
                <w:b/>
              </w:rPr>
            </w:pPr>
            <w:r w:rsidRPr="00416663">
              <w:rPr>
                <w:b/>
              </w:rPr>
              <w:t>1.84 (1.73-1.94)</w:t>
            </w:r>
          </w:p>
        </w:tc>
      </w:tr>
    </w:tbl>
    <w:p w:rsidR="009E44AF" w:rsidRPr="00087F36" w:rsidRDefault="009E44AF" w:rsidP="009E44AF">
      <w:proofErr w:type="gramStart"/>
      <w:r w:rsidRPr="00087F36">
        <w:rPr>
          <w:vertAlign w:val="superscript"/>
        </w:rPr>
        <w:t>a</w:t>
      </w:r>
      <w:proofErr w:type="gramEnd"/>
      <w:r w:rsidRPr="00087F36">
        <w:rPr>
          <w:vertAlign w:val="superscript"/>
        </w:rPr>
        <w:t xml:space="preserve"> </w:t>
      </w:r>
      <w:r w:rsidRPr="00087F36">
        <w:t>Incidence of thrombotic events by IBD group reported per 10,000 hospitalizations</w:t>
      </w:r>
    </w:p>
    <w:p w:rsidR="009E44AF" w:rsidRPr="00087F36" w:rsidRDefault="009E44AF" w:rsidP="009E44AF">
      <w:proofErr w:type="gramStart"/>
      <w:r w:rsidRPr="00087F36">
        <w:rPr>
          <w:vertAlign w:val="superscript"/>
        </w:rPr>
        <w:t>b</w:t>
      </w:r>
      <w:proofErr w:type="gramEnd"/>
      <w:r w:rsidRPr="00087F36">
        <w:rPr>
          <w:vertAlign w:val="superscript"/>
        </w:rPr>
        <w:t xml:space="preserve"> </w:t>
      </w:r>
      <w:r w:rsidRPr="00087F36">
        <w:t>HCUP-KID weighted national estimates utilized in all calculations</w:t>
      </w:r>
    </w:p>
    <w:p w:rsidR="009E44AF" w:rsidRDefault="009E44AF" w:rsidP="009E44AF"/>
    <w:p w:rsidR="00DB35D0" w:rsidRDefault="00DB35D0"/>
    <w:sectPr w:rsidR="00DB35D0" w:rsidSect="001F639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4AF"/>
    <w:rsid w:val="00692F7E"/>
    <w:rsid w:val="00887848"/>
    <w:rsid w:val="009C07B8"/>
    <w:rsid w:val="009E44AF"/>
    <w:rsid w:val="00C5361A"/>
    <w:rsid w:val="00DB35D0"/>
    <w:rsid w:val="00ED3459"/>
    <w:rsid w:val="00F5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459"/>
    <w:pPr>
      <w:spacing w:line="48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Wolters Kluwer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amccabe</dc:creator>
  <cp:keywords/>
  <dc:description/>
  <cp:lastModifiedBy>amccabe</cp:lastModifiedBy>
  <cp:revision>1</cp:revision>
  <dcterms:created xsi:type="dcterms:W3CDTF">2012-12-04T20:29:00Z</dcterms:created>
  <dcterms:modified xsi:type="dcterms:W3CDTF">2012-12-04T20:30:00Z</dcterms:modified>
</cp:coreProperties>
</file>