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1" w:type="dxa"/>
        <w:tblInd w:w="108" w:type="dxa"/>
        <w:tblLook w:val="04A0" w:firstRow="1" w:lastRow="0" w:firstColumn="1" w:lastColumn="0" w:noHBand="0" w:noVBand="1"/>
      </w:tblPr>
      <w:tblGrid>
        <w:gridCol w:w="3999"/>
        <w:gridCol w:w="443"/>
        <w:gridCol w:w="2009"/>
        <w:gridCol w:w="1593"/>
        <w:gridCol w:w="1937"/>
        <w:gridCol w:w="272"/>
        <w:gridCol w:w="236"/>
        <w:gridCol w:w="208"/>
        <w:gridCol w:w="14"/>
      </w:tblGrid>
      <w:tr w:rsidR="00C95213" w:rsidRPr="00C95213" w:rsidTr="00115B9F">
        <w:trPr>
          <w:gridAfter w:val="1"/>
          <w:wAfter w:w="14" w:type="dxa"/>
          <w:trHeight w:val="315"/>
        </w:trPr>
        <w:tc>
          <w:tcPr>
            <w:tcW w:w="10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213" w:rsidRPr="00C95213" w:rsidRDefault="00C95213" w:rsidP="00C9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033A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2: Presence of Acinar Bile Ducts in Gestational Control and Treated Baboons</w:t>
            </w:r>
          </w:p>
        </w:tc>
      </w:tr>
      <w:tr w:rsidR="00C95213" w:rsidRPr="00C95213" w:rsidTr="00115B9F">
        <w:trPr>
          <w:trHeight w:val="315"/>
        </w:trPr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213" w:rsidRPr="00C95213" w:rsidRDefault="00115B9F" w:rsidP="00C95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213" w:rsidRPr="00C95213" w:rsidRDefault="00C95213" w:rsidP="00C95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213" w:rsidRPr="00C95213" w:rsidRDefault="00C95213" w:rsidP="00C95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213" w:rsidRPr="00C95213" w:rsidRDefault="00C95213" w:rsidP="00C95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213" w:rsidRPr="00C95213" w:rsidRDefault="00C95213" w:rsidP="00C95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213" w:rsidRPr="00C95213" w:rsidRDefault="00C95213" w:rsidP="00C95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213" w:rsidRPr="00C95213" w:rsidRDefault="00C95213" w:rsidP="00C95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213" w:rsidRPr="00C95213" w:rsidRDefault="00C95213" w:rsidP="00C95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5B9F" w:rsidRPr="00C95213" w:rsidTr="00115B9F">
        <w:trPr>
          <w:gridAfter w:val="5"/>
          <w:wAfter w:w="2667" w:type="dxa"/>
          <w:trHeight w:val="315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Animal Type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15B9F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% portal tracts </w:t>
            </w:r>
          </w:p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 ± SD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15B9F" w:rsidRPr="00C95213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Range</w:t>
            </w:r>
          </w:p>
        </w:tc>
      </w:tr>
      <w:tr w:rsidR="00115B9F" w:rsidRPr="00C95213" w:rsidTr="00115B9F">
        <w:trPr>
          <w:gridAfter w:val="5"/>
          <w:wAfter w:w="2667" w:type="dxa"/>
          <w:trHeight w:val="300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 day Gest Control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32% ± 11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15-50%</w:t>
            </w:r>
          </w:p>
        </w:tc>
      </w:tr>
      <w:tr w:rsidR="00115B9F" w:rsidRPr="00C95213" w:rsidTr="00115B9F">
        <w:trPr>
          <w:gridAfter w:val="5"/>
          <w:wAfter w:w="2667" w:type="dxa"/>
          <w:trHeight w:val="300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 day Gest Control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 ± 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10-35%</w:t>
            </w:r>
          </w:p>
        </w:tc>
      </w:tr>
      <w:tr w:rsidR="00115B9F" w:rsidRPr="00C95213" w:rsidTr="00115B9F">
        <w:trPr>
          <w:gridAfter w:val="5"/>
          <w:wAfter w:w="2667" w:type="dxa"/>
          <w:trHeight w:val="300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 day Gest Control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 ± 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20-40%</w:t>
            </w:r>
          </w:p>
        </w:tc>
      </w:tr>
      <w:tr w:rsidR="00115B9F" w:rsidRPr="00C95213" w:rsidTr="00115B9F">
        <w:trPr>
          <w:gridAfter w:val="5"/>
          <w:wAfter w:w="2667" w:type="dxa"/>
          <w:trHeight w:val="300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 day Gest Control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 ± 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20-55%</w:t>
            </w:r>
          </w:p>
        </w:tc>
      </w:tr>
      <w:tr w:rsidR="00115B9F" w:rsidRPr="00C95213" w:rsidTr="00115B9F">
        <w:trPr>
          <w:gridAfter w:val="5"/>
          <w:wAfter w:w="2667" w:type="dxa"/>
          <w:trHeight w:val="300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15B9F" w:rsidRPr="00C95213" w:rsidRDefault="00115B9F" w:rsidP="00C9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115B9F" w:rsidRPr="00C95213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B9F" w:rsidRPr="00C95213" w:rsidTr="00115B9F">
        <w:trPr>
          <w:gridAfter w:val="5"/>
          <w:wAfter w:w="2667" w:type="dxa"/>
          <w:trHeight w:val="300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 day NICU Treated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 ±22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15-100%</w:t>
            </w:r>
          </w:p>
        </w:tc>
      </w:tr>
      <w:tr w:rsidR="00115B9F" w:rsidRPr="00C95213" w:rsidTr="00115B9F">
        <w:trPr>
          <w:gridAfter w:val="5"/>
          <w:wAfter w:w="2667" w:type="dxa"/>
          <w:trHeight w:val="300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 day NICU Treated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70% ± 16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50-95%</w:t>
            </w:r>
          </w:p>
        </w:tc>
      </w:tr>
      <w:tr w:rsidR="00115B9F" w:rsidRPr="00C95213" w:rsidTr="00115B9F">
        <w:trPr>
          <w:gridAfter w:val="5"/>
          <w:wAfter w:w="2667" w:type="dxa"/>
          <w:trHeight w:val="300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15B9F" w:rsidRPr="00C95213" w:rsidRDefault="00115B9F" w:rsidP="00F00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15B9F" w:rsidRPr="00C95213" w:rsidRDefault="00115B9F" w:rsidP="00F00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15B9F" w:rsidRPr="00C95213" w:rsidRDefault="00115B9F" w:rsidP="00F00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115B9F" w:rsidRPr="00C95213" w:rsidRDefault="00115B9F" w:rsidP="00115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B9F" w:rsidRPr="00C95213" w:rsidTr="00115B9F">
        <w:trPr>
          <w:gridAfter w:val="5"/>
          <w:wAfter w:w="2667" w:type="dxa"/>
          <w:trHeight w:val="300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 Gest Controls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29% ± 12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10-55%</w:t>
            </w:r>
          </w:p>
        </w:tc>
      </w:tr>
      <w:tr w:rsidR="00115B9F" w:rsidRPr="00C95213" w:rsidTr="00115B9F">
        <w:trPr>
          <w:gridAfter w:val="5"/>
          <w:wAfter w:w="2667" w:type="dxa"/>
          <w:trHeight w:val="315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EB5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 NICU Treated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C9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53% ± 22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B9F" w:rsidRPr="00C95213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2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15-100%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115B9F" w:rsidRPr="00C95213" w:rsidTr="00115B9F">
        <w:trPr>
          <w:gridAfter w:val="5"/>
          <w:wAfter w:w="2667" w:type="dxa"/>
          <w:trHeight w:val="315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5B9F" w:rsidRPr="00C95213" w:rsidRDefault="00115B9F" w:rsidP="00F00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Term control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5B9F" w:rsidRPr="00C95213" w:rsidRDefault="00115B9F" w:rsidP="00F00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5B9F" w:rsidRPr="00C95213" w:rsidRDefault="00115B9F" w:rsidP="00F00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68%± 7.5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B9F" w:rsidRPr="00C95213" w:rsidRDefault="00115B9F" w:rsidP="00115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55-75%</w:t>
            </w:r>
          </w:p>
        </w:tc>
      </w:tr>
    </w:tbl>
    <w:p w:rsidR="005B45A9" w:rsidRDefault="005B45A9"/>
    <w:p w:rsidR="00B0034E" w:rsidRDefault="00B0034E"/>
    <w:sectPr w:rsidR="00B00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3C" w:rsidRDefault="001A463C" w:rsidP="00B663B2">
      <w:pPr>
        <w:spacing w:after="0" w:line="240" w:lineRule="auto"/>
      </w:pPr>
      <w:r>
        <w:separator/>
      </w:r>
    </w:p>
  </w:endnote>
  <w:endnote w:type="continuationSeparator" w:id="0">
    <w:p w:rsidR="001A463C" w:rsidRDefault="001A463C" w:rsidP="00B6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A" w:rsidRDefault="00EB5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B2" w:rsidRPr="00EB541A" w:rsidRDefault="00B663B2">
    <w:pPr>
      <w:pStyle w:val="Footer"/>
      <w:rPr>
        <w:sz w:val="18"/>
        <w:szCs w:val="18"/>
      </w:rPr>
    </w:pPr>
    <w:r w:rsidRPr="00EB541A">
      <w:rPr>
        <w:sz w:val="18"/>
        <w:szCs w:val="18"/>
      </w:rPr>
      <w:t xml:space="preserve"> Table </w:t>
    </w:r>
    <w:r w:rsidR="00033A47" w:rsidRPr="00EB541A">
      <w:rPr>
        <w:sz w:val="18"/>
        <w:szCs w:val="18"/>
      </w:rPr>
      <w:t>s</w:t>
    </w:r>
    <w:r w:rsidRPr="00EB541A">
      <w:rPr>
        <w:sz w:val="18"/>
        <w:szCs w:val="18"/>
      </w:rPr>
      <w:t xml:space="preserve">2: Presence of Acinar Bile Ducts in Gestational Control and Treated Baboons.  Data is presented as mean </w:t>
    </w:r>
    <w:r w:rsidRPr="00EB541A">
      <w:rPr>
        <w:rFonts w:cstheme="minorHAnsi"/>
        <w:sz w:val="18"/>
        <w:szCs w:val="18"/>
      </w:rPr>
      <w:t>±</w:t>
    </w:r>
    <w:r w:rsidRPr="00EB541A">
      <w:rPr>
        <w:sz w:val="18"/>
        <w:szCs w:val="18"/>
      </w:rPr>
      <w:t xml:space="preserve"> SD of percent of portal tracts (20 tracts per animal counted) containing at least at least one duct.  </w:t>
    </w:r>
    <w:r w:rsidR="00EF7D82" w:rsidRPr="00EB541A">
      <w:rPr>
        <w:sz w:val="18"/>
        <w:szCs w:val="18"/>
      </w:rPr>
      <w:t xml:space="preserve">Treated baboons were all delivered at 125 days, then treated in the NICU for either 21 or 28 days.  </w:t>
    </w:r>
    <w:r w:rsidRPr="00EB541A">
      <w:rPr>
        <w:sz w:val="18"/>
        <w:szCs w:val="18"/>
      </w:rPr>
      <w:t>As compared to Gestational Control baboons, treated baboons had significantly higher acinar bile duct frequency. (P&lt; 0.01)</w:t>
    </w:r>
  </w:p>
  <w:p w:rsidR="00B663B2" w:rsidRDefault="00B66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A" w:rsidRDefault="00EB5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3C" w:rsidRDefault="001A463C" w:rsidP="00B663B2">
      <w:pPr>
        <w:spacing w:after="0" w:line="240" w:lineRule="auto"/>
      </w:pPr>
      <w:r>
        <w:separator/>
      </w:r>
    </w:p>
  </w:footnote>
  <w:footnote w:type="continuationSeparator" w:id="0">
    <w:p w:rsidR="001A463C" w:rsidRDefault="001A463C" w:rsidP="00B6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A" w:rsidRDefault="00EB5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A" w:rsidRDefault="00EB541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A" w:rsidRDefault="00EB5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1"/>
    <w:rsid w:val="00033A47"/>
    <w:rsid w:val="00052DE5"/>
    <w:rsid w:val="00115B9F"/>
    <w:rsid w:val="00120DCA"/>
    <w:rsid w:val="001262F4"/>
    <w:rsid w:val="001504A2"/>
    <w:rsid w:val="001512D6"/>
    <w:rsid w:val="001701B6"/>
    <w:rsid w:val="0019539A"/>
    <w:rsid w:val="001A463C"/>
    <w:rsid w:val="001F3190"/>
    <w:rsid w:val="001F4689"/>
    <w:rsid w:val="002045FC"/>
    <w:rsid w:val="00294A48"/>
    <w:rsid w:val="002A624B"/>
    <w:rsid w:val="002B1E0C"/>
    <w:rsid w:val="002D1650"/>
    <w:rsid w:val="002E083E"/>
    <w:rsid w:val="003607EB"/>
    <w:rsid w:val="003B6FBB"/>
    <w:rsid w:val="003F592F"/>
    <w:rsid w:val="00400524"/>
    <w:rsid w:val="00465FBD"/>
    <w:rsid w:val="004773C1"/>
    <w:rsid w:val="004D7C29"/>
    <w:rsid w:val="00503093"/>
    <w:rsid w:val="005358E2"/>
    <w:rsid w:val="00596209"/>
    <w:rsid w:val="005B45A9"/>
    <w:rsid w:val="005C30C0"/>
    <w:rsid w:val="005D373C"/>
    <w:rsid w:val="005E2F04"/>
    <w:rsid w:val="00612EDC"/>
    <w:rsid w:val="00685CF5"/>
    <w:rsid w:val="006D2FA8"/>
    <w:rsid w:val="00713602"/>
    <w:rsid w:val="007E001A"/>
    <w:rsid w:val="007F4389"/>
    <w:rsid w:val="00824F8E"/>
    <w:rsid w:val="008A1FB7"/>
    <w:rsid w:val="008B29F1"/>
    <w:rsid w:val="008C468F"/>
    <w:rsid w:val="008D638B"/>
    <w:rsid w:val="00971F35"/>
    <w:rsid w:val="009822C1"/>
    <w:rsid w:val="009D197D"/>
    <w:rsid w:val="00A128F5"/>
    <w:rsid w:val="00A41EAE"/>
    <w:rsid w:val="00A75EFC"/>
    <w:rsid w:val="00B0034E"/>
    <w:rsid w:val="00B663B2"/>
    <w:rsid w:val="00B80072"/>
    <w:rsid w:val="00BB6E02"/>
    <w:rsid w:val="00C036A0"/>
    <w:rsid w:val="00C656BA"/>
    <w:rsid w:val="00C95213"/>
    <w:rsid w:val="00CB5998"/>
    <w:rsid w:val="00D230F9"/>
    <w:rsid w:val="00E214AB"/>
    <w:rsid w:val="00E403A4"/>
    <w:rsid w:val="00E62B2F"/>
    <w:rsid w:val="00E8748C"/>
    <w:rsid w:val="00EB541A"/>
    <w:rsid w:val="00EF0973"/>
    <w:rsid w:val="00EF7D82"/>
    <w:rsid w:val="00F3639A"/>
    <w:rsid w:val="00F82313"/>
    <w:rsid w:val="00FB7D5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B2"/>
  </w:style>
  <w:style w:type="paragraph" w:styleId="Footer">
    <w:name w:val="footer"/>
    <w:basedOn w:val="Normal"/>
    <w:link w:val="FooterChar"/>
    <w:uiPriority w:val="99"/>
    <w:unhideWhenUsed/>
    <w:rsid w:val="00B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B2"/>
  </w:style>
  <w:style w:type="paragraph" w:styleId="BalloonText">
    <w:name w:val="Balloon Text"/>
    <w:basedOn w:val="Normal"/>
    <w:link w:val="BalloonTextChar"/>
    <w:uiPriority w:val="99"/>
    <w:semiHidden/>
    <w:unhideWhenUsed/>
    <w:rsid w:val="00B6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B2"/>
  </w:style>
  <w:style w:type="paragraph" w:styleId="Footer">
    <w:name w:val="footer"/>
    <w:basedOn w:val="Normal"/>
    <w:link w:val="FooterChar"/>
    <w:uiPriority w:val="99"/>
    <w:unhideWhenUsed/>
    <w:rsid w:val="00B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B2"/>
  </w:style>
  <w:style w:type="paragraph" w:styleId="BalloonText">
    <w:name w:val="Balloon Text"/>
    <w:basedOn w:val="Normal"/>
    <w:link w:val="BalloonTextChar"/>
    <w:uiPriority w:val="99"/>
    <w:semiHidden/>
    <w:unhideWhenUsed/>
    <w:rsid w:val="00B6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0C6C-A42C-4AB1-A49C-D5600D97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JKerecman</dc:creator>
  <cp:lastModifiedBy>JKerecman</cp:lastModifiedBy>
  <cp:revision>5</cp:revision>
  <dcterms:created xsi:type="dcterms:W3CDTF">2013-03-04T15:25:00Z</dcterms:created>
  <dcterms:modified xsi:type="dcterms:W3CDTF">2013-03-11T23:27:00Z</dcterms:modified>
</cp:coreProperties>
</file>