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43" w:rsidRPr="008E0A43" w:rsidRDefault="00804B8C" w:rsidP="008E0A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C51D4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S2. </w:t>
      </w:r>
      <w:r w:rsidRPr="00DC51D4">
        <w:rPr>
          <w:rFonts w:ascii="Times New Roman" w:hAnsi="Times New Roman"/>
          <w:b/>
          <w:bCs/>
          <w:sz w:val="24"/>
          <w:szCs w:val="24"/>
          <w:lang w:val="en-GB"/>
        </w:rPr>
        <w:t>Change from baseline of general symptoms at 3 months.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TAAF: thickened amino acid-based formula; RAAF: reference amino acid-based formula; N: Number of subjects; SD: Standard deviation. *Comparison of infants with symptom resolution (improvement) vs infants with no symptom resolution (improvement); †symmetry test; ‡ Fisher’s test; §Chi-2 test.</w:t>
      </w:r>
      <w:bookmarkStart w:id="0" w:name="_GoBack"/>
      <w:bookmarkEnd w:id="0"/>
    </w:p>
    <w:tbl>
      <w:tblPr>
        <w:tblW w:w="9356" w:type="dxa"/>
        <w:jc w:val="center"/>
        <w:tblInd w:w="-689" w:type="dxa"/>
        <w:tblLayout w:type="fixed"/>
        <w:tblCellMar>
          <w:left w:w="20" w:type="dxa"/>
          <w:right w:w="20" w:type="dxa"/>
        </w:tblCellMar>
        <w:tblLook w:val="00A0" w:firstRow="1" w:lastRow="0" w:firstColumn="1" w:lastColumn="0" w:noHBand="0" w:noVBand="0"/>
      </w:tblPr>
      <w:tblGrid>
        <w:gridCol w:w="2618"/>
        <w:gridCol w:w="2344"/>
        <w:gridCol w:w="1984"/>
        <w:gridCol w:w="2410"/>
      </w:tblGrid>
      <w:tr w:rsidR="008E0A43" w:rsidRPr="00D53ECF" w:rsidTr="008E0A43">
        <w:trPr>
          <w:cantSplit/>
          <w:tblHeader/>
          <w:jc w:val="center"/>
        </w:trPr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AAF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AAF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E0A43" w:rsidRPr="008915E3" w:rsidTr="008E0A43">
        <w:trPr>
          <w:cantSplit/>
          <w:jc w:val="center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Quality of daytime sleep, N (%)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(4.2)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(1.8)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Unchanged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(12.5)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(9.1)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Improved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(93.5)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(83.3)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(89.1)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0.008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0.387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‡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0A43" w:rsidRPr="008915E3" w:rsidTr="008E0A43">
        <w:trPr>
          <w:cantSplit/>
          <w:jc w:val="center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Quality of </w:t>
            </w: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nighttime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sleep, N (%)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(30.0)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(13.7)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Unchanged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(5.0)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(5.9)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Improved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(90.3)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(65.0)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 (80.4)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0.552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0.036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‡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Irritability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signs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, N (%)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(16.0)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(6.9)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(12.0)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(5.2)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Improved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(6.1)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(16.0)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(10.3)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(93.9)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(56.0)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(77.6)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0.107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§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Crying during bottles, N (%)</w:t>
            </w:r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N</w:t>
            </w:r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(3.8)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(9.5)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(6.4)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(11.5)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(14.3)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(12.8)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Improved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(11.5)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(23.8)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(17.0)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(73.1)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(52.4)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(63.8)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4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0.004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984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2410" w:type="dxa"/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8E0A43" w:rsidRPr="00D53ECF" w:rsidTr="008E0A43">
        <w:trPr>
          <w:cantSplit/>
          <w:jc w:val="center"/>
        </w:trPr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8E0A43" w:rsidRPr="00D53ECF" w:rsidRDefault="008E0A43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0.142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§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E0A43" w:rsidRPr="00D53ECF" w:rsidRDefault="008E0A43" w:rsidP="008E0A43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MS Mincho" w:hAnsi="Times New Roman" w:cs="Calibri"/>
          <w:sz w:val="24"/>
          <w:szCs w:val="24"/>
          <w:lang w:val="en-GB" w:eastAsia="ja-JP"/>
        </w:rPr>
      </w:pPr>
    </w:p>
    <w:p w:rsidR="005E77A9" w:rsidRPr="008E0A43" w:rsidRDefault="005E77A9">
      <w:pPr>
        <w:rPr>
          <w:lang w:val="en-GB"/>
        </w:rPr>
      </w:pPr>
    </w:p>
    <w:sectPr w:rsidR="005E77A9" w:rsidRPr="008E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44"/>
    <w:rsid w:val="005E77A9"/>
    <w:rsid w:val="007E3144"/>
    <w:rsid w:val="00804B8C"/>
    <w:rsid w:val="008E0A43"/>
    <w:rsid w:val="00D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Kelner</dc:creator>
  <cp:lastModifiedBy>McCabe, Anita</cp:lastModifiedBy>
  <cp:revision>2</cp:revision>
  <dcterms:created xsi:type="dcterms:W3CDTF">2015-03-25T12:58:00Z</dcterms:created>
  <dcterms:modified xsi:type="dcterms:W3CDTF">2015-03-25T12:58:00Z</dcterms:modified>
</cp:coreProperties>
</file>