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9E" w:rsidRPr="00D5706C" w:rsidRDefault="009A269E" w:rsidP="009A269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602A" w:rsidRDefault="0066602A" w:rsidP="0066602A">
      <w:pPr>
        <w:spacing w:line="360" w:lineRule="auto"/>
        <w:ind w:left="284" w:hanging="284"/>
        <w:jc w:val="both"/>
      </w:pPr>
      <w:r w:rsidRPr="008A29F5">
        <w:rPr>
          <w:b/>
          <w:bCs/>
        </w:rPr>
        <w:t>Suppl Table 2.</w:t>
      </w:r>
      <w:r>
        <w:t xml:space="preserve"> </w:t>
      </w:r>
      <w:r w:rsidRPr="008E01D5">
        <w:t>Disease location and behaviour in patients with Crohn’s disease according to Paris Classification</w:t>
      </w:r>
    </w:p>
    <w:p w:rsidR="009A269E" w:rsidRPr="00D5706C" w:rsidRDefault="009A269E" w:rsidP="009A26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5"/>
        <w:gridCol w:w="4027"/>
      </w:tblGrid>
      <w:tr w:rsidR="009A269E" w:rsidRPr="00D5706C" w:rsidTr="00906F00">
        <w:trPr>
          <w:trHeight w:val="706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pct"/>
            <w:shd w:val="clear" w:color="auto" w:fill="auto"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Crohn’s disease (n=246)</w:t>
            </w:r>
          </w:p>
        </w:tc>
      </w:tr>
      <w:tr w:rsidR="009A269E" w:rsidRPr="00D5706C" w:rsidTr="00906F00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Location in Crohn’s disease</w:t>
            </w:r>
          </w:p>
        </w:tc>
      </w:tr>
      <w:tr w:rsidR="009A269E" w:rsidRPr="00D5706C" w:rsidTr="00906F00">
        <w:trPr>
          <w:trHeight w:val="411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L1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(10.2%)</w:t>
            </w:r>
          </w:p>
        </w:tc>
      </w:tr>
      <w:tr w:rsidR="009A269E" w:rsidRPr="00D5706C" w:rsidTr="00906F00">
        <w:trPr>
          <w:trHeight w:val="417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L1+L4a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A269E" w:rsidRPr="00D5706C" w:rsidTr="00906F00">
        <w:trPr>
          <w:trHeight w:val="422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 (22.4%)</w:t>
            </w:r>
          </w:p>
        </w:tc>
      </w:tr>
      <w:tr w:rsidR="009A269E" w:rsidRPr="00D5706C" w:rsidTr="00906F00">
        <w:trPr>
          <w:trHeight w:val="414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L2+L4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A269E" w:rsidRPr="00D5706C" w:rsidTr="00906F00">
        <w:trPr>
          <w:trHeight w:val="548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L3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 (66.3%)</w:t>
            </w:r>
          </w:p>
        </w:tc>
      </w:tr>
      <w:tr w:rsidR="009A269E" w:rsidRPr="00D5706C" w:rsidTr="00906F00">
        <w:trPr>
          <w:trHeight w:val="428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L3+L4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9A269E" w:rsidRPr="00D5706C" w:rsidTr="00906F00">
        <w:trPr>
          <w:trHeight w:val="264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Isolated upper gastrointestinal involvement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(1.2%)</w:t>
            </w:r>
          </w:p>
        </w:tc>
      </w:tr>
      <w:tr w:rsidR="009A269E" w:rsidRPr="00D5706C" w:rsidTr="00906F00">
        <w:trPr>
          <w:trHeight w:val="409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Upper gastrointestinal involvement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(44.7%)</w:t>
            </w:r>
          </w:p>
        </w:tc>
      </w:tr>
      <w:tr w:rsidR="009A269E" w:rsidRPr="00D5706C" w:rsidTr="00906F00">
        <w:trPr>
          <w:trHeight w:val="558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Crohn’s disease</w:t>
            </w:r>
          </w:p>
        </w:tc>
      </w:tr>
      <w:tr w:rsidR="009A269E" w:rsidRPr="00D5706C" w:rsidTr="00906F00">
        <w:trPr>
          <w:trHeight w:val="410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 (87.2%)</w:t>
            </w:r>
          </w:p>
        </w:tc>
      </w:tr>
      <w:tr w:rsidR="009A269E" w:rsidRPr="00D5706C" w:rsidTr="00906F00">
        <w:trPr>
          <w:trHeight w:val="416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(9%)</w:t>
            </w:r>
          </w:p>
        </w:tc>
      </w:tr>
      <w:tr w:rsidR="009A269E" w:rsidRPr="00D5706C" w:rsidTr="00906F00">
        <w:trPr>
          <w:trHeight w:val="279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(1.9%)</w:t>
            </w:r>
          </w:p>
        </w:tc>
      </w:tr>
      <w:tr w:rsidR="009A269E" w:rsidRPr="00D5706C" w:rsidTr="00906F00">
        <w:trPr>
          <w:trHeight w:val="398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B2B3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(1.9%)</w:t>
            </w:r>
          </w:p>
        </w:tc>
      </w:tr>
      <w:tr w:rsidR="009A269E" w:rsidRPr="00D5706C" w:rsidTr="00906F00">
        <w:trPr>
          <w:trHeight w:val="410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Perianal disease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 (8%)</w:t>
            </w:r>
          </w:p>
        </w:tc>
      </w:tr>
      <w:tr w:rsidR="009A269E" w:rsidRPr="00D5706C" w:rsidTr="00906F00">
        <w:trPr>
          <w:trHeight w:val="432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G0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 (94%)</w:t>
            </w:r>
          </w:p>
        </w:tc>
      </w:tr>
      <w:tr w:rsidR="009A269E" w:rsidRPr="00D5706C" w:rsidTr="00906F00">
        <w:trPr>
          <w:trHeight w:val="503"/>
        </w:trPr>
        <w:tc>
          <w:tcPr>
            <w:tcW w:w="2814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2186" w:type="pct"/>
            <w:shd w:val="clear" w:color="auto" w:fill="auto"/>
            <w:noWrap/>
            <w:vAlign w:val="center"/>
          </w:tcPr>
          <w:p w:rsidR="009A269E" w:rsidRPr="00D5706C" w:rsidRDefault="009A269E" w:rsidP="00906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(6%)</w:t>
            </w:r>
          </w:p>
        </w:tc>
      </w:tr>
    </w:tbl>
    <w:p w:rsidR="009A269E" w:rsidRPr="00D5706C" w:rsidRDefault="009A269E" w:rsidP="009A269E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L1: distal 1/3 ileal disease (±limited </w:t>
      </w:r>
      <w:proofErr w:type="spellStart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cecal</w:t>
      </w:r>
      <w:proofErr w:type="spellEnd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disease). L2: colonic disease. L3: </w:t>
      </w:r>
      <w:proofErr w:type="spellStart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ileocolonic</w:t>
      </w:r>
      <w:proofErr w:type="spellEnd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disease. L4: upper gastrointestinal tract disease. </w:t>
      </w:r>
    </w:p>
    <w:p w:rsidR="009A269E" w:rsidRPr="00D5706C" w:rsidRDefault="009A269E" w:rsidP="009A269E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B1: </w:t>
      </w:r>
      <w:proofErr w:type="spellStart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nonstricturing-nonpenetrating</w:t>
      </w:r>
      <w:proofErr w:type="spellEnd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B2: </w:t>
      </w:r>
      <w:proofErr w:type="spellStart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stricturing</w:t>
      </w:r>
      <w:proofErr w:type="spellEnd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B3: penetrating, B2B3: both penetrating and </w:t>
      </w:r>
      <w:proofErr w:type="spellStart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stricturing</w:t>
      </w:r>
      <w:proofErr w:type="spellEnd"/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269E" w:rsidRPr="00D5706C" w:rsidRDefault="009A269E" w:rsidP="009A269E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06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G1 evidence of growth delay</w:t>
      </w:r>
    </w:p>
    <w:p w:rsidR="009A269E" w:rsidRPr="00D5706C" w:rsidRDefault="009A269E" w:rsidP="009A26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640F9" w:rsidRDefault="00E640F9"/>
    <w:sectPr w:rsidR="00E6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E"/>
    <w:rsid w:val="0066602A"/>
    <w:rsid w:val="009A269E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651</Characters>
  <Application>Microsoft Office Word</Application>
  <DocSecurity>0</DocSecurity>
  <Lines>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MullerKE</dc:creator>
  <cp:lastModifiedBy>Pbarr</cp:lastModifiedBy>
  <cp:revision>2</cp:revision>
  <dcterms:created xsi:type="dcterms:W3CDTF">2015-06-05T11:34:00Z</dcterms:created>
  <dcterms:modified xsi:type="dcterms:W3CDTF">2015-06-05T11:34:00Z</dcterms:modified>
</cp:coreProperties>
</file>