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B" w:rsidRDefault="009201DA">
      <w:r w:rsidRPr="009201DA">
        <w:rPr>
          <w:noProof/>
        </w:rPr>
        <w:drawing>
          <wp:inline distT="0" distB="0" distL="0" distR="0">
            <wp:extent cx="5943600" cy="3735012"/>
            <wp:effectExtent l="0" t="0" r="0" b="0"/>
            <wp:docPr id="1" name="Picture 1" descr="C:\Users\Victoria.Eaton\Desktop\co-workers\Laura\6-6-16_SDC\Supplemental Figure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Eaton\Desktop\co-workers\Laura\6-6-16_SDC\Supplemental Figure 3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DA" w:rsidRDefault="009201DA"/>
    <w:p w:rsidR="009201DA" w:rsidRDefault="009201DA" w:rsidP="009201DA">
      <w:r>
        <w:t xml:space="preserve">Supplemental </w:t>
      </w:r>
      <w:r w:rsidRPr="00B424A4">
        <w:t xml:space="preserve">Figure </w:t>
      </w:r>
      <w:r>
        <w:t>3</w:t>
      </w:r>
      <w:r w:rsidRPr="00B424A4">
        <w:t xml:space="preserve"> – Distribution of </w:t>
      </w:r>
      <w:r>
        <w:t xml:space="preserve">patient </w:t>
      </w:r>
      <w:r w:rsidRPr="00B424A4">
        <w:t>age</w:t>
      </w:r>
      <w:r>
        <w:t>s</w:t>
      </w:r>
      <w:r w:rsidRPr="00B424A4">
        <w:t xml:space="preserve"> at time of procedure</w:t>
      </w:r>
      <w:r>
        <w:t>.</w:t>
      </w:r>
      <w:bookmarkStart w:id="0" w:name="_GoBack"/>
      <w:bookmarkEnd w:id="0"/>
    </w:p>
    <w:p w:rsidR="009201DA" w:rsidRDefault="009201DA"/>
    <w:sectPr w:rsidR="00920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DA"/>
    <w:rsid w:val="009201DA"/>
    <w:rsid w:val="00C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AE19-B73C-49A9-ADC8-86D1EE1B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Wolters Kluwer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Victoria</dc:creator>
  <cp:keywords/>
  <dc:description/>
  <cp:lastModifiedBy>Eaton, Victoria</cp:lastModifiedBy>
  <cp:revision>1</cp:revision>
  <dcterms:created xsi:type="dcterms:W3CDTF">2016-06-08T13:18:00Z</dcterms:created>
  <dcterms:modified xsi:type="dcterms:W3CDTF">2016-06-08T13:19:00Z</dcterms:modified>
</cp:coreProperties>
</file>