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A" w:rsidRPr="00680849" w:rsidRDefault="00F8290A" w:rsidP="00F829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849">
        <w:rPr>
          <w:sz w:val="24"/>
          <w:szCs w:val="24"/>
        </w:rPr>
        <w:t xml:space="preserve">                                                                    </w:t>
      </w:r>
      <w:r w:rsidRPr="006808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70327" w:rsidRPr="00680849">
        <w:rPr>
          <w:rFonts w:ascii="Times New Roman" w:hAnsi="Times New Roman" w:cs="Times New Roman"/>
          <w:b/>
          <w:sz w:val="24"/>
          <w:szCs w:val="24"/>
        </w:rPr>
        <w:t>1 -</w:t>
      </w:r>
      <w:r w:rsidRPr="00680849">
        <w:rPr>
          <w:rFonts w:ascii="Times New Roman" w:hAnsi="Times New Roman" w:cs="Times New Roman"/>
          <w:b/>
          <w:sz w:val="24"/>
          <w:szCs w:val="24"/>
        </w:rPr>
        <w:t xml:space="preserve"> Characteristics of included Randomized Controlled Trials</w:t>
      </w:r>
    </w:p>
    <w:p w:rsidR="00F8290A" w:rsidRDefault="00F8290A"/>
    <w:tbl>
      <w:tblPr>
        <w:tblStyle w:val="TableGrid"/>
        <w:tblW w:w="0" w:type="auto"/>
        <w:tblLayout w:type="fixed"/>
        <w:tblLook w:val="04A0"/>
      </w:tblPr>
      <w:tblGrid>
        <w:gridCol w:w="1526"/>
        <w:gridCol w:w="1134"/>
        <w:gridCol w:w="1417"/>
        <w:gridCol w:w="993"/>
        <w:gridCol w:w="1701"/>
        <w:gridCol w:w="2835"/>
        <w:gridCol w:w="4570"/>
      </w:tblGrid>
      <w:tr w:rsidR="00CD5EB0" w:rsidTr="000A3BE1">
        <w:tc>
          <w:tcPr>
            <w:tcW w:w="1526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134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>Author/ Year</w:t>
            </w:r>
          </w:p>
        </w:tc>
        <w:tc>
          <w:tcPr>
            <w:tcW w:w="1417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Study Design</w:t>
            </w:r>
          </w:p>
        </w:tc>
        <w:tc>
          <w:tcPr>
            <w:tcW w:w="993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>Age/ Sample Size</w:t>
            </w:r>
          </w:p>
        </w:tc>
        <w:tc>
          <w:tcPr>
            <w:tcW w:w="1701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>Drug/ Dose/ Duration of Treatment</w:t>
            </w:r>
          </w:p>
        </w:tc>
        <w:tc>
          <w:tcPr>
            <w:tcW w:w="2835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>Outcome</w:t>
            </w:r>
          </w:p>
        </w:tc>
        <w:tc>
          <w:tcPr>
            <w:tcW w:w="4570" w:type="dxa"/>
          </w:tcPr>
          <w:p w:rsidR="008556B0" w:rsidRPr="00D53629" w:rsidRDefault="00855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29">
              <w:rPr>
                <w:rFonts w:ascii="Times New Roman" w:hAnsi="Times New Roman" w:cs="Times New Roman"/>
                <w:b/>
                <w:sz w:val="22"/>
                <w:szCs w:val="22"/>
              </w:rPr>
              <w:t>Results</w:t>
            </w:r>
          </w:p>
        </w:tc>
      </w:tr>
      <w:tr w:rsidR="00CD5EB0" w:rsidTr="000A3BE1">
        <w:tc>
          <w:tcPr>
            <w:tcW w:w="1526" w:type="dxa"/>
            <w:vAlign w:val="center"/>
          </w:tcPr>
          <w:p w:rsidR="008556B0" w:rsidRPr="009E1A32" w:rsidRDefault="0099645F" w:rsidP="00D25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Comparison of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ral Prednisone and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opical Fluticasone in the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reatment of Eosinophilic Esophagitis: A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andomized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rial in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hildren</w:t>
            </w:r>
          </w:p>
        </w:tc>
        <w:tc>
          <w:tcPr>
            <w:tcW w:w="1134" w:type="dxa"/>
            <w:vAlign w:val="center"/>
          </w:tcPr>
          <w:p w:rsidR="0099645F" w:rsidRPr="009E1A32" w:rsidRDefault="0099645F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Schaefer et al. 2008</w:t>
            </w:r>
          </w:p>
        </w:tc>
        <w:tc>
          <w:tcPr>
            <w:tcW w:w="1417" w:type="dxa"/>
            <w:vAlign w:val="center"/>
          </w:tcPr>
          <w:p w:rsidR="0099645F" w:rsidRPr="009E1A32" w:rsidRDefault="00304653" w:rsidP="000F7A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Prospective open-label</w:t>
            </w:r>
            <w:r w:rsidR="000F7A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randomized</w:t>
            </w:r>
            <w:r w:rsidR="00A15DB4">
              <w:rPr>
                <w:rFonts w:ascii="Times New Roman" w:hAnsi="Times New Roman" w:cs="Times New Roman"/>
                <w:sz w:val="22"/>
                <w:szCs w:val="22"/>
              </w:rPr>
              <w:t xml:space="preserve"> trial</w:t>
            </w:r>
          </w:p>
        </w:tc>
        <w:tc>
          <w:tcPr>
            <w:tcW w:w="993" w:type="dxa"/>
            <w:vAlign w:val="center"/>
          </w:tcPr>
          <w:p w:rsidR="00304653" w:rsidRPr="009E1A32" w:rsidRDefault="00EB0870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1-18 years</w:t>
            </w:r>
          </w:p>
          <w:p w:rsidR="00304653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6B0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N= 80</w:t>
            </w:r>
          </w:p>
        </w:tc>
        <w:tc>
          <w:tcPr>
            <w:tcW w:w="1701" w:type="dxa"/>
            <w:vAlign w:val="center"/>
          </w:tcPr>
          <w:p w:rsidR="008556B0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Fluticasone aerosol 880μg/d 1-10 years, 1760μg/d &gt;11 years (n=40) / Me</w:t>
            </w:r>
            <w:r w:rsidR="00894720" w:rsidRPr="009E1A32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ylprednisolone oral suspension /tablet 2mg/kg/dose/d (n=40) 4 weeks. (</w:t>
            </w:r>
            <w:r w:rsidR="00FF1F13" w:rsidRPr="009E1A32">
              <w:rPr>
                <w:rFonts w:ascii="Times New Roman" w:hAnsi="Times New Roman" w:cs="Times New Roman"/>
                <w:sz w:val="22"/>
                <w:szCs w:val="22"/>
              </w:rPr>
              <w:t>Dose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divided twice daily) </w:t>
            </w:r>
          </w:p>
        </w:tc>
        <w:tc>
          <w:tcPr>
            <w:tcW w:w="2835" w:type="dxa"/>
            <w:vAlign w:val="center"/>
          </w:tcPr>
          <w:p w:rsidR="005A4679" w:rsidRPr="009E1A32" w:rsidRDefault="005A4679" w:rsidP="009E1A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A32">
              <w:rPr>
                <w:rFonts w:ascii="Times New Roman" w:hAnsi="Times New Roman" w:cs="Times New Roman"/>
                <w:bCs/>
              </w:rPr>
              <w:t xml:space="preserve">Primary </w:t>
            </w:r>
            <w:r w:rsidR="00A80609">
              <w:rPr>
                <w:rFonts w:ascii="Times New Roman" w:hAnsi="Times New Roman" w:cs="Times New Roman"/>
                <w:bCs/>
              </w:rPr>
              <w:t>o</w:t>
            </w:r>
            <w:r w:rsidRPr="009E1A32">
              <w:rPr>
                <w:rFonts w:ascii="Times New Roman" w:hAnsi="Times New Roman" w:cs="Times New Roman"/>
                <w:bCs/>
              </w:rPr>
              <w:t xml:space="preserve">utcome: Histological </w:t>
            </w:r>
            <w:r w:rsidR="008044F5" w:rsidRPr="009E1A32">
              <w:rPr>
                <w:rFonts w:ascii="Times New Roman" w:hAnsi="Times New Roman" w:cs="Times New Roman"/>
                <w:bCs/>
              </w:rPr>
              <w:t>response:</w:t>
            </w:r>
            <w:r w:rsidR="008044F5">
              <w:rPr>
                <w:rFonts w:ascii="Times New Roman" w:hAnsi="Times New Roman" w:cs="Times New Roman"/>
                <w:bCs/>
              </w:rPr>
              <w:t xml:space="preserve"> I</w:t>
            </w:r>
            <w:r w:rsidRPr="009E1A32">
              <w:rPr>
                <w:rFonts w:ascii="Times New Roman" w:hAnsi="Times New Roman" w:cs="Times New Roman"/>
                <w:bCs/>
              </w:rPr>
              <w:t>mprovement in biopsy grade (included basal cell zone thickness as a percentage of the epithelial thickness and the maximum number of eosinophil/ HPF). Points were summed and total were translated into histologic grades (normal, mild, moderate and severe)</w:t>
            </w:r>
          </w:p>
          <w:p w:rsidR="005A4679" w:rsidRPr="009E1A32" w:rsidRDefault="005A4679" w:rsidP="009E1A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1A32">
              <w:rPr>
                <w:rFonts w:ascii="Times New Roman" w:hAnsi="Times New Roman" w:cs="Times New Roman"/>
                <w:bCs/>
              </w:rPr>
              <w:t xml:space="preserve">Secondary outcomes: Clinical response </w:t>
            </w:r>
            <w:r w:rsidR="008044F5">
              <w:rPr>
                <w:rFonts w:ascii="Times New Roman" w:hAnsi="Times New Roman" w:cs="Times New Roman"/>
                <w:bCs/>
              </w:rPr>
              <w:t>:</w:t>
            </w:r>
            <w:r w:rsidRPr="009E1A32">
              <w:rPr>
                <w:rFonts w:ascii="Times New Roman" w:hAnsi="Times New Roman" w:cs="Times New Roman"/>
                <w:bCs/>
              </w:rPr>
              <w:t xml:space="preserve"> </w:t>
            </w:r>
            <w:r w:rsidR="008044F5">
              <w:rPr>
                <w:rFonts w:ascii="Times New Roman" w:hAnsi="Times New Roman" w:cs="Times New Roman"/>
                <w:bCs/>
              </w:rPr>
              <w:t>P</w:t>
            </w:r>
            <w:r w:rsidRPr="009E1A32">
              <w:rPr>
                <w:rFonts w:ascii="Times New Roman" w:hAnsi="Times New Roman" w:cs="Times New Roman"/>
                <w:bCs/>
              </w:rPr>
              <w:t xml:space="preserve">resence or absence of presenting symptoms. </w:t>
            </w:r>
          </w:p>
          <w:p w:rsidR="008556B0" w:rsidRPr="009E1A32" w:rsidRDefault="008556B0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vAlign w:val="center"/>
          </w:tcPr>
          <w:p w:rsidR="005A4679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>) Histological remission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was reported in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81 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of patients 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>rednisolone group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50 % in 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>luticasone group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p value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>.0440.</w:t>
            </w:r>
          </w:p>
          <w:p w:rsidR="00A43D52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2670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2) Clinical remission was reported in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100 % of patients in 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 xml:space="preserve">Prednisolone and 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97.2 % in the 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>luticasone group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p value=</w:t>
            </w:r>
            <w:r w:rsidR="008B267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8B2670" w:rsidRPr="009E1A32">
              <w:rPr>
                <w:rFonts w:ascii="Times New Roman" w:hAnsi="Times New Roman" w:cs="Times New Roman"/>
                <w:sz w:val="22"/>
                <w:szCs w:val="22"/>
              </w:rPr>
              <w:t>7399</w:t>
            </w:r>
          </w:p>
          <w:p w:rsidR="008B2670" w:rsidRDefault="008B2670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DA3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63F4" w:rsidRPr="009E1A32" w:rsidRDefault="005163F4" w:rsidP="009E1A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1A32">
              <w:rPr>
                <w:rFonts w:ascii="Times New Roman" w:hAnsi="Times New Roman" w:cs="Times New Roman"/>
              </w:rPr>
              <w:t xml:space="preserve">3) Endoscopic parameters </w:t>
            </w:r>
            <w:r w:rsidR="009E1A32" w:rsidRPr="009E1A32">
              <w:rPr>
                <w:rFonts w:ascii="Times New Roman" w:hAnsi="Times New Roman" w:cs="Times New Roman"/>
              </w:rPr>
              <w:t xml:space="preserve">response was </w:t>
            </w:r>
            <w:r w:rsidRPr="009E1A32">
              <w:rPr>
                <w:rFonts w:ascii="Times New Roman" w:hAnsi="Times New Roman" w:cs="Times New Roman"/>
              </w:rPr>
              <w:t>not reported.</w:t>
            </w:r>
          </w:p>
          <w:p w:rsidR="00FE0ED2" w:rsidRDefault="005163F4" w:rsidP="00FE0E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>Adverse effects</w:t>
            </w:r>
            <w:r w:rsidR="00FE0ED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ED2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570DA3" w:rsidRPr="009E1A32">
              <w:rPr>
                <w:rFonts w:ascii="Times New Roman" w:hAnsi="Times New Roman" w:cs="Times New Roman"/>
                <w:sz w:val="22"/>
                <w:szCs w:val="22"/>
              </w:rPr>
              <w:t>yperphagia, weight gain, and/or cushingoid features</w:t>
            </w:r>
            <w:r w:rsidR="00FE0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679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were reported in </w:t>
            </w:r>
            <w:r w:rsidR="00FE0ED2">
              <w:rPr>
                <w:rFonts w:ascii="Times New Roman" w:hAnsi="Times New Roman" w:cs="Times New Roman"/>
                <w:sz w:val="22"/>
                <w:szCs w:val="22"/>
              </w:rPr>
              <w:t xml:space="preserve">40% Prednisolone group vs. none in </w:t>
            </w:r>
            <w:r w:rsidR="00FE0ED2" w:rsidRPr="009E1A32">
              <w:rPr>
                <w:rFonts w:ascii="Times New Roman" w:hAnsi="Times New Roman" w:cs="Times New Roman"/>
                <w:sz w:val="22"/>
                <w:szCs w:val="22"/>
              </w:rPr>
              <w:t>Fluticasone group</w:t>
            </w:r>
          </w:p>
          <w:p w:rsidR="008556B0" w:rsidRPr="009E1A32" w:rsidRDefault="008556B0" w:rsidP="00FE0E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EB0" w:rsidTr="000A3BE1">
        <w:tc>
          <w:tcPr>
            <w:tcW w:w="1526" w:type="dxa"/>
            <w:vAlign w:val="center"/>
          </w:tcPr>
          <w:p w:rsidR="008556B0" w:rsidRPr="009E1A32" w:rsidRDefault="00304653" w:rsidP="00D25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Oral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iscous Budesonide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ffective in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hildren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ith Eosinophilic Esophagitis in a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andomized,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lacebo-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ontrolled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rial </w:t>
            </w:r>
          </w:p>
        </w:tc>
        <w:tc>
          <w:tcPr>
            <w:tcW w:w="1134" w:type="dxa"/>
            <w:vAlign w:val="center"/>
          </w:tcPr>
          <w:p w:rsidR="008556B0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Dohil et al. 2010</w:t>
            </w:r>
          </w:p>
        </w:tc>
        <w:tc>
          <w:tcPr>
            <w:tcW w:w="1417" w:type="dxa"/>
            <w:vAlign w:val="center"/>
          </w:tcPr>
          <w:p w:rsidR="008556B0" w:rsidRPr="009E1A32" w:rsidRDefault="00304653" w:rsidP="000F7A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Randomized double-blind placebo-</w:t>
            </w:r>
            <w:r w:rsidR="000F7A53" w:rsidRPr="009E1A32">
              <w:rPr>
                <w:rFonts w:ascii="Times New Roman" w:hAnsi="Times New Roman" w:cs="Times New Roman"/>
                <w:sz w:val="22"/>
                <w:szCs w:val="22"/>
              </w:rPr>
              <w:t>control</w:t>
            </w:r>
            <w:r w:rsidR="000F7A53">
              <w:rPr>
                <w:rFonts w:ascii="Times New Roman" w:hAnsi="Times New Roman" w:cs="Times New Roman"/>
                <w:sz w:val="22"/>
                <w:szCs w:val="22"/>
              </w:rPr>
              <w:t xml:space="preserve">led </w:t>
            </w:r>
            <w:r w:rsidR="00A15DB4">
              <w:rPr>
                <w:rFonts w:ascii="Times New Roman" w:hAnsi="Times New Roman" w:cs="Times New Roman"/>
                <w:sz w:val="22"/>
                <w:szCs w:val="22"/>
              </w:rPr>
              <w:t>trial</w:t>
            </w:r>
          </w:p>
        </w:tc>
        <w:tc>
          <w:tcPr>
            <w:tcW w:w="993" w:type="dxa"/>
            <w:vAlign w:val="center"/>
          </w:tcPr>
          <w:p w:rsidR="008556B0" w:rsidRPr="009E1A32" w:rsidRDefault="00CD5EB0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1-17 years</w:t>
            </w:r>
          </w:p>
          <w:p w:rsidR="00304653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653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N= 24</w:t>
            </w:r>
          </w:p>
        </w:tc>
        <w:tc>
          <w:tcPr>
            <w:tcW w:w="1701" w:type="dxa"/>
            <w:vAlign w:val="center"/>
          </w:tcPr>
          <w:p w:rsidR="008556B0" w:rsidRPr="009E1A32" w:rsidRDefault="00304653" w:rsidP="009E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Budesonide oral viscous for 3 months (the daily dose was divided in two doses) 1 mg/ d &lt;5-feet tall,2 mg/d ≥ 5-feet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tall (n=15)</w:t>
            </w:r>
            <w:r w:rsidR="00D17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/placebo(n=9)  </w:t>
            </w:r>
          </w:p>
        </w:tc>
        <w:tc>
          <w:tcPr>
            <w:tcW w:w="2835" w:type="dxa"/>
            <w:vAlign w:val="center"/>
          </w:tcPr>
          <w:p w:rsidR="00D169CB" w:rsidRPr="009E1A32" w:rsidRDefault="00D169CB" w:rsidP="009E1A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9E1A32">
              <w:rPr>
                <w:rFonts w:ascii="Times New Roman" w:hAnsi="Times New Roman" w:cs="Times New Roman"/>
                <w:bCs/>
                <w:color w:val="auto"/>
                <w:u w:color="1F497D"/>
              </w:rPr>
              <w:lastRenderedPageBreak/>
              <w:t xml:space="preserve">Primary </w:t>
            </w:r>
            <w:r w:rsidR="00A80609">
              <w:rPr>
                <w:rFonts w:ascii="Times New Roman" w:hAnsi="Times New Roman" w:cs="Times New Roman"/>
                <w:bCs/>
                <w:color w:val="auto"/>
                <w:u w:color="1F497D"/>
              </w:rPr>
              <w:t>o</w:t>
            </w:r>
            <w:r w:rsidRPr="009E1A32">
              <w:rPr>
                <w:rFonts w:ascii="Times New Roman" w:hAnsi="Times New Roman" w:cs="Times New Roman"/>
                <w:bCs/>
                <w:color w:val="auto"/>
                <w:u w:color="1F497D"/>
              </w:rPr>
              <w:t>utcome: Improvement in esophageal eosinophilia (0-6 eosinophil counts /HPF); partial responders (7-19 eosinophil/HPF).</w:t>
            </w:r>
          </w:p>
          <w:p w:rsidR="008556B0" w:rsidRPr="009E1A32" w:rsidRDefault="00D169CB" w:rsidP="00063DD3">
            <w:pPr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</w:pPr>
            <w:r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Secondary outcomes: </w:t>
            </w:r>
            <w:r w:rsidR="00006098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A </w:t>
            </w:r>
            <w:r w:rsidR="00006098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lastRenderedPageBreak/>
              <w:t>detailed s</w:t>
            </w:r>
            <w:r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coring system was formulated to assess </w:t>
            </w:r>
            <w:r w:rsidR="00006098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Symptomatic</w:t>
            </w:r>
            <w:r w:rsidR="00A43D52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 (symptom scoring tool devised for children with acid peptic disorders</w:t>
            </w:r>
            <w:r w:rsidR="009E1A32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 based on absence or presence of mild and severe upper GI symptoms</w:t>
            </w:r>
            <w:r w:rsidR="00A43D52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) and</w:t>
            </w:r>
            <w:r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 </w:t>
            </w:r>
            <w:r w:rsidR="00063DD3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Endoscopic (</w:t>
            </w:r>
            <w:r w:rsidR="009E1A32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scoring tool based on absence or presence of </w:t>
            </w:r>
            <w:r w:rsidR="00A43D52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mucosal pallor, linear furrows, white plaque, concentric rings and friability)</w:t>
            </w:r>
            <w:r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 </w:t>
            </w:r>
            <w:r w:rsidR="00006098" w:rsidRPr="009E1A3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response.</w:t>
            </w:r>
          </w:p>
        </w:tc>
        <w:tc>
          <w:tcPr>
            <w:tcW w:w="4570" w:type="dxa"/>
            <w:vAlign w:val="center"/>
          </w:tcPr>
          <w:p w:rsidR="00006098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06098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) Histological remission was reported in 86.7 % of patients in the study group and in 0 % of patients in the control group; p value &lt;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6098" w:rsidRPr="009E1A32">
              <w:rPr>
                <w:rFonts w:ascii="Times New Roman" w:hAnsi="Times New Roman" w:cs="Times New Roman"/>
                <w:sz w:val="22"/>
                <w:szCs w:val="22"/>
              </w:rPr>
              <w:t>.0001.</w:t>
            </w:r>
          </w:p>
          <w:p w:rsidR="00A43D52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3D52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2) Clinical response: The mean symptom score improved from 3.5 at base line to 1.2 after treatment in the study group (p=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. 0007). The mean symptom score was 2.7 before and 1.8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after treatment in placebo group (p=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.22) </w:t>
            </w:r>
          </w:p>
          <w:p w:rsidR="00A43D52" w:rsidRPr="009E1A32" w:rsidRDefault="00A43D52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098" w:rsidRPr="009E1A32" w:rsidRDefault="00006098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3) Endoscopic response: The mean endoscopy score</w:t>
            </w:r>
            <w:r w:rsidR="008C0C4E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improved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from 4.6 before to 1.5 after treatment </w:t>
            </w:r>
            <w:r w:rsidR="008C0C4E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in study group (p=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C0C4E" w:rsidRPr="009E1A32">
              <w:rPr>
                <w:rFonts w:ascii="Times New Roman" w:hAnsi="Times New Roman" w:cs="Times New Roman"/>
                <w:sz w:val="22"/>
                <w:szCs w:val="22"/>
              </w:rPr>
              <w:t>.0005). The mean endoscopy score improved from 7.8 before to 5.4 after treatment in placebo group (p=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C0C4E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.041)</w:t>
            </w:r>
          </w:p>
          <w:p w:rsidR="008C0C4E" w:rsidRPr="009E1A32" w:rsidRDefault="008C0C4E" w:rsidP="009E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6B0" w:rsidRPr="009E1A32" w:rsidRDefault="009E1A32" w:rsidP="00FE0E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E27110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Adverse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events: </w:t>
            </w:r>
            <w:r w:rsidR="002C29C6"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One patient developed oral candida, which responded to Nystatin. </w:t>
            </w:r>
          </w:p>
        </w:tc>
      </w:tr>
      <w:tr w:rsidR="00CD5EB0" w:rsidTr="000A3BE1">
        <w:tc>
          <w:tcPr>
            <w:tcW w:w="1526" w:type="dxa"/>
            <w:vAlign w:val="center"/>
          </w:tcPr>
          <w:p w:rsidR="008556B0" w:rsidRPr="001F4DA2" w:rsidRDefault="00304653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Reslizumab in children and adolescents with eosinophilic esophagitis: Results of a </w:t>
            </w:r>
            <w:r w:rsidR="00583B81" w:rsidRPr="001F4DA2">
              <w:rPr>
                <w:rFonts w:ascii="Times New Roman" w:hAnsi="Times New Roman" w:cs="Times New Roman"/>
                <w:sz w:val="22"/>
                <w:szCs w:val="22"/>
              </w:rPr>
              <w:t>double-</w:t>
            </w:r>
            <w:r w:rsidR="009E1A32" w:rsidRPr="001F4DA2">
              <w:rPr>
                <w:rFonts w:ascii="Times New Roman" w:hAnsi="Times New Roman" w:cs="Times New Roman"/>
                <w:sz w:val="22"/>
                <w:szCs w:val="22"/>
              </w:rPr>
              <w:t>blind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, randomized, placebo-controlled trial.</w:t>
            </w:r>
          </w:p>
        </w:tc>
        <w:tc>
          <w:tcPr>
            <w:tcW w:w="1134" w:type="dxa"/>
            <w:vAlign w:val="center"/>
          </w:tcPr>
          <w:p w:rsidR="008556B0" w:rsidRPr="001F4DA2" w:rsidRDefault="00304653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Spergel et al. 2012</w:t>
            </w:r>
          </w:p>
        </w:tc>
        <w:tc>
          <w:tcPr>
            <w:tcW w:w="1417" w:type="dxa"/>
            <w:vAlign w:val="center"/>
          </w:tcPr>
          <w:p w:rsidR="008556B0" w:rsidRPr="001F4DA2" w:rsidRDefault="00B231CF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Randomized </w:t>
            </w:r>
            <w:r w:rsidR="00583B81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multicenter 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double-blind placebo-controlled </w:t>
            </w:r>
            <w:r w:rsidR="00A15DB4">
              <w:rPr>
                <w:rFonts w:ascii="Times New Roman" w:hAnsi="Times New Roman" w:cs="Times New Roman"/>
                <w:sz w:val="22"/>
                <w:szCs w:val="22"/>
              </w:rPr>
              <w:t>trial</w:t>
            </w:r>
          </w:p>
        </w:tc>
        <w:tc>
          <w:tcPr>
            <w:tcW w:w="993" w:type="dxa"/>
            <w:vAlign w:val="center"/>
          </w:tcPr>
          <w:p w:rsidR="00B231CF" w:rsidRPr="001F4DA2" w:rsidRDefault="00CD5EB0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5-18 years</w:t>
            </w:r>
          </w:p>
          <w:p w:rsidR="00B231CF" w:rsidRPr="001F4DA2" w:rsidRDefault="00B231CF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N= 227</w:t>
            </w:r>
          </w:p>
        </w:tc>
        <w:tc>
          <w:tcPr>
            <w:tcW w:w="1701" w:type="dxa"/>
            <w:vAlign w:val="center"/>
          </w:tcPr>
          <w:p w:rsidR="008556B0" w:rsidRPr="001F4DA2" w:rsidRDefault="00B231CF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Intravenous infusion of 1,2 or 3mg/kg Reslizumab or placebo. Study medication was administered every 28 (+/- 7) days for a total of 4 doses.</w:t>
            </w:r>
          </w:p>
        </w:tc>
        <w:tc>
          <w:tcPr>
            <w:tcW w:w="2835" w:type="dxa"/>
            <w:vAlign w:val="center"/>
          </w:tcPr>
          <w:p w:rsidR="004D74D9" w:rsidRPr="001F4DA2" w:rsidRDefault="00BE7755" w:rsidP="001F4D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Primary </w:t>
            </w:r>
            <w:r w:rsidR="00A80609">
              <w:rPr>
                <w:rFonts w:ascii="Times New Roman" w:hAnsi="Times New Roman" w:cs="Times New Roman"/>
                <w:bCs/>
                <w:color w:val="auto"/>
                <w:u w:color="1F497D"/>
              </w:rPr>
              <w:t>o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utcome:</w:t>
            </w:r>
            <w:r w:rsidR="00681D6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</w:t>
            </w:r>
            <w:r w:rsidR="00CE3D21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Percentage </w:t>
            </w:r>
            <w:r w:rsidR="003C67F8">
              <w:rPr>
                <w:rFonts w:ascii="Times New Roman" w:hAnsi="Times New Roman" w:cs="Times New Roman"/>
                <w:bCs/>
                <w:color w:val="auto"/>
                <w:u w:color="1F497D"/>
              </w:rPr>
              <w:t>c</w:t>
            </w:r>
            <w:r w:rsidR="004D74D9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hange </w:t>
            </w:r>
            <w:r w:rsidR="00CE3D21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in the </w:t>
            </w:r>
            <w:r w:rsidR="009237A8">
              <w:rPr>
                <w:rFonts w:ascii="Times New Roman" w:hAnsi="Times New Roman" w:cs="Times New Roman"/>
                <w:bCs/>
                <w:color w:val="auto"/>
                <w:u w:color="1F497D"/>
              </w:rPr>
              <w:t>p</w:t>
            </w:r>
            <w:r w:rsidR="004D74D9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ea</w:t>
            </w:r>
            <w:r w:rsidR="00CE3D21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k eosinophil count.</w:t>
            </w:r>
          </w:p>
          <w:p w:rsidR="004D74D9" w:rsidRPr="001F4DA2" w:rsidRDefault="00BE7755" w:rsidP="001F4D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  <w:color w:val="auto"/>
                <w:u w:color="1F497D"/>
              </w:rPr>
            </w:pP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Secondary </w:t>
            </w:r>
            <w:r w:rsidR="00681D62">
              <w:rPr>
                <w:rFonts w:ascii="Times New Roman" w:hAnsi="Times New Roman" w:cs="Times New Roman"/>
                <w:bCs/>
                <w:color w:val="auto"/>
                <w:u w:color="1F497D"/>
              </w:rPr>
              <w:t>o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utcome: </w:t>
            </w:r>
            <w:r w:rsidR="004D74D9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Physicians EoE global asse</w:t>
            </w:r>
            <w:r w:rsidR="00CE3D21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ssment score</w:t>
            </w:r>
            <w:r w:rsidR="00A43D52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(</w:t>
            </w:r>
            <w:r w:rsidR="00FD46B8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included </w:t>
            </w:r>
            <w:r w:rsidR="003F0F48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physical findings, vital signs, </w:t>
            </w:r>
            <w:r w:rsidR="008B2670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predominant EoE symptoms, 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patient’s</w:t>
            </w:r>
            <w:r w:rsidR="003F0F48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symptom diary and dietary qu</w:t>
            </w:r>
            <w:r w:rsidR="00137E45">
              <w:rPr>
                <w:rFonts w:ascii="Times New Roman" w:hAnsi="Times New Roman" w:cs="Times New Roman"/>
                <w:bCs/>
                <w:color w:val="auto"/>
                <w:u w:color="1F497D"/>
              </w:rPr>
              <w:t>es</w:t>
            </w:r>
            <w:r w:rsidR="003F0F48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ti</w:t>
            </w:r>
            <w:r w:rsidR="00137E45">
              <w:rPr>
                <w:rFonts w:ascii="Times New Roman" w:hAnsi="Times New Roman" w:cs="Times New Roman"/>
                <w:bCs/>
                <w:color w:val="auto"/>
                <w:u w:color="1F497D"/>
              </w:rPr>
              <w:t>ons</w:t>
            </w:r>
            <w:r w:rsidR="00074BED">
              <w:rPr>
                <w:rFonts w:ascii="Times New Roman" w:hAnsi="Times New Roman" w:cs="Times New Roman"/>
                <w:bCs/>
                <w:color w:val="auto"/>
                <w:u w:color="1F497D"/>
              </w:rPr>
              <w:t>)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. </w:t>
            </w:r>
            <w:r w:rsidR="008B2670">
              <w:rPr>
                <w:rFonts w:ascii="Times New Roman" w:hAnsi="Times New Roman" w:cs="Times New Roman"/>
                <w:bCs/>
                <w:color w:val="auto"/>
                <w:u w:color="1F497D"/>
              </w:rPr>
              <w:t>It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was categorized as none, mild</w:t>
            </w:r>
            <w:r w:rsidR="00E90009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, 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moderate,</w:t>
            </w:r>
            <w:r w:rsidR="00E90009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severe or very severe</w:t>
            </w:r>
            <w:r w:rsidR="00CE3D21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>.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Other efficacy measure included the </w:t>
            </w:r>
            <w:r w:rsidR="00063DD3"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patient’s </w:t>
            </w:r>
            <w:r w:rsidR="00063DD3">
              <w:rPr>
                <w:rFonts w:ascii="Times New Roman" w:hAnsi="Times New Roman" w:cs="Times New Roman"/>
                <w:bCs/>
                <w:color w:val="auto"/>
                <w:u w:color="1F497D"/>
              </w:rPr>
              <w:t>EoE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t xml:space="preserve"> predominant symptom assessment and the Children’s Health </w:t>
            </w:r>
            <w:r w:rsidRPr="001F4DA2">
              <w:rPr>
                <w:rFonts w:ascii="Times New Roman" w:hAnsi="Times New Roman" w:cs="Times New Roman"/>
                <w:bCs/>
                <w:color w:val="auto"/>
                <w:u w:color="1F497D"/>
              </w:rPr>
              <w:lastRenderedPageBreak/>
              <w:t>Questionnaire.</w:t>
            </w:r>
          </w:p>
          <w:p w:rsidR="008556B0" w:rsidRPr="001F4DA2" w:rsidRDefault="008556B0" w:rsidP="001F4D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vAlign w:val="center"/>
          </w:tcPr>
          <w:p w:rsidR="00BE351B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>Histological response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The percentage improvement from baseline in peak eosinophil count was greater in 3-study group than in placebo group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>; p value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&lt;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>.001.</w:t>
            </w:r>
          </w:p>
          <w:p w:rsidR="00BE7755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755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2) Clinical response: No significant difference between study and placebo group in </w:t>
            </w:r>
            <w:r w:rsidRPr="001F4DA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 xml:space="preserve">Physicians EoE global assessment score. </w:t>
            </w:r>
          </w:p>
          <w:p w:rsidR="00BE7755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</w:pPr>
          </w:p>
          <w:p w:rsidR="00BE7755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</w:pPr>
            <w:r w:rsidRPr="001F4DA2">
              <w:rPr>
                <w:rFonts w:ascii="Times New Roman" w:hAnsi="Times New Roman" w:cs="Times New Roman"/>
                <w:bCs/>
                <w:sz w:val="22"/>
                <w:szCs w:val="22"/>
                <w:u w:color="1F497D"/>
              </w:rPr>
              <w:t>3) Endoscopic parameters were not reported.</w:t>
            </w:r>
          </w:p>
          <w:p w:rsidR="00BE7755" w:rsidRPr="001F4DA2" w:rsidRDefault="00BE7755" w:rsidP="001F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6B0" w:rsidRPr="001F4DA2" w:rsidRDefault="00BE7755" w:rsidP="00D34B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4) Adverse events: </w:t>
            </w:r>
            <w:bookmarkStart w:id="0" w:name="_GoBack"/>
            <w:bookmarkEnd w:id="0"/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Infusion-site reactions 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tenderness, erythema and some </w:t>
            </w:r>
            <w:r w:rsidR="006339BD" w:rsidRPr="001F4DA2">
              <w:rPr>
                <w:rFonts w:ascii="Times New Roman" w:hAnsi="Times New Roman" w:cs="Times New Roman"/>
                <w:sz w:val="22"/>
                <w:szCs w:val="22"/>
              </w:rPr>
              <w:t>degree of swelling)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were reported in</w:t>
            </w:r>
            <w:r w:rsidR="006339BD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 % of </w:t>
            </w:r>
            <w:r w:rsidR="00365451">
              <w:rPr>
                <w:rFonts w:ascii="Times New Roman" w:hAnsi="Times New Roman" w:cs="Times New Roman"/>
                <w:sz w:val="22"/>
                <w:szCs w:val="22"/>
              </w:rPr>
              <w:t xml:space="preserve">1mg/ </w:t>
            </w:r>
            <w:r w:rsidR="00D34B6A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65451">
              <w:rPr>
                <w:rFonts w:ascii="Times New Roman" w:hAnsi="Times New Roman" w:cs="Times New Roman"/>
                <w:sz w:val="22"/>
                <w:szCs w:val="22"/>
              </w:rPr>
              <w:t xml:space="preserve">g study group, 3.5% in </w:t>
            </w:r>
            <w:r w:rsidR="00D34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73C6">
              <w:rPr>
                <w:rFonts w:ascii="Times New Roman" w:hAnsi="Times New Roman" w:cs="Times New Roman"/>
                <w:sz w:val="22"/>
                <w:szCs w:val="22"/>
              </w:rPr>
              <w:t>mg/</w:t>
            </w:r>
            <w:r w:rsidR="006339BD" w:rsidRPr="001F4DA2">
              <w:rPr>
                <w:rFonts w:ascii="Times New Roman" w:hAnsi="Times New Roman" w:cs="Times New Roman"/>
                <w:sz w:val="22"/>
                <w:szCs w:val="22"/>
              </w:rPr>
              <w:t xml:space="preserve">kg study group, 7.0% in 3mg/kg study group and 7 % patients in </w:t>
            </w:r>
            <w:r w:rsidR="00BE351B" w:rsidRPr="001F4DA2">
              <w:rPr>
                <w:rFonts w:ascii="Times New Roman" w:hAnsi="Times New Roman" w:cs="Times New Roman"/>
                <w:sz w:val="22"/>
                <w:szCs w:val="22"/>
              </w:rPr>
              <w:t>the control group</w:t>
            </w:r>
            <w:r w:rsidR="006339BD" w:rsidRPr="001F4D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5EB0" w:rsidTr="000A3BE1">
        <w:tc>
          <w:tcPr>
            <w:tcW w:w="1526" w:type="dxa"/>
            <w:vAlign w:val="center"/>
          </w:tcPr>
          <w:p w:rsidR="008556B0" w:rsidRPr="00365451" w:rsidRDefault="00B231CF" w:rsidP="00D25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Efficacy and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afety of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ral Budesonide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uspension in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ediatric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atients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ith </w:t>
            </w:r>
            <w:proofErr w:type="spellStart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Eosinophilic</w:t>
            </w:r>
            <w:proofErr w:type="spellEnd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Esophagitis</w:t>
            </w:r>
            <w:proofErr w:type="spellEnd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Gupta et al. </w:t>
            </w:r>
          </w:p>
          <w:p w:rsidR="008556B0" w:rsidRPr="00365451" w:rsidRDefault="00894720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vAlign w:val="center"/>
          </w:tcPr>
          <w:p w:rsidR="008556B0" w:rsidRPr="00365451" w:rsidRDefault="00894720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Randomized multicenter double-blind placebo-controlled</w:t>
            </w:r>
            <w:r w:rsidR="00A15DB4">
              <w:rPr>
                <w:rFonts w:ascii="Times New Roman" w:hAnsi="Times New Roman" w:cs="Times New Roman"/>
                <w:sz w:val="22"/>
                <w:szCs w:val="22"/>
              </w:rPr>
              <w:t xml:space="preserve"> trial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8556B0" w:rsidRPr="00365451" w:rsidRDefault="00894720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2-18 years.</w:t>
            </w:r>
          </w:p>
          <w:p w:rsidR="00894720" w:rsidRPr="00365451" w:rsidRDefault="00894720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720" w:rsidRPr="00365451" w:rsidRDefault="00894720" w:rsidP="00DE1F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N= </w:t>
            </w:r>
            <w:r w:rsidR="00DE1F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Budesonide viscous liquid dose divided twice daily for 12 weeks –</w:t>
            </w: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Low dose (n=21)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0.35 mg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>/d 2-9 years &amp; 0.5 mg/d 10-18 years.</w:t>
            </w: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Medium dose (n=19): 1.4 mg/d 2-9y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>ears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&amp; 2 mg/d 10-18y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ears. </w:t>
            </w: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High Dose (n=20): 2.8 mg/d 2-9y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>ears  &amp; 4mg/d 10-18years.</w:t>
            </w: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4720" w:rsidRPr="00365451" w:rsidRDefault="00894720" w:rsidP="003654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Placebo (n=21) </w:t>
            </w:r>
          </w:p>
          <w:p w:rsidR="008556B0" w:rsidRPr="00365451" w:rsidRDefault="008556B0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556B0" w:rsidRPr="00365451" w:rsidRDefault="001F4DA2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Primary </w:t>
            </w:r>
            <w:r w:rsidR="00A8060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utcome: </w:t>
            </w:r>
            <w:r w:rsidR="002B27FA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4BE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ompound </w:t>
            </w:r>
            <w:proofErr w:type="spellStart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histologic</w:t>
            </w:r>
            <w:proofErr w:type="spellEnd"/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+ symptom </w:t>
            </w:r>
            <w:r w:rsidR="007106CB" w:rsidRPr="00365451">
              <w:rPr>
                <w:rFonts w:ascii="Times New Roman" w:hAnsi="Times New Roman" w:cs="Times New Roman"/>
                <w:sz w:val="22"/>
                <w:szCs w:val="22"/>
              </w:rPr>
              <w:t>response: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358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oth peak eosinophil count </w:t>
            </w:r>
            <w:r w:rsidR="00063DD3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063DD3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/= 6/HPF in all esophageal levels and &gt;/= 50% reduction from baseline in the EoE Clinical symptomatic score</w:t>
            </w:r>
            <w:r w:rsidR="00C45F3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5F34" w:rsidRPr="00365451">
              <w:rPr>
                <w:rFonts w:ascii="Times New Roman" w:hAnsi="Times New Roman" w:cs="Times New Roman"/>
                <w:sz w:val="22"/>
                <w:szCs w:val="22"/>
              </w:rPr>
              <w:t>CSS</w:t>
            </w:r>
            <w:r w:rsidR="00C45F3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B27FA" w:rsidRPr="00365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27FA" w:rsidRPr="00365451" w:rsidRDefault="002B27FA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Histological remission</w:t>
            </w:r>
            <w:r w:rsidR="003C67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358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eak eosinophil count of &lt;/=1/HPF in all esophageal levels.</w:t>
            </w:r>
          </w:p>
          <w:p w:rsidR="002B27FA" w:rsidRPr="00365451" w:rsidRDefault="002B27FA" w:rsidP="001F5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Symptom </w:t>
            </w:r>
            <w:r w:rsidR="00FF1F2C" w:rsidRPr="00365451">
              <w:rPr>
                <w:rFonts w:ascii="Times New Roman" w:hAnsi="Times New Roman" w:cs="Times New Roman"/>
                <w:sz w:val="22"/>
                <w:szCs w:val="22"/>
              </w:rPr>
              <w:t>resolution: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EoE CSS of 0.</w:t>
            </w:r>
          </w:p>
        </w:tc>
        <w:tc>
          <w:tcPr>
            <w:tcW w:w="4570" w:type="dxa"/>
            <w:vAlign w:val="center"/>
          </w:tcPr>
          <w:p w:rsidR="004D5769" w:rsidRDefault="00C146EA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1) Histological remission was reported in 11.8%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p =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.4597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r w:rsidR="000C73C6" w:rsidRPr="00365451">
              <w:rPr>
                <w:rFonts w:ascii="Times New Roman" w:hAnsi="Times New Roman" w:cs="Times New Roman"/>
                <w:sz w:val="22"/>
                <w:szCs w:val="22"/>
              </w:rPr>
              <w:t>, 42.1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(p=0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.0042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and 76.5%</w:t>
            </w:r>
            <w:r w:rsidR="00611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 xml:space="preserve">(p 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&lt;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.0001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in low, medium and high dose group respectively compar</w:t>
            </w:r>
            <w:r w:rsidR="00B94867" w:rsidRPr="00365451">
              <w:rPr>
                <w:rFonts w:ascii="Times New Roman" w:hAnsi="Times New Roman" w:cs="Times New Roman"/>
                <w:sz w:val="22"/>
                <w:szCs w:val="22"/>
              </w:rPr>
              <w:t>ed to 0% in control group</w:t>
            </w:r>
          </w:p>
          <w:p w:rsidR="00F87C5C" w:rsidRDefault="00F87C5C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EF7" w:rsidRDefault="008A6EF7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2) Clinical remission was reported in </w:t>
            </w:r>
            <w:r w:rsidR="00234872" w:rsidRPr="00365451">
              <w:rPr>
                <w:rFonts w:ascii="Times New Roman" w:hAnsi="Times New Roman" w:cs="Times New Roman"/>
                <w:sz w:val="22"/>
                <w:szCs w:val="22"/>
              </w:rPr>
              <w:t>17.6 %</w:t>
            </w:r>
            <w:r w:rsidR="002348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(p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.3444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, 31.6%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(p=</w:t>
            </w:r>
            <w:r w:rsidR="002348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4872" w:rsidRPr="00365451">
              <w:rPr>
                <w:rFonts w:ascii="Times New Roman" w:hAnsi="Times New Roman" w:cs="Times New Roman"/>
                <w:sz w:val="22"/>
                <w:szCs w:val="22"/>
              </w:rPr>
              <w:t>.9258</w:t>
            </w:r>
            <w:r w:rsidR="0023487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and 17.6%</w:t>
            </w:r>
            <w:r w:rsidR="002348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(p=0</w:t>
            </w:r>
            <w:r w:rsidR="004D5769" w:rsidRPr="00365451">
              <w:rPr>
                <w:rFonts w:ascii="Times New Roman" w:hAnsi="Times New Roman" w:cs="Times New Roman"/>
                <w:sz w:val="22"/>
                <w:szCs w:val="22"/>
              </w:rPr>
              <w:t>.325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in low, medium and high dose study group respectively compared to 33.3% </w:t>
            </w:r>
            <w:r w:rsidR="00B94867" w:rsidRPr="00365451">
              <w:rPr>
                <w:rFonts w:ascii="Times New Roman" w:hAnsi="Times New Roman" w:cs="Times New Roman"/>
                <w:sz w:val="22"/>
                <w:szCs w:val="22"/>
              </w:rPr>
              <w:t>in control group</w:t>
            </w:r>
            <w:r w:rsidR="004D57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87C5C" w:rsidRPr="00365451" w:rsidRDefault="00F87C5C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26D" w:rsidRDefault="00BF526D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Compound </w:t>
            </w:r>
            <w:proofErr w:type="spellStart"/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>Histologic</w:t>
            </w:r>
            <w:proofErr w:type="spellEnd"/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+ Symptom </w:t>
            </w:r>
            <w:r w:rsidR="0023487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esponse: 52.6% (p value= 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.0092) subjects in medium dose group and 47.1 % </w:t>
            </w:r>
            <w:r w:rsidR="00BB1D55" w:rsidRPr="00365451">
              <w:rPr>
                <w:rFonts w:ascii="Times New Roman" w:hAnsi="Times New Roman" w:cs="Times New Roman"/>
                <w:sz w:val="22"/>
                <w:szCs w:val="22"/>
              </w:rPr>
              <w:t>(p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value=</w:t>
            </w:r>
            <w:r w:rsidR="003C7F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4DA2" w:rsidRPr="00365451">
              <w:rPr>
                <w:rFonts w:ascii="Times New Roman" w:hAnsi="Times New Roman" w:cs="Times New Roman"/>
                <w:sz w:val="22"/>
                <w:szCs w:val="22"/>
              </w:rPr>
              <w:t>.0174) in high dose study group demonstrated primary compound response compared to 5.6% in placebo group.</w:t>
            </w:r>
            <w:r w:rsidR="0007462F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="0007462F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o significant difference between low dose </w:t>
            </w:r>
            <w:r w:rsidR="0007462F">
              <w:rPr>
                <w:rFonts w:ascii="Times New Roman" w:hAnsi="Times New Roman" w:cs="Times New Roman"/>
                <w:sz w:val="22"/>
                <w:szCs w:val="22"/>
              </w:rPr>
              <w:t>11.8% (</w:t>
            </w:r>
            <w:r w:rsidR="0007462F" w:rsidRPr="00365451">
              <w:rPr>
                <w:rFonts w:ascii="Times New Roman" w:hAnsi="Times New Roman" w:cs="Times New Roman"/>
                <w:sz w:val="22"/>
                <w:szCs w:val="22"/>
              </w:rPr>
              <w:t>p v</w:t>
            </w:r>
            <w:r w:rsidR="0007462F">
              <w:rPr>
                <w:rFonts w:ascii="Times New Roman" w:hAnsi="Times New Roman" w:cs="Times New Roman"/>
                <w:sz w:val="22"/>
                <w:szCs w:val="22"/>
              </w:rPr>
              <w:t>alue=0.5282) and placebo group.</w:t>
            </w:r>
          </w:p>
          <w:p w:rsidR="00F87C5C" w:rsidRPr="00365451" w:rsidRDefault="00F87C5C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26D" w:rsidRDefault="00BF526D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4) Endoscopic parameters were not reported.</w:t>
            </w:r>
          </w:p>
          <w:p w:rsidR="00F87C5C" w:rsidRPr="00365451" w:rsidRDefault="00F87C5C" w:rsidP="0036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26D" w:rsidRPr="00365451" w:rsidRDefault="00BF526D" w:rsidP="00EC2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5451">
              <w:rPr>
                <w:rFonts w:ascii="Times New Roman" w:hAnsi="Times New Roman" w:cs="Times New Roman"/>
                <w:sz w:val="22"/>
                <w:szCs w:val="22"/>
              </w:rPr>
              <w:t>5) Adverse events</w:t>
            </w:r>
            <w:r w:rsidR="00EC2E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C2E7D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3.3% percent subjects in study group experienced oropharyngeal or esophageal candidiasis</w:t>
            </w:r>
            <w:r w:rsidR="00EC2E7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241DF" w:rsidRPr="00365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745EF" w:rsidRPr="009E1A32" w:rsidTr="00473EDE">
        <w:tc>
          <w:tcPr>
            <w:tcW w:w="1526" w:type="dxa"/>
            <w:vAlign w:val="center"/>
          </w:tcPr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5EF" w:rsidRPr="009E1A32" w:rsidRDefault="004745EF" w:rsidP="00D25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andomized,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ouble-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lind,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lacebo-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ontrolled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rial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f Fluticasone Propionate for </w:t>
            </w:r>
            <w:r w:rsidR="00D2575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ediatric </w:t>
            </w:r>
            <w:proofErr w:type="spellStart"/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Eosinophilic</w:t>
            </w:r>
            <w:proofErr w:type="spellEnd"/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Esophagitis</w:t>
            </w:r>
            <w:proofErr w:type="spellEnd"/>
          </w:p>
        </w:tc>
        <w:tc>
          <w:tcPr>
            <w:tcW w:w="1134" w:type="dxa"/>
            <w:vAlign w:val="center"/>
          </w:tcPr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Konikoff et al. 2006</w:t>
            </w:r>
          </w:p>
        </w:tc>
        <w:tc>
          <w:tcPr>
            <w:tcW w:w="1417" w:type="dxa"/>
            <w:vAlign w:val="center"/>
          </w:tcPr>
          <w:p w:rsidR="004745EF" w:rsidRPr="009E1A32" w:rsidRDefault="004745EF" w:rsidP="000F7A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Randomized double-blind</w:t>
            </w:r>
            <w:r w:rsidR="000F7A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placebo-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controlled</w:t>
            </w:r>
            <w:r w:rsidR="00A15DB4">
              <w:rPr>
                <w:rFonts w:ascii="Times New Roman" w:hAnsi="Times New Roman" w:cs="Times New Roman"/>
                <w:sz w:val="22"/>
                <w:szCs w:val="22"/>
              </w:rPr>
              <w:t xml:space="preserve"> trial</w:t>
            </w:r>
          </w:p>
        </w:tc>
        <w:tc>
          <w:tcPr>
            <w:tcW w:w="993" w:type="dxa"/>
            <w:vAlign w:val="center"/>
          </w:tcPr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3- 19 years</w:t>
            </w:r>
          </w:p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N= 36</w:t>
            </w:r>
          </w:p>
        </w:tc>
        <w:tc>
          <w:tcPr>
            <w:tcW w:w="1701" w:type="dxa"/>
            <w:vAlign w:val="center"/>
          </w:tcPr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Fluticasone propionate 880 </w:t>
            </w:r>
            <w:proofErr w:type="spellStart"/>
            <w:r w:rsidRPr="009E1A32">
              <w:rPr>
                <w:rFonts w:ascii="Times New Roman" w:hAnsi="Times New Roman" w:cs="Times New Roman"/>
                <w:sz w:val="22"/>
                <w:szCs w:val="22"/>
              </w:rPr>
              <w:t>μg</w:t>
            </w:r>
            <w:proofErr w:type="spellEnd"/>
            <w:r w:rsidRPr="009E1A32">
              <w:rPr>
                <w:rFonts w:ascii="Times New Roman" w:hAnsi="Times New Roman" w:cs="Times New Roman"/>
                <w:sz w:val="22"/>
                <w:szCs w:val="22"/>
              </w:rPr>
              <w:t xml:space="preserve">/d (n=21) </w:t>
            </w:r>
            <w:r w:rsidRPr="009E1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 placebo n=15) for 3 months (dose divided twice daily)</w:t>
            </w:r>
          </w:p>
        </w:tc>
        <w:tc>
          <w:tcPr>
            <w:tcW w:w="2835" w:type="dxa"/>
            <w:vAlign w:val="center"/>
          </w:tcPr>
          <w:p w:rsidR="004745EF" w:rsidRPr="009E1A32" w:rsidRDefault="004745EF" w:rsidP="00473E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A32">
              <w:rPr>
                <w:rFonts w:ascii="Times New Roman" w:hAnsi="Times New Roman" w:cs="Times New Roman"/>
                <w:bCs/>
              </w:rPr>
              <w:lastRenderedPageBreak/>
              <w:t xml:space="preserve">Primary </w:t>
            </w:r>
            <w:r w:rsidR="00A80609">
              <w:rPr>
                <w:rFonts w:ascii="Times New Roman" w:hAnsi="Times New Roman" w:cs="Times New Roman"/>
                <w:bCs/>
              </w:rPr>
              <w:t>o</w:t>
            </w:r>
            <w:r w:rsidRPr="009E1A32">
              <w:rPr>
                <w:rFonts w:ascii="Times New Roman" w:hAnsi="Times New Roman" w:cs="Times New Roman"/>
                <w:bCs/>
              </w:rPr>
              <w:t>utcome: C</w:t>
            </w:r>
            <w:r w:rsidR="00074BED">
              <w:rPr>
                <w:rFonts w:ascii="Times New Roman" w:hAnsi="Times New Roman" w:cs="Times New Roman"/>
                <w:bCs/>
              </w:rPr>
              <w:t xml:space="preserve">omplete histological </w:t>
            </w:r>
            <w:r w:rsidR="00B35231">
              <w:rPr>
                <w:rFonts w:ascii="Times New Roman" w:hAnsi="Times New Roman" w:cs="Times New Roman"/>
                <w:bCs/>
              </w:rPr>
              <w:t>remission:</w:t>
            </w:r>
            <w:r w:rsidR="007106CB">
              <w:rPr>
                <w:rFonts w:ascii="Times New Roman" w:hAnsi="Times New Roman" w:cs="Times New Roman"/>
                <w:bCs/>
              </w:rPr>
              <w:t xml:space="preserve"> </w:t>
            </w:r>
            <w:r w:rsidRPr="009E1A32">
              <w:rPr>
                <w:rFonts w:ascii="Times New Roman" w:hAnsi="Times New Roman" w:cs="Times New Roman"/>
                <w:bCs/>
              </w:rPr>
              <w:t xml:space="preserve"> </w:t>
            </w:r>
            <w:r w:rsidR="007106CB">
              <w:rPr>
                <w:rFonts w:ascii="Times New Roman" w:hAnsi="Times New Roman" w:cs="Times New Roman"/>
                <w:bCs/>
              </w:rPr>
              <w:t>P</w:t>
            </w:r>
            <w:r w:rsidRPr="009E1A32">
              <w:rPr>
                <w:rFonts w:ascii="Times New Roman" w:hAnsi="Times New Roman" w:cs="Times New Roman"/>
                <w:bCs/>
              </w:rPr>
              <w:t xml:space="preserve">eak eosinophil count of &lt; / = 1 </w:t>
            </w:r>
            <w:r w:rsidRPr="009E1A32">
              <w:rPr>
                <w:rFonts w:ascii="Times New Roman" w:hAnsi="Times New Roman" w:cs="Times New Roman"/>
                <w:bCs/>
              </w:rPr>
              <w:lastRenderedPageBreak/>
              <w:t>eosinophil in all 400x HPF in both proximal and distal esophagus.</w:t>
            </w:r>
          </w:p>
          <w:p w:rsidR="004745EF" w:rsidRPr="009E1A32" w:rsidRDefault="004745EF" w:rsidP="00473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A32">
              <w:rPr>
                <w:rFonts w:ascii="Times New Roman" w:hAnsi="Times New Roman" w:cs="Times New Roman"/>
                <w:bCs/>
                <w:sz w:val="22"/>
                <w:szCs w:val="22"/>
              </w:rPr>
              <w:t>Secondary outcomes: Improvement in presence of endoscopic furrow, epithelial hyperplasia and clinical symptoms</w:t>
            </w:r>
          </w:p>
        </w:tc>
        <w:tc>
          <w:tcPr>
            <w:tcW w:w="4570" w:type="dxa"/>
            <w:vAlign w:val="center"/>
          </w:tcPr>
          <w:p w:rsidR="004745EF" w:rsidRDefault="004745EF" w:rsidP="00473E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A32">
              <w:rPr>
                <w:rFonts w:ascii="Times New Roman" w:hAnsi="Times New Roman" w:cs="Times New Roman"/>
                <w:bCs/>
              </w:rPr>
              <w:lastRenderedPageBreak/>
              <w:t xml:space="preserve">1) Histological remission was reported in 50% patients in study </w:t>
            </w:r>
            <w:r w:rsidR="00041E7F">
              <w:rPr>
                <w:rFonts w:ascii="Times New Roman" w:hAnsi="Times New Roman" w:cs="Times New Roman"/>
                <w:bCs/>
              </w:rPr>
              <w:t xml:space="preserve">compared to </w:t>
            </w:r>
            <w:r w:rsidRPr="009E1A32">
              <w:rPr>
                <w:rFonts w:ascii="Times New Roman" w:hAnsi="Times New Roman" w:cs="Times New Roman"/>
                <w:bCs/>
              </w:rPr>
              <w:t xml:space="preserve"> 9 % in the control group; </w:t>
            </w:r>
            <w:r w:rsidRPr="006A7C36">
              <w:rPr>
                <w:rFonts w:ascii="Times New Roman" w:hAnsi="Times New Roman" w:cs="Times New Roman"/>
                <w:bCs/>
              </w:rPr>
              <w:t>p value= 0.047</w:t>
            </w:r>
          </w:p>
          <w:p w:rsidR="004745EF" w:rsidRPr="009E1A32" w:rsidRDefault="004745EF" w:rsidP="00473E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A32">
              <w:rPr>
                <w:rFonts w:ascii="Times New Roman" w:hAnsi="Times New Roman" w:cs="Times New Roman"/>
              </w:rPr>
              <w:lastRenderedPageBreak/>
              <w:t>2) Clinical remission: Resolution of vomiting was reported in 67% of patients in study group and 27% of patient in the control group; p value=</w:t>
            </w:r>
            <w:r>
              <w:rPr>
                <w:rFonts w:ascii="Times New Roman" w:hAnsi="Times New Roman" w:cs="Times New Roman"/>
              </w:rPr>
              <w:t>0</w:t>
            </w:r>
            <w:r w:rsidRPr="009E1A32">
              <w:rPr>
                <w:rFonts w:ascii="Times New Roman" w:hAnsi="Times New Roman" w:cs="Times New Roman"/>
              </w:rPr>
              <w:t xml:space="preserve">.04 </w:t>
            </w:r>
            <w:r w:rsidRPr="009E1A3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45EF" w:rsidRPr="009E1A32" w:rsidRDefault="004745EF" w:rsidP="00473E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A32">
              <w:rPr>
                <w:rFonts w:ascii="Times New Roman" w:hAnsi="Times New Roman" w:cs="Times New Roman"/>
                <w:bCs/>
              </w:rPr>
              <w:t xml:space="preserve">(3) Endoscopic response: Fewer individuals in Fluticasone group had </w:t>
            </w:r>
            <w:r w:rsidR="004A24CC">
              <w:rPr>
                <w:rFonts w:ascii="Times New Roman" w:hAnsi="Times New Roman" w:cs="Times New Roman"/>
                <w:bCs/>
              </w:rPr>
              <w:t>e</w:t>
            </w:r>
            <w:r w:rsidRPr="009E1A32">
              <w:rPr>
                <w:rFonts w:ascii="Times New Roman" w:hAnsi="Times New Roman" w:cs="Times New Roman"/>
                <w:bCs/>
              </w:rPr>
              <w:t xml:space="preserve">ndoscopic distal furrowing compared with placebo group (50% </w:t>
            </w:r>
            <w:proofErr w:type="spellStart"/>
            <w:r w:rsidRPr="009E1A32">
              <w:rPr>
                <w:rFonts w:ascii="Times New Roman" w:hAnsi="Times New Roman" w:cs="Times New Roman"/>
                <w:bCs/>
              </w:rPr>
              <w:t>vs</w:t>
            </w:r>
            <w:proofErr w:type="spellEnd"/>
            <w:r w:rsidRPr="009E1A32">
              <w:rPr>
                <w:rFonts w:ascii="Times New Roman" w:hAnsi="Times New Roman" w:cs="Times New Roman"/>
                <w:bCs/>
              </w:rPr>
              <w:t xml:space="preserve"> 91%); p value</w:t>
            </w:r>
            <w:r w:rsidR="008F5B3B">
              <w:rPr>
                <w:rFonts w:ascii="Times New Roman" w:hAnsi="Times New Roman" w:cs="Times New Roman"/>
                <w:bCs/>
              </w:rPr>
              <w:t xml:space="preserve"> </w:t>
            </w:r>
            <w:r w:rsidRPr="009E1A32">
              <w:rPr>
                <w:rFonts w:ascii="Times New Roman" w:hAnsi="Times New Roman" w:cs="Times New Roman"/>
                <w:bCs/>
              </w:rPr>
              <w:t>=</w:t>
            </w:r>
            <w:r w:rsidR="008F5B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9E1A32">
              <w:rPr>
                <w:rFonts w:ascii="Times New Roman" w:hAnsi="Times New Roman" w:cs="Times New Roman"/>
                <w:bCs/>
              </w:rPr>
              <w:t>.047. Distal furrowing was not present in any Fluticasone responders after treatment while all Fluticasone non responders had persistent furrowing in distal esophagus, p val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9E1A32">
              <w:rPr>
                <w:rFonts w:ascii="Times New Roman" w:hAnsi="Times New Roman" w:cs="Times New Roman"/>
                <w:bCs/>
              </w:rPr>
              <w:t xml:space="preserve">e= </w:t>
            </w:r>
            <w:r w:rsidR="009A1CAF">
              <w:rPr>
                <w:rFonts w:ascii="Times New Roman" w:hAnsi="Times New Roman" w:cs="Times New Roman"/>
                <w:bCs/>
              </w:rPr>
              <w:t>0</w:t>
            </w:r>
            <w:r w:rsidRPr="009E1A32">
              <w:rPr>
                <w:rFonts w:ascii="Times New Roman" w:hAnsi="Times New Roman" w:cs="Times New Roman"/>
                <w:bCs/>
              </w:rPr>
              <w:t xml:space="preserve">.0001. Reduction in </w:t>
            </w:r>
            <w:r w:rsidR="005421F8">
              <w:rPr>
                <w:rFonts w:ascii="Times New Roman" w:hAnsi="Times New Roman" w:cs="Times New Roman"/>
                <w:bCs/>
              </w:rPr>
              <w:t>e</w:t>
            </w:r>
            <w:r w:rsidRPr="009E1A32">
              <w:rPr>
                <w:rFonts w:ascii="Times New Roman" w:hAnsi="Times New Roman" w:cs="Times New Roman"/>
                <w:bCs/>
              </w:rPr>
              <w:t>pithelial hyperplasia in Fluticasone responders (proximal esophagus, p value =</w:t>
            </w:r>
            <w:r>
              <w:rPr>
                <w:rFonts w:ascii="Times New Roman" w:hAnsi="Times New Roman" w:cs="Times New Roman"/>
                <w:bCs/>
              </w:rPr>
              <w:t xml:space="preserve"> 0</w:t>
            </w:r>
            <w:r w:rsidRPr="009E1A32">
              <w:rPr>
                <w:rFonts w:ascii="Times New Roman" w:hAnsi="Times New Roman" w:cs="Times New Roman"/>
                <w:bCs/>
              </w:rPr>
              <w:t xml:space="preserve">. 002; distal esophagus, p </w:t>
            </w:r>
            <w:r w:rsidR="00F87C5C">
              <w:rPr>
                <w:rFonts w:ascii="Times New Roman" w:hAnsi="Times New Roman" w:cs="Times New Roman"/>
                <w:bCs/>
              </w:rPr>
              <w:t>v</w:t>
            </w:r>
            <w:r w:rsidRPr="009E1A32">
              <w:rPr>
                <w:rFonts w:ascii="Times New Roman" w:hAnsi="Times New Roman" w:cs="Times New Roman"/>
                <w:bCs/>
              </w:rPr>
              <w:t>alue</w:t>
            </w:r>
            <w:r w:rsidR="00F87C5C">
              <w:rPr>
                <w:rFonts w:ascii="Times New Roman" w:hAnsi="Times New Roman" w:cs="Times New Roman"/>
                <w:bCs/>
              </w:rPr>
              <w:t xml:space="preserve"> </w:t>
            </w:r>
            <w:r w:rsidRPr="009E1A32">
              <w:rPr>
                <w:rFonts w:ascii="Times New Roman" w:hAnsi="Times New Roman" w:cs="Times New Roman"/>
                <w:bCs/>
              </w:rPr>
              <w:t>=</w:t>
            </w:r>
            <w:r w:rsidR="00F87C5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9E1A32">
              <w:rPr>
                <w:rFonts w:ascii="Times New Roman" w:hAnsi="Times New Roman" w:cs="Times New Roman"/>
                <w:bCs/>
              </w:rPr>
              <w:t>.001). Treatment with placebo had no effect. Fluticasone non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E1A32">
              <w:rPr>
                <w:rFonts w:ascii="Times New Roman" w:hAnsi="Times New Roman" w:cs="Times New Roman"/>
                <w:bCs/>
              </w:rPr>
              <w:t>responders had no change in epithelial hyperplasia.</w:t>
            </w:r>
          </w:p>
          <w:p w:rsidR="004745EF" w:rsidRPr="009E1A32" w:rsidRDefault="004745EF" w:rsidP="006354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4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1A32">
              <w:rPr>
                <w:rFonts w:ascii="Times New Roman" w:hAnsi="Times New Roman" w:cs="Times New Roman"/>
                <w:bCs/>
              </w:rPr>
              <w:t xml:space="preserve">4) Adverse events: One patient in study group developed esophageal candidiasis, which resolved after 10 days of oral Nystatin therapy. </w:t>
            </w:r>
          </w:p>
        </w:tc>
      </w:tr>
    </w:tbl>
    <w:p w:rsidR="000B0162" w:rsidRDefault="000B0162"/>
    <w:sectPr w:rsidR="000B0162" w:rsidSect="008556B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15" w:rsidRDefault="000F6415" w:rsidP="00F8290A">
      <w:r>
        <w:separator/>
      </w:r>
    </w:p>
  </w:endnote>
  <w:endnote w:type="continuationSeparator" w:id="0">
    <w:p w:rsidR="000F6415" w:rsidRDefault="000F6415" w:rsidP="00F8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15" w:rsidRDefault="000F6415" w:rsidP="00F8290A">
      <w:r>
        <w:separator/>
      </w:r>
    </w:p>
  </w:footnote>
  <w:footnote w:type="continuationSeparator" w:id="0">
    <w:p w:rsidR="000F6415" w:rsidRDefault="000F6415" w:rsidP="00F82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6B0"/>
    <w:rsid w:val="00006098"/>
    <w:rsid w:val="000241DF"/>
    <w:rsid w:val="00041E7F"/>
    <w:rsid w:val="00063DD3"/>
    <w:rsid w:val="0007088F"/>
    <w:rsid w:val="0007462F"/>
    <w:rsid w:val="00074BED"/>
    <w:rsid w:val="00077DA6"/>
    <w:rsid w:val="000A3BE1"/>
    <w:rsid w:val="000B0162"/>
    <w:rsid w:val="000C73C6"/>
    <w:rsid w:val="000F6415"/>
    <w:rsid w:val="000F7A53"/>
    <w:rsid w:val="001038D0"/>
    <w:rsid w:val="00137E45"/>
    <w:rsid w:val="00147CBB"/>
    <w:rsid w:val="001E0402"/>
    <w:rsid w:val="001F4DA2"/>
    <w:rsid w:val="001F5AC9"/>
    <w:rsid w:val="00234872"/>
    <w:rsid w:val="002B27FA"/>
    <w:rsid w:val="002B2F32"/>
    <w:rsid w:val="002C29C6"/>
    <w:rsid w:val="00302C44"/>
    <w:rsid w:val="00304653"/>
    <w:rsid w:val="0035398C"/>
    <w:rsid w:val="00365451"/>
    <w:rsid w:val="003C67F8"/>
    <w:rsid w:val="003C7F97"/>
    <w:rsid w:val="003F0F48"/>
    <w:rsid w:val="00406DDE"/>
    <w:rsid w:val="004745EF"/>
    <w:rsid w:val="004A24CC"/>
    <w:rsid w:val="004D5769"/>
    <w:rsid w:val="004D6F44"/>
    <w:rsid w:val="004D74D9"/>
    <w:rsid w:val="005163F4"/>
    <w:rsid w:val="005360C7"/>
    <w:rsid w:val="005421F8"/>
    <w:rsid w:val="0055443E"/>
    <w:rsid w:val="0055663E"/>
    <w:rsid w:val="00564DE3"/>
    <w:rsid w:val="00570DA3"/>
    <w:rsid w:val="0058358A"/>
    <w:rsid w:val="00583B81"/>
    <w:rsid w:val="00593CDC"/>
    <w:rsid w:val="005A4679"/>
    <w:rsid w:val="0061144A"/>
    <w:rsid w:val="00616ED7"/>
    <w:rsid w:val="006339BD"/>
    <w:rsid w:val="00635461"/>
    <w:rsid w:val="00643B71"/>
    <w:rsid w:val="00680849"/>
    <w:rsid w:val="00681D62"/>
    <w:rsid w:val="006A5F3C"/>
    <w:rsid w:val="006A7C36"/>
    <w:rsid w:val="006D5AAD"/>
    <w:rsid w:val="007106CB"/>
    <w:rsid w:val="0073016A"/>
    <w:rsid w:val="00734F3F"/>
    <w:rsid w:val="00764A8D"/>
    <w:rsid w:val="007943F8"/>
    <w:rsid w:val="008044F5"/>
    <w:rsid w:val="008556B0"/>
    <w:rsid w:val="00860C6E"/>
    <w:rsid w:val="00866FB6"/>
    <w:rsid w:val="00873AD3"/>
    <w:rsid w:val="00894720"/>
    <w:rsid w:val="008A6EF7"/>
    <w:rsid w:val="008B2670"/>
    <w:rsid w:val="008C0C4E"/>
    <w:rsid w:val="008E29DE"/>
    <w:rsid w:val="008F5B3B"/>
    <w:rsid w:val="0092319B"/>
    <w:rsid w:val="009237A8"/>
    <w:rsid w:val="00937516"/>
    <w:rsid w:val="0095284B"/>
    <w:rsid w:val="009708D3"/>
    <w:rsid w:val="0097475F"/>
    <w:rsid w:val="0099645F"/>
    <w:rsid w:val="009A1CAF"/>
    <w:rsid w:val="009E1A32"/>
    <w:rsid w:val="00A15DB4"/>
    <w:rsid w:val="00A43D52"/>
    <w:rsid w:val="00A80609"/>
    <w:rsid w:val="00A91752"/>
    <w:rsid w:val="00AB6190"/>
    <w:rsid w:val="00B13BA6"/>
    <w:rsid w:val="00B231CF"/>
    <w:rsid w:val="00B243EC"/>
    <w:rsid w:val="00B35231"/>
    <w:rsid w:val="00B94867"/>
    <w:rsid w:val="00BB01F1"/>
    <w:rsid w:val="00BB1D55"/>
    <w:rsid w:val="00BE351B"/>
    <w:rsid w:val="00BE7755"/>
    <w:rsid w:val="00BF526D"/>
    <w:rsid w:val="00C146EA"/>
    <w:rsid w:val="00C45F34"/>
    <w:rsid w:val="00CD5EB0"/>
    <w:rsid w:val="00CE3D21"/>
    <w:rsid w:val="00D02C84"/>
    <w:rsid w:val="00D169CB"/>
    <w:rsid w:val="00D171C9"/>
    <w:rsid w:val="00D25756"/>
    <w:rsid w:val="00D33F79"/>
    <w:rsid w:val="00D34B6A"/>
    <w:rsid w:val="00D53629"/>
    <w:rsid w:val="00DA086D"/>
    <w:rsid w:val="00DE1F0C"/>
    <w:rsid w:val="00E27110"/>
    <w:rsid w:val="00E90009"/>
    <w:rsid w:val="00EA4BD9"/>
    <w:rsid w:val="00EB0870"/>
    <w:rsid w:val="00EC2E7D"/>
    <w:rsid w:val="00F70327"/>
    <w:rsid w:val="00F8290A"/>
    <w:rsid w:val="00F87C5C"/>
    <w:rsid w:val="00FD46B8"/>
    <w:rsid w:val="00FE0ED2"/>
    <w:rsid w:val="00FF1F13"/>
    <w:rsid w:val="00FF1F2C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link w:val="BodyChar"/>
    <w:uiPriority w:val="99"/>
    <w:rsid w:val="00855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BodyChar">
    <w:name w:val="Body Char"/>
    <w:basedOn w:val="DefaultParagraphFont"/>
    <w:link w:val="Body"/>
    <w:uiPriority w:val="99"/>
    <w:locked/>
    <w:rsid w:val="008556B0"/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A43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0A"/>
  </w:style>
  <w:style w:type="paragraph" w:styleId="Footer">
    <w:name w:val="footer"/>
    <w:basedOn w:val="Normal"/>
    <w:link w:val="FooterChar"/>
    <w:uiPriority w:val="99"/>
    <w:unhideWhenUsed/>
    <w:rsid w:val="00F82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link w:val="BodyChar"/>
    <w:uiPriority w:val="99"/>
    <w:rsid w:val="00855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BodyChar">
    <w:name w:val="Body Char"/>
    <w:basedOn w:val="DefaultParagraphFont"/>
    <w:link w:val="Body"/>
    <w:uiPriority w:val="99"/>
    <w:locked/>
    <w:rsid w:val="008556B0"/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A43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0A"/>
  </w:style>
  <w:style w:type="paragraph" w:styleId="Footer">
    <w:name w:val="footer"/>
    <w:basedOn w:val="Normal"/>
    <w:link w:val="FooterChar"/>
    <w:uiPriority w:val="99"/>
    <w:unhideWhenUsed/>
    <w:rsid w:val="00F82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7C574-DD9B-44F9-A245-557F69A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CHAWLA</dc:creator>
  <cp:lastModifiedBy>janki</cp:lastModifiedBy>
  <cp:revision>78</cp:revision>
  <dcterms:created xsi:type="dcterms:W3CDTF">2016-05-20T01:30:00Z</dcterms:created>
  <dcterms:modified xsi:type="dcterms:W3CDTF">2016-05-21T22:40:00Z</dcterms:modified>
</cp:coreProperties>
</file>