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0D" w:rsidRPr="009773AD" w:rsidRDefault="0020010D" w:rsidP="0020010D">
      <w:pPr>
        <w:pStyle w:val="Heading2"/>
        <w:spacing w:before="0"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METHODS</w:t>
      </w:r>
    </w:p>
    <w:p w:rsidR="0020010D" w:rsidRDefault="0020010D" w:rsidP="0020010D">
      <w:pPr>
        <w:pStyle w:val="Heading3"/>
        <w:spacing w:before="0" w:after="0" w:line="360" w:lineRule="auto"/>
        <w:rPr>
          <w:rFonts w:ascii="Times New Roman" w:hAnsi="Times New Roman" w:cs="Times New Roman"/>
          <w:b/>
          <w:iCs/>
          <w:sz w:val="24"/>
          <w:szCs w:val="24"/>
          <w:u w:val="none"/>
        </w:rPr>
      </w:pPr>
      <w:r w:rsidRPr="0094298C">
        <w:rPr>
          <w:rFonts w:ascii="Times New Roman" w:hAnsi="Times New Roman" w:cs="Times New Roman"/>
          <w:b/>
          <w:iCs/>
          <w:sz w:val="24"/>
          <w:szCs w:val="24"/>
          <w:u w:val="none"/>
        </w:rPr>
        <w:t xml:space="preserve">Study </w:t>
      </w:r>
      <w:r>
        <w:rPr>
          <w:rFonts w:ascii="Times New Roman" w:hAnsi="Times New Roman" w:cs="Times New Roman"/>
          <w:b/>
          <w:iCs/>
          <w:sz w:val="24"/>
          <w:szCs w:val="24"/>
          <w:u w:val="none"/>
        </w:rPr>
        <w:t>Design and Participants</w:t>
      </w:r>
      <w:r w:rsidRPr="0094298C">
        <w:rPr>
          <w:rFonts w:ascii="Times New Roman" w:hAnsi="Times New Roman" w:cs="Times New Roman"/>
          <w:b/>
          <w:iCs/>
          <w:sz w:val="24"/>
          <w:szCs w:val="24"/>
          <w:u w:val="none"/>
        </w:rPr>
        <w:t xml:space="preserve"> </w:t>
      </w:r>
    </w:p>
    <w:p w:rsidR="0020010D" w:rsidRPr="00C26EE1" w:rsidRDefault="0020010D" w:rsidP="0020010D">
      <w:pPr>
        <w:spacing w:line="360" w:lineRule="auto"/>
        <w:ind w:firstLine="720"/>
      </w:pPr>
      <w:r>
        <w:t xml:space="preserve">In this observational, prospective, multi-center study, eligible infants were provided with an amino acid based infant formula (Investigational formula: marketed </w:t>
      </w:r>
      <w:proofErr w:type="spellStart"/>
      <w:r>
        <w:t>Nutramigen</w:t>
      </w:r>
      <w:proofErr w:type="spellEnd"/>
      <w:r>
        <w:t xml:space="preserve"> AA, Mead Johnson Nutrition, Evansville, IN) for 12 weeks.  </w:t>
      </w:r>
      <w:r>
        <w:rPr>
          <w:bCs/>
        </w:rPr>
        <w:t>Infants (1-12 months of age) with s</w:t>
      </w:r>
      <w:r w:rsidRPr="00B51E14">
        <w:rPr>
          <w:bCs/>
        </w:rPr>
        <w:t xml:space="preserve">uspected </w:t>
      </w:r>
      <w:r>
        <w:rPr>
          <w:bCs/>
        </w:rPr>
        <w:t>cow’s milk protein allergy</w:t>
      </w:r>
      <w:r w:rsidRPr="00B51E14">
        <w:rPr>
          <w:bCs/>
        </w:rPr>
        <w:t xml:space="preserve"> </w:t>
      </w:r>
      <w:r>
        <w:rPr>
          <w:bCs/>
        </w:rPr>
        <w:t>and a</w:t>
      </w:r>
      <w:r w:rsidRPr="00B51E14">
        <w:rPr>
          <w:bCs/>
        </w:rPr>
        <w:t xml:space="preserve"> history of weight loss </w:t>
      </w:r>
      <w:r>
        <w:rPr>
          <w:bCs/>
        </w:rPr>
        <w:t>(</w:t>
      </w:r>
      <w:r w:rsidRPr="00B51E14">
        <w:rPr>
          <w:bCs/>
        </w:rPr>
        <w:t>≥ 0.5 WHO reference z-score</w:t>
      </w:r>
      <w:r>
        <w:rPr>
          <w:bCs/>
        </w:rPr>
        <w:t>)</w:t>
      </w:r>
      <w:r w:rsidRPr="00B51E14">
        <w:rPr>
          <w:bCs/>
        </w:rPr>
        <w:t xml:space="preserve"> while on an EHP formula</w:t>
      </w:r>
      <w:r>
        <w:rPr>
          <w:bCs/>
        </w:rPr>
        <w:t xml:space="preserve"> were recruited from 5 centers in France. Eligible infants had a birth weight of ≥1500 g, were experiencing at least one persistent </w:t>
      </w:r>
      <w:r w:rsidRPr="00C26EE1">
        <w:rPr>
          <w:bCs/>
        </w:rPr>
        <w:t xml:space="preserve">CMPA symptom (atopic dermatitis, bloody stool, diarrhea, rash, vomiting/spitting up), and fed with an EHP formula for at least two weeks prior to the first study visit.  </w:t>
      </w:r>
      <w:r w:rsidRPr="00C26EE1">
        <w:rPr>
          <w:rFonts w:asciiTheme="majorBidi" w:hAnsiTheme="majorBidi" w:cstheme="majorBidi"/>
        </w:rPr>
        <w:t xml:space="preserve">Prior to Study Visit 1, eligible participants had not responded to four different extensively hydrolyzed formulas including whey hydrolysate (n = 4), rice hydrolysate (n = 10), and casein hydrolysate (n = 17).  </w:t>
      </w:r>
      <w:r w:rsidRPr="00C26EE1">
        <w:t xml:space="preserve">Exclusion criteria included history of metabolic disease, underlying disease, or congenital malformation likely to interfere with normal growth and development or participant evaluation. </w:t>
      </w:r>
    </w:p>
    <w:p w:rsidR="0020010D" w:rsidRPr="00E841BF" w:rsidRDefault="0020010D" w:rsidP="0020010D">
      <w:pPr>
        <w:spacing w:line="360" w:lineRule="auto"/>
        <w:ind w:firstLine="720"/>
      </w:pPr>
      <w:r w:rsidRPr="00C26EE1">
        <w:t>Parents or guardians provided written informed consent prior to enrollment.  The research protocol and informed consent forms adhered to the Declaration of Helsinki and were approved by the appropriate ethics committees. The study complied with good clinical practices (ClinicalTrials.gov Identifier:  NCT01584245).</w:t>
      </w:r>
    </w:p>
    <w:p w:rsidR="0020010D" w:rsidRPr="00B35529" w:rsidRDefault="0020010D" w:rsidP="0020010D">
      <w:pPr>
        <w:pStyle w:val="Heading3"/>
        <w:spacing w:before="0" w:after="0" w:line="360" w:lineRule="auto"/>
        <w:rPr>
          <w:rFonts w:ascii="Times New Roman" w:hAnsi="Times New Roman" w:cs="Times New Roman"/>
          <w:b/>
          <w:iCs/>
          <w:sz w:val="24"/>
          <w:szCs w:val="24"/>
          <w:u w:val="none"/>
        </w:rPr>
      </w:pPr>
      <w:r>
        <w:rPr>
          <w:rFonts w:ascii="Times New Roman" w:hAnsi="Times New Roman" w:cs="Times New Roman"/>
          <w:b/>
          <w:iCs/>
          <w:sz w:val="24"/>
          <w:szCs w:val="24"/>
          <w:u w:val="none"/>
        </w:rPr>
        <w:t>Growth and Allergy Symptoms</w:t>
      </w:r>
    </w:p>
    <w:p w:rsidR="0020010D" w:rsidRPr="00E841BF" w:rsidRDefault="0020010D" w:rsidP="0020010D">
      <w:pPr>
        <w:spacing w:line="360" w:lineRule="auto"/>
        <w:ind w:firstLine="720"/>
        <w:rPr>
          <w:color w:val="FF0000"/>
        </w:rPr>
      </w:pPr>
      <w:r w:rsidRPr="00E841BF">
        <w:t>A</w:t>
      </w:r>
      <w:r>
        <w:t xml:space="preserve">nthropometric measures (weight, length) and allergy symptoms </w:t>
      </w:r>
      <w:r w:rsidRPr="00B35529">
        <w:t xml:space="preserve">were </w:t>
      </w:r>
      <w:r>
        <w:t>recorded</w:t>
      </w:r>
      <w:r w:rsidRPr="00B35529">
        <w:t xml:space="preserve"> at </w:t>
      </w:r>
      <w:r>
        <w:t>baseline</w:t>
      </w:r>
      <w:r w:rsidRPr="00E841BF">
        <w:t xml:space="preserve"> (</w:t>
      </w:r>
      <w:r>
        <w:t xml:space="preserve">study </w:t>
      </w:r>
      <w:r w:rsidRPr="00E841BF">
        <w:t>visit 1)</w:t>
      </w:r>
      <w:r w:rsidRPr="00B35529">
        <w:t>, 4 wee</w:t>
      </w:r>
      <w:r>
        <w:t>ks</w:t>
      </w:r>
      <w:r w:rsidRPr="00E841BF">
        <w:t xml:space="preserve"> (</w:t>
      </w:r>
      <w:r>
        <w:t xml:space="preserve">study </w:t>
      </w:r>
      <w:r w:rsidRPr="00E841BF">
        <w:t>visit 2)</w:t>
      </w:r>
      <w:r w:rsidRPr="00B35529">
        <w:t>, and 12 week</w:t>
      </w:r>
      <w:r>
        <w:t>s</w:t>
      </w:r>
      <w:r w:rsidRPr="00B35529">
        <w:t xml:space="preserve"> </w:t>
      </w:r>
      <w:r w:rsidRPr="00E841BF">
        <w:t>(</w:t>
      </w:r>
      <w:r>
        <w:t xml:space="preserve">study </w:t>
      </w:r>
      <w:r w:rsidRPr="00E841BF">
        <w:t>visit 3)</w:t>
      </w:r>
      <w:r w:rsidRPr="00B35529">
        <w:t xml:space="preserve">.  </w:t>
      </w:r>
      <w:r w:rsidRPr="00E841BF">
        <w:t>A</w:t>
      </w:r>
      <w:r>
        <w:t xml:space="preserve">D </w:t>
      </w:r>
      <w:r w:rsidRPr="00E841BF">
        <w:t xml:space="preserve">severity was </w:t>
      </w:r>
      <w:r>
        <w:t>assessed by Scoring Atopic Dermatitis (</w:t>
      </w:r>
      <w:r w:rsidRPr="00E841BF">
        <w:t>SCORAD</w:t>
      </w:r>
      <w:r>
        <w:t xml:space="preserve">) Index, </w:t>
      </w:r>
      <w:r w:rsidRPr="00E841BF">
        <w:t xml:space="preserve">and </w:t>
      </w:r>
      <w:r>
        <w:t xml:space="preserve">the incidence of </w:t>
      </w:r>
      <w:r w:rsidRPr="00E841BF">
        <w:t>vomiting/</w:t>
      </w:r>
      <w:r>
        <w:t>spitting up</w:t>
      </w:r>
      <w:r w:rsidRPr="00E841BF">
        <w:t xml:space="preserve"> was given a </w:t>
      </w:r>
      <w:r>
        <w:t>Gastrointestinal (GI) symptom</w:t>
      </w:r>
      <w:r w:rsidRPr="00E841BF">
        <w:t xml:space="preserve"> score using the I-GERQ-R parental questionnaire</w:t>
      </w:r>
      <w:r>
        <w:t xml:space="preserve"> </w:t>
      </w:r>
      <w:r>
        <w:fldChar w:fldCharType="begin">
          <w:fldData xml:space="preserve">PEVuZE5vdGU+PENpdGU+PEF1dGhvcj5WYW5kZW5wbGFzPC9BdXRob3I+PFllYXI+MjAwNzwvWWVh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</w:fldData>
        </w:fldChar>
      </w:r>
      <w:r>
        <w:instrText xml:space="preserve"> ADDIN EN.CITE </w:instrText>
      </w:r>
      <w:r>
        <w:fldChar w:fldCharType="begin">
          <w:fldData xml:space="preserve">PEVuZE5vdGU+PENpdGU+PEF1dGhvcj5WYW5kZW5wbGFzPC9BdXRob3I+PFllYXI+MjAwNzwvWWVh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</w:fldData>
        </w:fldChar>
      </w:r>
      <w:r>
        <w:instrText xml:space="preserve"> ADDIN EN.CITE.DATA </w:instrText>
      </w:r>
      <w:r>
        <w:fldChar w:fldCharType="end"/>
      </w:r>
      <w:r>
        <w:fldChar w:fldCharType="separate"/>
      </w:r>
      <w:r>
        <w:rPr>
          <w:noProof/>
        </w:rPr>
        <w:t>(</w:t>
      </w:r>
      <w:hyperlink w:anchor="_ENREF_15" w:tooltip="Vandenplas, 2007 #27" w:history="1">
        <w:r>
          <w:rPr>
            <w:noProof/>
          </w:rPr>
          <w:t>15</w:t>
        </w:r>
      </w:hyperlink>
      <w:r>
        <w:rPr>
          <w:noProof/>
        </w:rPr>
        <w:t>)</w:t>
      </w:r>
      <w:r>
        <w:fldChar w:fldCharType="end"/>
      </w:r>
      <w:r w:rsidRPr="00E841BF">
        <w:t>.  The primary outcome was infant</w:t>
      </w:r>
      <w:r>
        <w:t xml:space="preserve"> weight</w:t>
      </w:r>
      <w:r w:rsidRPr="00E841BF">
        <w:t xml:space="preserve"> z-score change over the 12 weeks of feeding.  Secondary outcomes included monitoring allergic</w:t>
      </w:r>
      <w:r>
        <w:t xml:space="preserve"> manifestations</w:t>
      </w:r>
      <w:r w:rsidRPr="00E841BF">
        <w:t xml:space="preserve"> (atopic dermatitis, bloody stools, and </w:t>
      </w:r>
      <w:r>
        <w:t>vomiting/spitting up</w:t>
      </w:r>
      <w:r w:rsidRPr="00E841BF">
        <w:t xml:space="preserve">), tolerance, and serious adverse events.  </w:t>
      </w:r>
    </w:p>
    <w:p w:rsidR="0020010D" w:rsidRPr="00E841BF" w:rsidRDefault="0020010D" w:rsidP="0020010D">
      <w:pPr>
        <w:spacing w:line="360" w:lineRule="auto"/>
        <w:rPr>
          <w:b/>
          <w:i/>
        </w:rPr>
      </w:pPr>
      <w:r w:rsidRPr="00B35529">
        <w:rPr>
          <w:b/>
          <w:i/>
        </w:rPr>
        <w:t>Statistical</w:t>
      </w:r>
      <w:r>
        <w:rPr>
          <w:b/>
          <w:i/>
        </w:rPr>
        <w:t xml:space="preserve"> Analysis</w:t>
      </w:r>
      <w:r w:rsidRPr="00B35529">
        <w:rPr>
          <w:b/>
          <w:i/>
        </w:rPr>
        <w:t xml:space="preserve"> </w:t>
      </w:r>
    </w:p>
    <w:p w:rsidR="0020010D" w:rsidRDefault="0020010D" w:rsidP="0020010D">
      <w:pPr>
        <w:pStyle w:val="BodyText"/>
        <w:spacing w:line="360" w:lineRule="auto"/>
        <w:ind w:firstLine="720"/>
      </w:pPr>
      <w:r>
        <w:t>Mean w</w:t>
      </w:r>
      <w:r w:rsidRPr="00B35529">
        <w:t xml:space="preserve">eight change z-score over the study period (week 0 to week 12) was </w:t>
      </w:r>
      <w:r>
        <w:t>compared to the inclusion criteria of 0.5 z-score history of weight loss</w:t>
      </w:r>
      <w:r w:rsidRPr="00B35529">
        <w:t>.</w:t>
      </w:r>
      <w:r w:rsidRPr="00E841BF">
        <w:rPr>
          <w:color w:val="FF0000"/>
        </w:rPr>
        <w:t xml:space="preserve"> </w:t>
      </w:r>
      <w:r w:rsidRPr="00B35529">
        <w:t xml:space="preserve"> The trends for weight by z-score over the study period was analyzed by comparing the z-score means obtained at visits 1, 2, and 3, using </w:t>
      </w:r>
      <w:r>
        <w:t>analysis of variance</w:t>
      </w:r>
      <w:r w:rsidRPr="00B35529">
        <w:t xml:space="preserve"> (ANOVA) for repeated data. </w:t>
      </w:r>
      <w:r>
        <w:t xml:space="preserve">Bonferroni adjustment for multiple </w:t>
      </w:r>
      <w:r>
        <w:lastRenderedPageBreak/>
        <w:t>comparison was used to evaluate means</w:t>
      </w:r>
      <w:r w:rsidRPr="00E841BF">
        <w:t>.</w:t>
      </w:r>
      <w:r w:rsidRPr="00B35529">
        <w:t xml:space="preserve"> </w:t>
      </w:r>
      <w:r>
        <w:t xml:space="preserve"> The SCORAD score and</w:t>
      </w:r>
      <w:r w:rsidRPr="00B64A2B">
        <w:t xml:space="preserve"> G</w:t>
      </w:r>
      <w:r>
        <w:t>I Symptom</w:t>
      </w:r>
      <w:r w:rsidRPr="00B64A2B">
        <w:t xml:space="preserve"> sc</w:t>
      </w:r>
      <w:r w:rsidRPr="00E841BF">
        <w:t>ore</w:t>
      </w:r>
      <w:r>
        <w:t>s</w:t>
      </w:r>
      <w:r w:rsidRPr="00E841BF">
        <w:t xml:space="preserve"> were </w:t>
      </w:r>
      <w:r>
        <w:t xml:space="preserve">recorded through </w:t>
      </w:r>
      <w:r w:rsidRPr="00E841BF">
        <w:t>the study period and analyzed using ANOVA.</w:t>
      </w:r>
      <w:r>
        <w:t xml:space="preserve">  GI Symptom score changes from Visit 1 to Visit 3 were analyzed by </w:t>
      </w:r>
      <w:proofErr w:type="spellStart"/>
      <w:r>
        <w:t>McNemar’s</w:t>
      </w:r>
      <w:proofErr w:type="spellEnd"/>
      <w:r>
        <w:t xml:space="preserve"> Test.</w:t>
      </w:r>
      <w:r w:rsidRPr="00E841BF">
        <w:t xml:space="preserve">  All tests were conducted at α = 0.05.  </w:t>
      </w:r>
    </w:p>
    <w:p w:rsidR="000B265E" w:rsidRDefault="000B265E"/>
    <w:sectPr w:rsidR="000B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0D"/>
    <w:rsid w:val="000B265E"/>
    <w:rsid w:val="0020010D"/>
    <w:rsid w:val="005B4741"/>
    <w:rsid w:val="006B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57669-00AF-4A63-BD2E-2079BBF0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01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010D"/>
    <w:pPr>
      <w:keepNext/>
      <w:spacing w:before="240" w:after="60"/>
      <w:outlineLvl w:val="1"/>
    </w:pPr>
    <w:rPr>
      <w:rFonts w:ascii="Verdana" w:hAnsi="Verdana" w:cs="Arial"/>
      <w:b/>
      <w:bCs/>
      <w:iCs/>
      <w:sz w:val="25"/>
      <w:szCs w:val="28"/>
    </w:rPr>
  </w:style>
  <w:style w:type="paragraph" w:styleId="Heading3">
    <w:name w:val="heading 3"/>
    <w:basedOn w:val="Normal"/>
    <w:next w:val="Normal"/>
    <w:link w:val="Heading3Char"/>
    <w:qFormat/>
    <w:rsid w:val="0020010D"/>
    <w:pPr>
      <w:keepNext/>
      <w:spacing w:before="240" w:after="60"/>
      <w:outlineLvl w:val="2"/>
    </w:pPr>
    <w:rPr>
      <w:rFonts w:ascii="Verdana" w:hAnsi="Verdana" w:cs="Arial"/>
      <w:bCs/>
      <w: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10D"/>
    <w:rPr>
      <w:rFonts w:ascii="Verdana" w:eastAsia="Times New Roman" w:hAnsi="Verdana" w:cs="Arial"/>
      <w:b/>
      <w:bCs/>
      <w:iCs/>
      <w:sz w:val="25"/>
      <w:szCs w:val="28"/>
    </w:rPr>
  </w:style>
  <w:style w:type="character" w:customStyle="1" w:styleId="Heading3Char">
    <w:name w:val="Heading 3 Char"/>
    <w:basedOn w:val="DefaultParagraphFont"/>
    <w:link w:val="Heading3"/>
    <w:rsid w:val="0020010D"/>
    <w:rPr>
      <w:rFonts w:ascii="Verdana" w:eastAsia="Times New Roman" w:hAnsi="Verdana" w:cs="Arial"/>
      <w:bCs/>
      <w:i/>
      <w:sz w:val="26"/>
      <w:szCs w:val="26"/>
      <w:u w:val="single"/>
    </w:rPr>
  </w:style>
  <w:style w:type="paragraph" w:styleId="BodyText">
    <w:name w:val="Body Text"/>
    <w:basedOn w:val="Normal"/>
    <w:link w:val="BodyTextChar"/>
    <w:rsid w:val="0020010D"/>
    <w:pPr>
      <w:spacing w:after="120"/>
    </w:pPr>
  </w:style>
  <w:style w:type="character" w:customStyle="1" w:styleId="BodyTextChar">
    <w:name w:val="Body Text Char"/>
    <w:basedOn w:val="DefaultParagraphFont"/>
    <w:link w:val="BodyText"/>
    <w:rsid w:val="002001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Mead Johnson Nutrition</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Dehlin, Kaitlin</dc:creator>
  <cp:keywords/>
  <dc:description/>
  <cp:lastModifiedBy>Phyllis</cp:lastModifiedBy>
  <cp:revision>2</cp:revision>
  <dcterms:created xsi:type="dcterms:W3CDTF">2016-08-02T12:34:00Z</dcterms:created>
  <dcterms:modified xsi:type="dcterms:W3CDTF">2016-08-02T12:34:00Z</dcterms:modified>
</cp:coreProperties>
</file>