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9A" w:rsidRDefault="00F4759A" w:rsidP="00F4759A">
      <w:pPr>
        <w:spacing w:line="480" w:lineRule="auto"/>
        <w:ind w:right="-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>umber of centres reporting side effects</w:t>
      </w:r>
      <w:r>
        <w:rPr>
          <w:sz w:val="24"/>
          <w:szCs w:val="24"/>
          <w:lang w:val="en-GB"/>
        </w:rPr>
        <w:t>:</w:t>
      </w:r>
    </w:p>
    <w:p w:rsidR="00F4759A" w:rsidRDefault="00F4759A" w:rsidP="00F4759A">
      <w:pPr>
        <w:spacing w:line="480" w:lineRule="auto"/>
        <w:ind w:right="-284"/>
        <w:rPr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2"/>
        <w:gridCol w:w="3138"/>
        <w:gridCol w:w="3068"/>
      </w:tblGrid>
      <w:tr w:rsidR="00F4759A" w:rsidRPr="00BC4C66" w:rsidTr="005539BE"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4759A" w:rsidRDefault="00F4759A" w:rsidP="005539BE">
            <w:pPr>
              <w:spacing w:line="276" w:lineRule="auto"/>
              <w:ind w:right="-284"/>
              <w:rPr>
                <w:b/>
                <w:sz w:val="24"/>
                <w:szCs w:val="24"/>
                <w:lang w:val="en-GB"/>
              </w:rPr>
            </w:pPr>
            <w:r w:rsidRPr="0004243A">
              <w:rPr>
                <w:b/>
                <w:sz w:val="24"/>
                <w:szCs w:val="24"/>
                <w:lang w:val="en-GB"/>
              </w:rPr>
              <w:t>In less than 10% of patients</w:t>
            </w:r>
          </w:p>
          <w:p w:rsidR="00F4759A" w:rsidRPr="0004243A" w:rsidRDefault="00F4759A" w:rsidP="005539BE">
            <w:pPr>
              <w:spacing w:line="276" w:lineRule="auto"/>
              <w:ind w:right="-284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</w:tcPr>
          <w:p w:rsidR="00F4759A" w:rsidRPr="0004243A" w:rsidRDefault="00F4759A" w:rsidP="005539BE">
            <w:pPr>
              <w:spacing w:line="276" w:lineRule="auto"/>
              <w:ind w:right="-284"/>
              <w:rPr>
                <w:b/>
                <w:sz w:val="24"/>
                <w:szCs w:val="24"/>
                <w:lang w:val="en-GB"/>
              </w:rPr>
            </w:pPr>
            <w:r w:rsidRPr="0004243A">
              <w:rPr>
                <w:b/>
                <w:sz w:val="24"/>
                <w:szCs w:val="24"/>
                <w:lang w:val="en-GB"/>
              </w:rPr>
              <w:t>In more than 20% of patients</w:t>
            </w:r>
          </w:p>
        </w:tc>
      </w:tr>
      <w:tr w:rsidR="00F4759A" w:rsidTr="005539BE"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proofErr w:type="spellStart"/>
            <w:r w:rsidRPr="0004243A">
              <w:rPr>
                <w:b/>
                <w:sz w:val="24"/>
                <w:szCs w:val="24"/>
                <w:lang w:val="en-GB"/>
              </w:rPr>
              <w:t>Betablockers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(n=6)</w:t>
            </w:r>
          </w:p>
        </w:tc>
        <w:tc>
          <w:tcPr>
            <w:tcW w:w="3260" w:type="dxa"/>
          </w:tcPr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Hypotension (2)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Hypoglycaemia (3)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Discomfort/dizziness (1)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Dyspnoea and asthenia (1)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Asthma (1)</w:t>
            </w:r>
          </w:p>
        </w:tc>
      </w:tr>
      <w:tr w:rsidR="00F4759A" w:rsidTr="005539BE"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proofErr w:type="spellStart"/>
            <w:r w:rsidRPr="0004243A">
              <w:rPr>
                <w:b/>
                <w:sz w:val="24"/>
                <w:szCs w:val="24"/>
                <w:lang w:val="en-GB"/>
              </w:rPr>
              <w:t>Sclerotherapy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(n=9)</w:t>
            </w:r>
          </w:p>
        </w:tc>
        <w:tc>
          <w:tcPr>
            <w:tcW w:w="3260" w:type="dxa"/>
          </w:tcPr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Perforation (2)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Stenosis (2)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Retrosternal pain (7)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Dysphagia (7)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Eschar fall (5)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Eschar fall (1)</w:t>
            </w:r>
          </w:p>
        </w:tc>
      </w:tr>
      <w:tr w:rsidR="00F4759A" w:rsidTr="005539BE"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Endoscopic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variceal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ligation</w:t>
            </w:r>
            <w:r>
              <w:rPr>
                <w:sz w:val="24"/>
                <w:szCs w:val="24"/>
                <w:lang w:val="en-GB"/>
              </w:rPr>
              <w:t xml:space="preserve"> (n=20)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Retrosternal pain (13)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Dysphagia (7)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Eschar fall (12)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Variceal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rupture (1)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Brain abscess (1)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Retrosternal pain (6)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Dysphagia (4)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Eschar fall (1)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Odynophagia (1)</w:t>
            </w:r>
          </w:p>
        </w:tc>
      </w:tr>
      <w:tr w:rsidR="00F4759A" w:rsidTr="005539BE">
        <w:tc>
          <w:tcPr>
            <w:tcW w:w="3260" w:type="dxa"/>
            <w:tcBorders>
              <w:top w:val="single" w:sz="4" w:space="0" w:color="auto"/>
              <w:left w:val="nil"/>
              <w:bottom w:val="nil"/>
            </w:tcBorders>
          </w:tcPr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 w:rsidRPr="0004243A">
              <w:rPr>
                <w:b/>
                <w:sz w:val="24"/>
                <w:szCs w:val="24"/>
                <w:lang w:val="en-GB"/>
              </w:rPr>
              <w:t>Gluing</w:t>
            </w:r>
            <w:r>
              <w:rPr>
                <w:sz w:val="24"/>
                <w:szCs w:val="24"/>
                <w:lang w:val="en-GB"/>
              </w:rPr>
              <w:t xml:space="preserve"> (n=6)</w:t>
            </w:r>
          </w:p>
        </w:tc>
        <w:tc>
          <w:tcPr>
            <w:tcW w:w="3260" w:type="dxa"/>
            <w:tcBorders>
              <w:bottom w:val="nil"/>
            </w:tcBorders>
          </w:tcPr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Dysphagia (1)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Eschar fall (1)</w:t>
            </w:r>
          </w:p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Embolization (2)</w:t>
            </w:r>
          </w:p>
        </w:tc>
        <w:tc>
          <w:tcPr>
            <w:tcW w:w="3260" w:type="dxa"/>
            <w:tcBorders>
              <w:bottom w:val="nil"/>
              <w:right w:val="nil"/>
            </w:tcBorders>
          </w:tcPr>
          <w:p w:rsidR="00F4759A" w:rsidRDefault="00F4759A" w:rsidP="005539BE">
            <w:pPr>
              <w:spacing w:line="276" w:lineRule="auto"/>
              <w:ind w:right="-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Embolization (1)</w:t>
            </w:r>
          </w:p>
        </w:tc>
      </w:tr>
    </w:tbl>
    <w:p w:rsidR="00734468" w:rsidRDefault="00734468"/>
    <w:p w:rsidR="00F4759A" w:rsidRDefault="00F4759A"/>
    <w:p w:rsidR="00F4759A" w:rsidRDefault="00F4759A"/>
    <w:p w:rsidR="00F4759A" w:rsidRDefault="00F4759A">
      <w:bookmarkStart w:id="0" w:name="_GoBack"/>
      <w:bookmarkEnd w:id="0"/>
    </w:p>
    <w:p w:rsidR="00F4759A" w:rsidRPr="00F4759A" w:rsidRDefault="00F4759A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F4759A">
        <w:rPr>
          <w:sz w:val="24"/>
          <w:szCs w:val="24"/>
        </w:rPr>
        <w:t xml:space="preserve">= </w:t>
      </w:r>
      <w:proofErr w:type="spellStart"/>
      <w:r w:rsidRPr="00F4759A">
        <w:rPr>
          <w:sz w:val="24"/>
          <w:szCs w:val="24"/>
        </w:rPr>
        <w:t>number</w:t>
      </w:r>
      <w:proofErr w:type="spellEnd"/>
      <w:r w:rsidRPr="00F4759A">
        <w:rPr>
          <w:sz w:val="24"/>
          <w:szCs w:val="24"/>
        </w:rPr>
        <w:t xml:space="preserve"> of centres </w:t>
      </w:r>
      <w:proofErr w:type="spellStart"/>
      <w:r w:rsidRPr="00F4759A">
        <w:rPr>
          <w:sz w:val="24"/>
          <w:szCs w:val="24"/>
        </w:rPr>
        <w:t>practising</w:t>
      </w:r>
      <w:proofErr w:type="spellEnd"/>
      <w:r w:rsidRPr="00F4759A">
        <w:rPr>
          <w:sz w:val="24"/>
          <w:szCs w:val="24"/>
        </w:rPr>
        <w:t xml:space="preserve"> </w:t>
      </w:r>
      <w:proofErr w:type="spellStart"/>
      <w:r w:rsidRPr="00F4759A">
        <w:rPr>
          <w:sz w:val="24"/>
          <w:szCs w:val="24"/>
        </w:rPr>
        <w:t>this</w:t>
      </w:r>
      <w:proofErr w:type="spellEnd"/>
      <w:r w:rsidRPr="00F4759A">
        <w:rPr>
          <w:sz w:val="24"/>
          <w:szCs w:val="24"/>
        </w:rPr>
        <w:t xml:space="preserve"> type of </w:t>
      </w:r>
      <w:proofErr w:type="spellStart"/>
      <w:r w:rsidRPr="00F4759A">
        <w:rPr>
          <w:sz w:val="24"/>
          <w:szCs w:val="24"/>
        </w:rPr>
        <w:t>primary</w:t>
      </w:r>
      <w:proofErr w:type="spellEnd"/>
      <w:r w:rsidRPr="00F4759A">
        <w:rPr>
          <w:sz w:val="24"/>
          <w:szCs w:val="24"/>
        </w:rPr>
        <w:t xml:space="preserve"> </w:t>
      </w:r>
      <w:proofErr w:type="spellStart"/>
      <w:r w:rsidRPr="00F4759A">
        <w:rPr>
          <w:sz w:val="24"/>
          <w:szCs w:val="24"/>
        </w:rPr>
        <w:t>prophylaxis</w:t>
      </w:r>
      <w:proofErr w:type="spellEnd"/>
    </w:p>
    <w:sectPr w:rsidR="00F4759A" w:rsidRPr="00F4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E9"/>
    <w:rsid w:val="00734468"/>
    <w:rsid w:val="00BA5DE9"/>
    <w:rsid w:val="00DA13BF"/>
    <w:rsid w:val="00F4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9A"/>
  </w:style>
  <w:style w:type="paragraph" w:styleId="Titre1">
    <w:name w:val="heading 1"/>
    <w:basedOn w:val="Normal"/>
    <w:next w:val="Normal"/>
    <w:link w:val="Titre1Car"/>
    <w:uiPriority w:val="9"/>
    <w:qFormat/>
    <w:rsid w:val="00DA13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13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13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1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1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13B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13BF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13BF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13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1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A1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A1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A13BF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A13BF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A13BF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A13BF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A13B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A13BF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DA13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A1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13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DA13BF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DA13BF"/>
    <w:rPr>
      <w:b/>
      <w:bCs/>
    </w:rPr>
  </w:style>
  <w:style w:type="character" w:styleId="Accentuation">
    <w:name w:val="Emphasis"/>
    <w:basedOn w:val="Policepardfaut"/>
    <w:uiPriority w:val="20"/>
    <w:qFormat/>
    <w:rsid w:val="00DA13BF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DA13BF"/>
    <w:rPr>
      <w:szCs w:val="32"/>
    </w:rPr>
  </w:style>
  <w:style w:type="paragraph" w:styleId="Paragraphedeliste">
    <w:name w:val="List Paragraph"/>
    <w:basedOn w:val="Normal"/>
    <w:uiPriority w:val="34"/>
    <w:qFormat/>
    <w:rsid w:val="00DA13B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A13B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DA13BF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13BF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13BF"/>
    <w:rPr>
      <w:b/>
      <w:i/>
      <w:sz w:val="24"/>
    </w:rPr>
  </w:style>
  <w:style w:type="character" w:styleId="Emphaseple">
    <w:name w:val="Subtle Emphasis"/>
    <w:uiPriority w:val="19"/>
    <w:qFormat/>
    <w:rsid w:val="00DA13BF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DA13BF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DA13BF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DA13BF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DA13BF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13BF"/>
    <w:pPr>
      <w:outlineLvl w:val="9"/>
    </w:pPr>
  </w:style>
  <w:style w:type="table" w:styleId="Grilledutableau">
    <w:name w:val="Table Grid"/>
    <w:basedOn w:val="TableauNormal"/>
    <w:uiPriority w:val="59"/>
    <w:rsid w:val="00F4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9A"/>
  </w:style>
  <w:style w:type="paragraph" w:styleId="Titre1">
    <w:name w:val="heading 1"/>
    <w:basedOn w:val="Normal"/>
    <w:next w:val="Normal"/>
    <w:link w:val="Titre1Car"/>
    <w:uiPriority w:val="9"/>
    <w:qFormat/>
    <w:rsid w:val="00DA13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13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13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1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1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13B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13BF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13BF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13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1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A1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A1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A13BF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A13BF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A13BF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A13BF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A13B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A13BF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DA13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A1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13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DA13BF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DA13BF"/>
    <w:rPr>
      <w:b/>
      <w:bCs/>
    </w:rPr>
  </w:style>
  <w:style w:type="character" w:styleId="Accentuation">
    <w:name w:val="Emphasis"/>
    <w:basedOn w:val="Policepardfaut"/>
    <w:uiPriority w:val="20"/>
    <w:qFormat/>
    <w:rsid w:val="00DA13BF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DA13BF"/>
    <w:rPr>
      <w:szCs w:val="32"/>
    </w:rPr>
  </w:style>
  <w:style w:type="paragraph" w:styleId="Paragraphedeliste">
    <w:name w:val="List Paragraph"/>
    <w:basedOn w:val="Normal"/>
    <w:uiPriority w:val="34"/>
    <w:qFormat/>
    <w:rsid w:val="00DA13B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A13B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DA13BF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13BF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13BF"/>
    <w:rPr>
      <w:b/>
      <w:i/>
      <w:sz w:val="24"/>
    </w:rPr>
  </w:style>
  <w:style w:type="character" w:styleId="Emphaseple">
    <w:name w:val="Subtle Emphasis"/>
    <w:uiPriority w:val="19"/>
    <w:qFormat/>
    <w:rsid w:val="00DA13BF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DA13BF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DA13BF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DA13BF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DA13BF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13BF"/>
    <w:pPr>
      <w:outlineLvl w:val="9"/>
    </w:pPr>
  </w:style>
  <w:style w:type="table" w:styleId="Grilledutableau">
    <w:name w:val="Table Grid"/>
    <w:basedOn w:val="TableauNormal"/>
    <w:uiPriority w:val="59"/>
    <w:rsid w:val="00F4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2016-08-21T12:42:00Z</dcterms:created>
  <dcterms:modified xsi:type="dcterms:W3CDTF">2016-08-21T12:43:00Z</dcterms:modified>
</cp:coreProperties>
</file>