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CF" w:rsidRPr="00A547F9" w:rsidRDefault="00467FCF" w:rsidP="00467FCF">
      <w:pPr>
        <w:spacing w:after="0" w:line="240" w:lineRule="auto"/>
        <w:rPr>
          <w:sz w:val="24"/>
        </w:rPr>
      </w:pPr>
      <w:r>
        <w:rPr>
          <w:b/>
          <w:sz w:val="24"/>
        </w:rPr>
        <w:t>Table</w:t>
      </w:r>
      <w:r w:rsidRPr="00467FCF">
        <w:rPr>
          <w:b/>
          <w:sz w:val="24"/>
        </w:rPr>
        <w:t xml:space="preserve">, Supplemental Digital Content </w:t>
      </w:r>
      <w:r w:rsidR="004250BB">
        <w:rPr>
          <w:b/>
          <w:sz w:val="24"/>
        </w:rPr>
        <w:t>4</w:t>
      </w:r>
      <w:bookmarkStart w:id="0" w:name="_GoBack"/>
      <w:bookmarkEnd w:id="0"/>
      <w:r w:rsidRPr="00A547F9">
        <w:rPr>
          <w:sz w:val="24"/>
        </w:rPr>
        <w:t>. Effects of antibiotic exposure from 6 months to two years of life on cross-sectional WAZ and LAZ at two years of age among 1736 children in the MAL-ED cohort.</w:t>
      </w:r>
    </w:p>
    <w:tbl>
      <w:tblPr>
        <w:tblW w:w="91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58"/>
        <w:gridCol w:w="1381"/>
        <w:gridCol w:w="1991"/>
        <w:gridCol w:w="1350"/>
        <w:gridCol w:w="1787"/>
      </w:tblGrid>
      <w:tr w:rsidR="00467FCF" w:rsidRPr="00A547F9" w:rsidTr="00F32CE9">
        <w:trPr>
          <w:trHeight w:val="167"/>
        </w:trPr>
        <w:tc>
          <w:tcPr>
            <w:tcW w:w="265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Number exposed (%)</w:t>
            </w:r>
          </w:p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(N=1736</w:t>
            </w:r>
            <w:r w:rsidRPr="00A547F9">
              <w:rPr>
                <w:bCs/>
                <w:szCs w:val="20"/>
                <w:vertAlign w:val="superscript"/>
              </w:rPr>
              <w:t>†</w:t>
            </w:r>
            <w:r w:rsidRPr="00A547F9">
              <w:rPr>
                <w:bCs/>
                <w:szCs w:val="20"/>
              </w:rPr>
              <w:t>)</w:t>
            </w:r>
          </w:p>
        </w:tc>
        <w:tc>
          <w:tcPr>
            <w:tcW w:w="19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Adjusted* WAZ difference at 2 years</w:t>
            </w:r>
          </w:p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bCs/>
                <w:szCs w:val="20"/>
              </w:rPr>
              <w:t>(95% CI)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Number exposed (%)</w:t>
            </w:r>
          </w:p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(N=1</w:t>
            </w:r>
            <w:r>
              <w:rPr>
                <w:bCs/>
                <w:szCs w:val="20"/>
              </w:rPr>
              <w:t>487</w:t>
            </w:r>
            <w:r w:rsidRPr="00A547F9">
              <w:rPr>
                <w:bCs/>
                <w:szCs w:val="20"/>
                <w:vertAlign w:val="superscript"/>
              </w:rPr>
              <w:t>†</w:t>
            </w:r>
            <w:r w:rsidRPr="00A547F9">
              <w:rPr>
                <w:bCs/>
                <w:szCs w:val="20"/>
              </w:rPr>
              <w:t>)</w:t>
            </w:r>
          </w:p>
        </w:tc>
        <w:tc>
          <w:tcPr>
            <w:tcW w:w="1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Adjusted* LAZ difference at 2 years</w:t>
            </w:r>
          </w:p>
          <w:p w:rsidR="00467FCF" w:rsidRPr="00A547F9" w:rsidRDefault="00467FCF" w:rsidP="00F32CE9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A547F9">
              <w:rPr>
                <w:bCs/>
                <w:szCs w:val="20"/>
              </w:rPr>
              <w:t>(95% CI)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szCs w:val="20"/>
              </w:rPr>
              <w:t>Duration of exposure in age periods from 6-23 mo. (per 7 day increase)</w:t>
            </w:r>
          </w:p>
        </w:tc>
        <w:tc>
          <w:tcPr>
            <w:tcW w:w="1381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FF0000"/>
                <w:szCs w:val="20"/>
              </w:rPr>
            </w:pPr>
            <w:r w:rsidRPr="00A547F9">
              <w:rPr>
                <w:szCs w:val="20"/>
              </w:rPr>
              <w:t xml:space="preserve">6-11 mo.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1293 (74.5)</w:t>
            </w:r>
          </w:p>
        </w:tc>
        <w:tc>
          <w:tcPr>
            <w:tcW w:w="1991" w:type="dxa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-0.01 (-0.03, 0.02)</w:t>
            </w: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1048 (70.5)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0.00 (-0.02, 0.03)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szCs w:val="20"/>
              </w:rPr>
              <w:t>12-17 mo.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1288 (74.2)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0.00 (-0.03, 0.03)</w:t>
            </w: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1043 (70.1)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-0.00 (-0.03, 0.02)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szCs w:val="20"/>
              </w:rPr>
              <w:t>18-23 mo.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1210 (69.7)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-0.00 (-0.03, 0.03)</w:t>
            </w: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973 (65.4)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0.02 (-0.02, 0.05)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szCs w:val="20"/>
              </w:rPr>
              <w:t>Antibiotic class from 6-23 mo.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szCs w:val="20"/>
              </w:rPr>
              <w:t xml:space="preserve">Macrolides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>1 course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273 (15.7)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0.06 (-0.07, 0.18)</w:t>
            </w: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C41E6">
              <w:t>216 (14.5)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-0.01 (-0.15, 0.13)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>2+ courses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424 (24.4)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0.01 (-0.14, 0.16)</w:t>
            </w: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C41E6">
              <w:t>389 (26.2)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0.09 (-0.06, 0.24)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 xml:space="preserve">Metronidazole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>1 course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313 (18.0)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-0.09 (-0.20, 0.02)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272 (18.3)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-0.09 (-0.21, 0.03)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>2+ courses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357 (20.6)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0.00 (-0.14, 0.15)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164 (11</w:t>
            </w:r>
            <w:r>
              <w:rPr>
                <w:color w:val="000000"/>
              </w:rPr>
              <w:t>.0</w:t>
            </w:r>
            <w:r w:rsidRPr="003D2C05">
              <w:rPr>
                <w:color w:val="000000"/>
              </w:rPr>
              <w:t>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-0.09 (-0.23, 0.06)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 xml:space="preserve">Cephalosporins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>1 course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236 (13.6)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-0.06 (-0.20, 0.07)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207 (13.9)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0.01 (-0.13, 0.15)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szCs w:val="20"/>
              </w:rPr>
            </w:pPr>
            <w:r w:rsidRPr="00A547F9">
              <w:rPr>
                <w:color w:val="000000"/>
                <w:szCs w:val="20"/>
              </w:rPr>
              <w:t>2+ courses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514 (29.6)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-0.01 (-0.16, 0.13)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311 (20.9)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0.12 (-0.03, 0.27)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 xml:space="preserve">Fluoroquinolones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1 course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color w:val="000000"/>
              </w:rPr>
              <w:t>220 (12.7)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FF0000"/>
                <w:szCs w:val="20"/>
              </w:rPr>
            </w:pPr>
            <w:r w:rsidRPr="00A547F9">
              <w:rPr>
                <w:color w:val="000000"/>
                <w:szCs w:val="20"/>
              </w:rPr>
              <w:t>0.15 (0.02, 0.29)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169 (11.4)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0.04 (-0.10, 0.19)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2+ courses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szCs w:val="20"/>
              </w:rPr>
            </w:pPr>
            <w:r w:rsidRPr="00A547F9">
              <w:rPr>
                <w:color w:val="000000"/>
              </w:rPr>
              <w:t>141 (8.1)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FF0000"/>
                <w:szCs w:val="20"/>
              </w:rPr>
            </w:pPr>
            <w:r w:rsidRPr="00A547F9">
              <w:rPr>
                <w:color w:val="000000"/>
                <w:szCs w:val="20"/>
              </w:rPr>
              <w:t>0.21 (0.05, 0.37)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117 (7.9)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0.10 (-0.06, 0.25)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 xml:space="preserve">Penicillins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1 course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340 (19.6)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0.04 (-0.09, 0.17)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300 (20.2)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0.06 (-0.07, 0.20)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2+ courses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1017 (58.6)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0.05 (-0.06, 0.19)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842 (56.6)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-0.01 (-0.14, 0.12)</w:t>
            </w: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 xml:space="preserve">Sulfonamides 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350" w:type="dxa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</w:p>
        </w:tc>
      </w:tr>
      <w:tr w:rsidR="00467FCF" w:rsidRPr="00A547F9" w:rsidTr="00F32CE9">
        <w:trPr>
          <w:trHeight w:val="230"/>
        </w:trPr>
        <w:tc>
          <w:tcPr>
            <w:tcW w:w="2658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1 course</w:t>
            </w:r>
          </w:p>
        </w:tc>
        <w:tc>
          <w:tcPr>
            <w:tcW w:w="1381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314 (18.1)</w:t>
            </w:r>
          </w:p>
        </w:tc>
        <w:tc>
          <w:tcPr>
            <w:tcW w:w="1991" w:type="dxa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0.01 (-0.10, 0.13)</w:t>
            </w:r>
          </w:p>
        </w:tc>
        <w:tc>
          <w:tcPr>
            <w:tcW w:w="1350" w:type="dxa"/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248 (16.7)</w:t>
            </w:r>
          </w:p>
        </w:tc>
        <w:tc>
          <w:tcPr>
            <w:tcW w:w="1787" w:type="dxa"/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0.08 (-0.04, 0.20)</w:t>
            </w:r>
          </w:p>
        </w:tc>
      </w:tr>
      <w:tr w:rsidR="00467FCF" w:rsidRPr="00A547F9" w:rsidTr="00F32CE9">
        <w:trPr>
          <w:trHeight w:val="249"/>
        </w:trPr>
        <w:tc>
          <w:tcPr>
            <w:tcW w:w="2658" w:type="dxa"/>
            <w:tcBorders>
              <w:bottom w:val="single" w:sz="4" w:space="0" w:color="auto"/>
            </w:tcBorders>
            <w:vAlign w:val="bottom"/>
          </w:tcPr>
          <w:p w:rsidR="00467FCF" w:rsidRPr="00A547F9" w:rsidRDefault="00467FCF" w:rsidP="00F32CE9">
            <w:pPr>
              <w:spacing w:after="0" w:line="240" w:lineRule="auto"/>
              <w:ind w:firstLine="180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2+ courses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</w:rPr>
              <w:t>287 (16.5)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-0.04 (-0.17, 0.08)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67FCF" w:rsidRPr="003D2C05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3D2C05">
              <w:rPr>
                <w:color w:val="000000"/>
              </w:rPr>
              <w:t>185 (12.4)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bottom"/>
          </w:tcPr>
          <w:p w:rsidR="00467FCF" w:rsidRPr="00A547F9" w:rsidRDefault="00467FCF" w:rsidP="00F32CE9">
            <w:pPr>
              <w:spacing w:after="0" w:line="240" w:lineRule="auto"/>
              <w:contextualSpacing/>
              <w:rPr>
                <w:color w:val="000000"/>
                <w:szCs w:val="20"/>
              </w:rPr>
            </w:pPr>
            <w:r w:rsidRPr="00A547F9">
              <w:rPr>
                <w:color w:val="000000"/>
                <w:szCs w:val="20"/>
              </w:rPr>
              <w:t>0.04 (-0.10, 0.18)</w:t>
            </w:r>
          </w:p>
        </w:tc>
      </w:tr>
    </w:tbl>
    <w:p w:rsidR="00467FCF" w:rsidRPr="00A547F9" w:rsidRDefault="00467FCF" w:rsidP="00467FCF">
      <w:pPr>
        <w:spacing w:after="0" w:line="240" w:lineRule="auto"/>
        <w:rPr>
          <w:sz w:val="20"/>
          <w:szCs w:val="20"/>
        </w:rPr>
      </w:pPr>
      <w:r w:rsidRPr="00A547F9">
        <w:rPr>
          <w:sz w:val="20"/>
        </w:rPr>
        <w:t>*</w:t>
      </w:r>
      <w:r w:rsidRPr="00A547F9">
        <w:rPr>
          <w:sz w:val="20"/>
          <w:szCs w:val="20"/>
        </w:rPr>
        <w:t>Adjusted for other antibiotic classes included in the table, site, child sex, enrollment WAZ, WAMI score, crowding (people/room in household), percent days exclusively breastfed in the first 6 months of life, maternal height, maternal education, and illness burden during the first two years of life: number of diarrhea episodes, days with fever, vomiting, and respiratory illness, and presence of ALRI, bloody stools, and hospitalization.</w:t>
      </w:r>
      <w:r>
        <w:rPr>
          <w:sz w:val="20"/>
          <w:szCs w:val="20"/>
        </w:rPr>
        <w:t xml:space="preserve"> </w:t>
      </w:r>
      <w:r w:rsidRPr="003D2C05">
        <w:rPr>
          <w:sz w:val="20"/>
          <w:szCs w:val="20"/>
        </w:rPr>
        <w:t>LAZ difference is also adjusted for enrollment LAZ</w:t>
      </w:r>
      <w:r>
        <w:rPr>
          <w:sz w:val="20"/>
          <w:szCs w:val="20"/>
        </w:rPr>
        <w:t>.</w:t>
      </w:r>
    </w:p>
    <w:p w:rsidR="00467FCF" w:rsidRPr="00A547F9" w:rsidRDefault="00467FCF" w:rsidP="00467FCF">
      <w:pPr>
        <w:spacing w:after="0" w:line="240" w:lineRule="auto"/>
        <w:rPr>
          <w:sz w:val="20"/>
          <w:szCs w:val="20"/>
        </w:rPr>
      </w:pPr>
      <w:r w:rsidRPr="00A547F9">
        <w:rPr>
          <w:sz w:val="20"/>
        </w:rPr>
        <w:t>†</w:t>
      </w:r>
      <w:r w:rsidRPr="00A547F9">
        <w:rPr>
          <w:bCs/>
          <w:sz w:val="20"/>
          <w:szCs w:val="20"/>
        </w:rPr>
        <w:t xml:space="preserve">Children </w:t>
      </w:r>
      <w:r w:rsidRPr="00A547F9">
        <w:rPr>
          <w:sz w:val="20"/>
          <w:szCs w:val="20"/>
        </w:rPr>
        <w:t>who had anthropometric measurements at two years of age</w:t>
      </w:r>
      <w:r>
        <w:rPr>
          <w:sz w:val="20"/>
          <w:szCs w:val="20"/>
        </w:rPr>
        <w:t xml:space="preserve">. </w:t>
      </w:r>
      <w:r w:rsidRPr="003D2C05">
        <w:rPr>
          <w:sz w:val="20"/>
          <w:szCs w:val="20"/>
        </w:rPr>
        <w:t>LAZ difference estimates exclude Pakistan.</w:t>
      </w:r>
    </w:p>
    <w:p w:rsidR="00467FCF" w:rsidRPr="00A547F9" w:rsidRDefault="00467FCF" w:rsidP="00467FCF">
      <w:pPr>
        <w:rPr>
          <w:sz w:val="20"/>
        </w:rPr>
      </w:pPr>
      <w:r w:rsidRPr="00A547F9">
        <w:rPr>
          <w:sz w:val="20"/>
          <w:szCs w:val="20"/>
        </w:rPr>
        <w:t>WAZ, weight-for-age z-score. LAZ, length-for-age z-score</w:t>
      </w:r>
    </w:p>
    <w:p w:rsidR="002C4B23" w:rsidRDefault="002C4B23"/>
    <w:sectPr w:rsidR="002C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F"/>
    <w:rsid w:val="002C4B23"/>
    <w:rsid w:val="004250BB"/>
    <w:rsid w:val="004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53FE"/>
  <w15:chartTrackingRefBased/>
  <w15:docId w15:val="{94940DAF-5D25-48A8-B971-DF28DCF0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Rogawski</dc:creator>
  <cp:keywords/>
  <dc:description/>
  <cp:lastModifiedBy>Liz Rogawski</cp:lastModifiedBy>
  <cp:revision>2</cp:revision>
  <dcterms:created xsi:type="dcterms:W3CDTF">2017-04-24T19:32:00Z</dcterms:created>
  <dcterms:modified xsi:type="dcterms:W3CDTF">2017-04-24T19:38:00Z</dcterms:modified>
</cp:coreProperties>
</file>