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23C0" w14:textId="77777777" w:rsidR="002F44E1" w:rsidRPr="00DA55D2" w:rsidRDefault="00481643">
      <w:pPr>
        <w:rPr>
          <w:rFonts w:ascii="TimesNewRoman" w:hAnsi="TimesNewRoman" w:cs="Times New Roman"/>
          <w:b/>
        </w:rPr>
      </w:pPr>
      <w:bookmarkStart w:id="0" w:name="_GoBack"/>
      <w:bookmarkEnd w:id="0"/>
      <w:r w:rsidRPr="00DA55D2">
        <w:rPr>
          <w:rFonts w:ascii="TimesNewRoman" w:hAnsi="TimesNewRoman" w:cs="Times New Roman"/>
          <w:b/>
        </w:rPr>
        <w:t>SUPPLEMENTARY MATERIAL</w:t>
      </w:r>
    </w:p>
    <w:p w14:paraId="5CC04CD9" w14:textId="77777777" w:rsidR="00F251FF" w:rsidRPr="00DA55D2" w:rsidRDefault="00F251FF">
      <w:pPr>
        <w:rPr>
          <w:rFonts w:ascii="TimesNewRoman" w:hAnsi="TimesNewRoman" w:cs="Times New Roman"/>
        </w:rPr>
      </w:pPr>
    </w:p>
    <w:p w14:paraId="0B105304" w14:textId="155C20FE" w:rsidR="00AC4204" w:rsidRDefault="00AC4204">
      <w:pPr>
        <w:rPr>
          <w:rFonts w:ascii="TimesNewRoman" w:hAnsi="TimesNewRoman" w:cs="Times New Roman"/>
          <w:b/>
        </w:rPr>
      </w:pPr>
      <w:r>
        <w:rPr>
          <w:rFonts w:ascii="TimesNewRoman" w:hAnsi="TimesNewRoman" w:cs="Times New Roman"/>
          <w:b/>
        </w:rPr>
        <w:t>Urine FAB-MS analysis details</w:t>
      </w:r>
    </w:p>
    <w:p w14:paraId="0C4D87B7" w14:textId="77777777" w:rsidR="00AC4204" w:rsidRDefault="00AC4204">
      <w:pPr>
        <w:rPr>
          <w:rFonts w:ascii="TimesNewRoman" w:hAnsi="TimesNewRoman" w:cs="Times New Roman"/>
          <w:b/>
        </w:rPr>
      </w:pPr>
    </w:p>
    <w:p w14:paraId="0A6A7BE1" w14:textId="321F24C8" w:rsidR="00AC4204" w:rsidRDefault="00AC4204" w:rsidP="00AC4204">
      <w:pPr>
        <w:spacing w:line="480" w:lineRule="auto"/>
        <w:rPr>
          <w:rFonts w:ascii="TimesNewRoman" w:hAnsi="TimesNewRoman" w:cs="Times New Roman"/>
        </w:rPr>
      </w:pPr>
      <w:r w:rsidRPr="00AC4204">
        <w:rPr>
          <w:rFonts w:ascii="TimesNewRoman" w:hAnsi="TimesNewRoman" w:cs="Times New Roman"/>
        </w:rPr>
        <w:t xml:space="preserve">Negative ion FAB-MS analysis of the solid-phase </w:t>
      </w:r>
      <w:proofErr w:type="spellStart"/>
      <w:r w:rsidRPr="00AC4204">
        <w:rPr>
          <w:rFonts w:ascii="TimesNewRoman" w:hAnsi="TimesNewRoman" w:cs="Times New Roman"/>
        </w:rPr>
        <w:t>methanolic</w:t>
      </w:r>
      <w:proofErr w:type="spellEnd"/>
      <w:r w:rsidRPr="00AC4204">
        <w:rPr>
          <w:rFonts w:ascii="TimesNewRoman" w:hAnsi="TimesNewRoman" w:cs="Times New Roman"/>
        </w:rPr>
        <w:t xml:space="preserve"> extracts of urine, bile, and serum was carried out by adding 1 to 10 </w:t>
      </w:r>
      <w:proofErr w:type="spellStart"/>
      <w:r w:rsidRPr="00AC4204">
        <w:rPr>
          <w:rFonts w:ascii="TimesNewRoman" w:hAnsi="TimesNewRoman" w:cs="Times New Roman"/>
        </w:rPr>
        <w:t>μL</w:t>
      </w:r>
      <w:proofErr w:type="spellEnd"/>
      <w:r w:rsidRPr="00AC4204">
        <w:rPr>
          <w:rFonts w:ascii="TimesNewRoman" w:hAnsi="TimesNewRoman" w:cs="Times New Roman"/>
        </w:rPr>
        <w:t xml:space="preserve"> of the extracts onto a drop of a glycerol/methanol (1:1, by volume) matrix spotted on a stainless steel FAB probe.  The probe was introduced into the ion source of a VG </w:t>
      </w:r>
      <w:proofErr w:type="spellStart"/>
      <w:r w:rsidRPr="00AC4204">
        <w:rPr>
          <w:rFonts w:ascii="TimesNewRoman" w:hAnsi="TimesNewRoman" w:cs="Times New Roman"/>
        </w:rPr>
        <w:t>Autospec</w:t>
      </w:r>
      <w:proofErr w:type="spellEnd"/>
      <w:r w:rsidRPr="00AC4204">
        <w:rPr>
          <w:rFonts w:ascii="TimesNewRoman" w:hAnsi="TimesNewRoman" w:cs="Times New Roman"/>
        </w:rPr>
        <w:t xml:space="preserve"> Premier magnetic sector mass spectrometer (</w:t>
      </w:r>
      <w:proofErr w:type="spellStart"/>
      <w:r w:rsidRPr="00AC4204">
        <w:rPr>
          <w:rFonts w:ascii="TimesNewRoman" w:hAnsi="TimesNewRoman" w:cs="Times New Roman"/>
        </w:rPr>
        <w:t>Micromass</w:t>
      </w:r>
      <w:proofErr w:type="spellEnd"/>
      <w:r w:rsidRPr="00AC4204">
        <w:rPr>
          <w:rFonts w:ascii="TimesNewRoman" w:hAnsi="TimesNewRoman" w:cs="Times New Roman"/>
        </w:rPr>
        <w:t xml:space="preserve">, Waters, Manchester, UK), and the sample was ionized by a beam of fast atoms generated from cesium iodide (35 </w:t>
      </w:r>
      <w:proofErr w:type="spellStart"/>
      <w:r w:rsidRPr="00AC4204">
        <w:rPr>
          <w:rFonts w:ascii="TimesNewRoman" w:hAnsi="TimesNewRoman" w:cs="Times New Roman"/>
        </w:rPr>
        <w:t>keV</w:t>
      </w:r>
      <w:proofErr w:type="spellEnd"/>
      <w:r w:rsidRPr="00AC4204">
        <w:rPr>
          <w:rFonts w:ascii="TimesNewRoman" w:hAnsi="TimesNewRoman" w:cs="Times New Roman"/>
        </w:rPr>
        <w:t>) fired at the target containing the sample.</w:t>
      </w:r>
    </w:p>
    <w:p w14:paraId="6FD2CF6A" w14:textId="77777777" w:rsidR="00AC4204" w:rsidRPr="00AC4204" w:rsidRDefault="00AC4204" w:rsidP="00AC4204">
      <w:pPr>
        <w:spacing w:line="480" w:lineRule="auto"/>
        <w:rPr>
          <w:rFonts w:ascii="TimesNewRoman" w:hAnsi="TimesNewRoman" w:cs="Times New Roman"/>
        </w:rPr>
      </w:pPr>
    </w:p>
    <w:p w14:paraId="58510157" w14:textId="77777777" w:rsidR="00F251FF" w:rsidRPr="00DA55D2" w:rsidRDefault="00DA55D2">
      <w:pPr>
        <w:rPr>
          <w:rFonts w:ascii="TimesNewRoman" w:hAnsi="TimesNewRoman" w:cs="Times New Roman"/>
          <w:b/>
        </w:rPr>
      </w:pPr>
      <w:r>
        <w:rPr>
          <w:rFonts w:ascii="TimesNewRoman" w:hAnsi="TimesNewRoman" w:cs="Times New Roman"/>
          <w:b/>
        </w:rPr>
        <w:t>Statistical a</w:t>
      </w:r>
      <w:r w:rsidR="00481643" w:rsidRPr="00DA55D2">
        <w:rPr>
          <w:rFonts w:ascii="TimesNewRoman" w:hAnsi="TimesNewRoman" w:cs="Times New Roman"/>
          <w:b/>
        </w:rPr>
        <w:t xml:space="preserve">nalysis </w:t>
      </w:r>
      <w:r>
        <w:rPr>
          <w:rFonts w:ascii="TimesNewRoman" w:hAnsi="TimesNewRoman" w:cs="Times New Roman"/>
          <w:b/>
        </w:rPr>
        <w:t>details</w:t>
      </w:r>
    </w:p>
    <w:p w14:paraId="36AD3EA6" w14:textId="77777777" w:rsidR="00F251FF" w:rsidRPr="00DA55D2" w:rsidRDefault="00F251FF">
      <w:pPr>
        <w:rPr>
          <w:rFonts w:ascii="TimesNewRoman" w:hAnsi="TimesNewRoman" w:cs="Times New Roman"/>
        </w:rPr>
      </w:pPr>
    </w:p>
    <w:p w14:paraId="2F492A31" w14:textId="77777777" w:rsidR="00F251FF" w:rsidRPr="00DA55D2" w:rsidRDefault="00F251FF" w:rsidP="00F251FF">
      <w:pPr>
        <w:pStyle w:val="NormalWeb"/>
        <w:spacing w:before="2" w:after="2" w:line="480" w:lineRule="auto"/>
        <w:rPr>
          <w:rFonts w:ascii="TimesNewRoman" w:hAnsi="TimesNewRoman"/>
          <w:sz w:val="24"/>
          <w:szCs w:val="24"/>
        </w:rPr>
      </w:pPr>
      <w:r w:rsidRPr="00DA55D2">
        <w:rPr>
          <w:rFonts w:ascii="TimesNewRoman" w:hAnsi="TimesNewRoman"/>
          <w:sz w:val="24"/>
          <w:szCs w:val="24"/>
        </w:rPr>
        <w:t xml:space="preserve">Continuous variables were summarized using counts, means, medians, standard deviations, and ranges (minimum and maximum). Categorical variables were summarized using frequencies and percentages. In addition to the descriptive statistics, t tests for continuous endpoints and chi-square tests for categorical endpoints were used. </w:t>
      </w:r>
    </w:p>
    <w:p w14:paraId="24E46302" w14:textId="77777777" w:rsidR="00F251FF" w:rsidRPr="00DA55D2" w:rsidRDefault="00F251FF" w:rsidP="00F251FF">
      <w:pPr>
        <w:pStyle w:val="NormalWeb"/>
        <w:spacing w:before="2" w:after="2" w:line="480" w:lineRule="auto"/>
        <w:rPr>
          <w:rFonts w:ascii="TimesNewRoman" w:hAnsi="TimesNewRoman"/>
          <w:sz w:val="24"/>
          <w:szCs w:val="24"/>
        </w:rPr>
      </w:pPr>
    </w:p>
    <w:p w14:paraId="68B708F5" w14:textId="77777777" w:rsidR="00F251FF" w:rsidRPr="00DA55D2" w:rsidRDefault="00F251FF" w:rsidP="00F251FF">
      <w:pPr>
        <w:pStyle w:val="NormalWeb"/>
        <w:spacing w:before="2" w:after="2" w:line="480" w:lineRule="auto"/>
        <w:rPr>
          <w:rFonts w:ascii="TimesNewRoman" w:hAnsi="TimesNewRoman"/>
          <w:sz w:val="24"/>
          <w:szCs w:val="24"/>
        </w:rPr>
      </w:pPr>
      <w:r w:rsidRPr="00DA55D2">
        <w:rPr>
          <w:rFonts w:ascii="TimesNewRoman" w:hAnsi="TimesNewRoman"/>
          <w:sz w:val="24"/>
          <w:szCs w:val="24"/>
        </w:rPr>
        <w:t xml:space="preserve">Given the variable distribution of pre- and post-treatment visits, it was decided that 1 pre- and 1 post-treatment visit should be selected and used to assess the impact of </w:t>
      </w:r>
      <w:proofErr w:type="spellStart"/>
      <w:r w:rsidRPr="00DA55D2">
        <w:rPr>
          <w:rFonts w:ascii="TimesNewRoman" w:hAnsi="TimesNewRoman"/>
          <w:sz w:val="24"/>
          <w:szCs w:val="24"/>
        </w:rPr>
        <w:t>cholic</w:t>
      </w:r>
      <w:proofErr w:type="spellEnd"/>
      <w:r w:rsidRPr="00DA55D2">
        <w:rPr>
          <w:rFonts w:ascii="TimesNewRoman" w:hAnsi="TimesNewRoman"/>
          <w:sz w:val="24"/>
          <w:szCs w:val="24"/>
        </w:rPr>
        <w:t xml:space="preserve"> acid on the main endpoints. </w:t>
      </w:r>
    </w:p>
    <w:p w14:paraId="50DF98E9" w14:textId="77777777" w:rsidR="00F251FF" w:rsidRPr="00DA55D2" w:rsidRDefault="00F251FF" w:rsidP="00F251FF">
      <w:pPr>
        <w:pStyle w:val="NormalWeb"/>
        <w:spacing w:before="2" w:after="2" w:line="480" w:lineRule="auto"/>
        <w:rPr>
          <w:rFonts w:ascii="TimesNewRoman" w:hAnsi="TimesNewRoman"/>
          <w:sz w:val="24"/>
          <w:szCs w:val="24"/>
        </w:rPr>
      </w:pPr>
    </w:p>
    <w:p w14:paraId="2CFA10CA" w14:textId="77777777" w:rsidR="00F251FF" w:rsidRPr="00DA55D2" w:rsidRDefault="00F251FF" w:rsidP="00F251FF">
      <w:pPr>
        <w:pStyle w:val="NormalWeb"/>
        <w:spacing w:before="2" w:after="2" w:line="480" w:lineRule="auto"/>
        <w:outlineLvl w:val="0"/>
        <w:rPr>
          <w:rFonts w:ascii="TimesNewRoman" w:hAnsi="TimesNewRoman"/>
          <w:sz w:val="24"/>
          <w:szCs w:val="24"/>
        </w:rPr>
      </w:pPr>
      <w:r w:rsidRPr="00DA55D2">
        <w:rPr>
          <w:rFonts w:ascii="TimesNewRoman" w:hAnsi="TimesNewRoman"/>
          <w:sz w:val="24"/>
          <w:szCs w:val="24"/>
        </w:rPr>
        <w:t>A Cochran-Mantel-</w:t>
      </w:r>
      <w:proofErr w:type="spellStart"/>
      <w:r w:rsidRPr="00DA55D2">
        <w:rPr>
          <w:rFonts w:ascii="TimesNewRoman" w:hAnsi="TimesNewRoman"/>
          <w:sz w:val="24"/>
          <w:szCs w:val="24"/>
        </w:rPr>
        <w:t>Haenszel</w:t>
      </w:r>
      <w:proofErr w:type="spellEnd"/>
      <w:r w:rsidRPr="00DA55D2">
        <w:rPr>
          <w:rFonts w:ascii="TimesNewRoman" w:hAnsi="TimesNewRoman"/>
          <w:sz w:val="24"/>
          <w:szCs w:val="24"/>
        </w:rPr>
        <w:t xml:space="preserve"> chi-square test with modified </w:t>
      </w:r>
      <w:proofErr w:type="spellStart"/>
      <w:r w:rsidRPr="00DA55D2">
        <w:rPr>
          <w:rFonts w:ascii="TimesNewRoman" w:hAnsi="TimesNewRoman"/>
          <w:sz w:val="24"/>
          <w:szCs w:val="24"/>
        </w:rPr>
        <w:t>ridit</w:t>
      </w:r>
      <w:proofErr w:type="spellEnd"/>
      <w:r w:rsidRPr="00DA55D2">
        <w:rPr>
          <w:rFonts w:ascii="TimesNewRoman" w:hAnsi="TimesNewRoman"/>
          <w:sz w:val="24"/>
          <w:szCs w:val="24"/>
        </w:rPr>
        <w:t xml:space="preserve"> scoring was used to test the impact of treatment with </w:t>
      </w:r>
      <w:proofErr w:type="spellStart"/>
      <w:r w:rsidRPr="00DA55D2">
        <w:rPr>
          <w:rFonts w:ascii="TimesNewRoman" w:hAnsi="TimesNewRoman"/>
          <w:sz w:val="24"/>
          <w:szCs w:val="24"/>
        </w:rPr>
        <w:t>cholic</w:t>
      </w:r>
      <w:proofErr w:type="spellEnd"/>
      <w:r w:rsidRPr="00DA55D2">
        <w:rPr>
          <w:rFonts w:ascii="TimesNewRoman" w:hAnsi="TimesNewRoman"/>
          <w:sz w:val="24"/>
          <w:szCs w:val="24"/>
        </w:rPr>
        <w:t xml:space="preserve"> acid on urinary bile acid excretion and liver chemistries. The </w:t>
      </w:r>
      <w:proofErr w:type="spellStart"/>
      <w:r w:rsidRPr="00DA55D2">
        <w:rPr>
          <w:rFonts w:ascii="TimesNewRoman" w:hAnsi="TimesNewRoman"/>
          <w:sz w:val="24"/>
          <w:szCs w:val="24"/>
        </w:rPr>
        <w:t>ridit</w:t>
      </w:r>
      <w:proofErr w:type="spellEnd"/>
      <w:r w:rsidRPr="00DA55D2">
        <w:rPr>
          <w:rFonts w:ascii="TimesNewRoman" w:hAnsi="TimesNewRoman"/>
          <w:sz w:val="24"/>
          <w:szCs w:val="24"/>
        </w:rPr>
        <w:t xml:space="preserve"> analysis, developed by </w:t>
      </w:r>
      <w:proofErr w:type="spellStart"/>
      <w:r w:rsidRPr="00DA55D2">
        <w:rPr>
          <w:rFonts w:ascii="TimesNewRoman" w:hAnsi="TimesNewRoman"/>
          <w:sz w:val="24"/>
          <w:szCs w:val="24"/>
        </w:rPr>
        <w:t>Bross</w:t>
      </w:r>
      <w:proofErr w:type="spellEnd"/>
      <w:r w:rsidRPr="00DA55D2">
        <w:rPr>
          <w:rFonts w:ascii="TimesNewRoman" w:hAnsi="TimesNewRoman"/>
          <w:sz w:val="24"/>
          <w:szCs w:val="24"/>
        </w:rPr>
        <w:t xml:space="preserve"> in 1958, is a technique that does not attempt to </w:t>
      </w:r>
      <w:r w:rsidRPr="00DA55D2">
        <w:rPr>
          <w:rFonts w:ascii="TimesNewRoman" w:hAnsi="TimesNewRoman"/>
          <w:sz w:val="24"/>
          <w:szCs w:val="24"/>
        </w:rPr>
        <w:lastRenderedPageBreak/>
        <w:t>quantify the categories but rather works with their natural ordering.</w:t>
      </w:r>
      <w:r w:rsidR="00481643" w:rsidRPr="00A16793">
        <w:rPr>
          <w:rFonts w:ascii="TimesNewRoman" w:hAnsi="TimesNewRoman"/>
          <w:sz w:val="24"/>
          <w:szCs w:val="24"/>
          <w:vertAlign w:val="superscript"/>
        </w:rPr>
        <w:t>1</w:t>
      </w:r>
      <w:r w:rsidRPr="00DA55D2">
        <w:rPr>
          <w:rFonts w:ascii="TimesNewRoman" w:hAnsi="TimesNewRoman"/>
          <w:sz w:val="24"/>
          <w:szCs w:val="24"/>
        </w:rPr>
        <w:t xml:space="preserve"> To assess the impact of </w:t>
      </w:r>
      <w:proofErr w:type="spellStart"/>
      <w:r w:rsidRPr="00DA55D2">
        <w:rPr>
          <w:rFonts w:ascii="TimesNewRoman" w:hAnsi="TimesNewRoman"/>
          <w:sz w:val="24"/>
          <w:szCs w:val="24"/>
        </w:rPr>
        <w:t>cholic</w:t>
      </w:r>
      <w:proofErr w:type="spellEnd"/>
      <w:r w:rsidRPr="00DA55D2">
        <w:rPr>
          <w:rFonts w:ascii="TimesNewRoman" w:hAnsi="TimesNewRoman"/>
          <w:sz w:val="24"/>
          <w:szCs w:val="24"/>
        </w:rPr>
        <w:t xml:space="preserve"> acid treatment on height and weight, pretreatment and post-treatment height and weight percentiles were compared using a t test. The choice of P value used was based on the significance of the equality of variances test. If the test was not significant, the P value for the t test for equal variances is shown; otherwise the P value for the test for unequal variances is shown. The incidence and severity of AEs are presented using descriptive statistics.</w:t>
      </w:r>
    </w:p>
    <w:p w14:paraId="1062EFAD" w14:textId="77777777" w:rsidR="00481643" w:rsidRPr="00DA55D2" w:rsidRDefault="00481643" w:rsidP="00F251FF">
      <w:pPr>
        <w:pStyle w:val="NormalWeb"/>
        <w:spacing w:before="2" w:after="2" w:line="480" w:lineRule="auto"/>
        <w:outlineLvl w:val="0"/>
        <w:rPr>
          <w:rFonts w:ascii="TimesNewRoman" w:hAnsi="TimesNewRoman"/>
          <w:sz w:val="24"/>
          <w:szCs w:val="24"/>
        </w:rPr>
      </w:pPr>
    </w:p>
    <w:p w14:paraId="3E916E9A" w14:textId="77777777" w:rsidR="00481643" w:rsidRPr="00DA55D2" w:rsidRDefault="00481643" w:rsidP="00481643">
      <w:pPr>
        <w:pStyle w:val="NormalWeb"/>
        <w:spacing w:beforeLines="0" w:before="2" w:afterLines="0" w:after="100" w:afterAutospacing="1" w:line="480" w:lineRule="auto"/>
        <w:rPr>
          <w:rFonts w:ascii="TimesNewRoman" w:hAnsi="TimesNewRoman"/>
          <w:sz w:val="24"/>
          <w:szCs w:val="24"/>
        </w:rPr>
      </w:pPr>
      <w:r w:rsidRPr="00266C6C">
        <w:rPr>
          <w:rFonts w:ascii="TimesNewRoman" w:hAnsi="TimesNewRoman"/>
          <w:b/>
          <w:sz w:val="24"/>
          <w:szCs w:val="24"/>
        </w:rPr>
        <w:t>Reference:</w:t>
      </w:r>
      <w:r w:rsidRPr="00DA55D2">
        <w:rPr>
          <w:rFonts w:ascii="TimesNewRoman" w:hAnsi="TimesNewRoman"/>
          <w:sz w:val="24"/>
          <w:szCs w:val="24"/>
        </w:rPr>
        <w:t xml:space="preserve"> </w:t>
      </w:r>
      <w:r w:rsidR="00DA55D2" w:rsidRPr="00DA55D2">
        <w:rPr>
          <w:rFonts w:ascii="TimesNewRoman" w:hAnsi="TimesNewRoman"/>
          <w:sz w:val="24"/>
          <w:szCs w:val="24"/>
        </w:rPr>
        <w:t xml:space="preserve">1. </w:t>
      </w:r>
      <w:proofErr w:type="spellStart"/>
      <w:r w:rsidRPr="00DA55D2">
        <w:rPr>
          <w:rFonts w:ascii="TimesNewRoman" w:hAnsi="TimesNewRoman"/>
          <w:sz w:val="24"/>
          <w:szCs w:val="24"/>
        </w:rPr>
        <w:t>Uwawunkonye</w:t>
      </w:r>
      <w:proofErr w:type="spellEnd"/>
      <w:r w:rsidRPr="00DA55D2">
        <w:rPr>
          <w:rFonts w:ascii="TimesNewRoman" w:hAnsi="TimesNewRoman"/>
          <w:sz w:val="24"/>
          <w:szCs w:val="24"/>
        </w:rPr>
        <w:t xml:space="preserve"> EG, </w:t>
      </w:r>
      <w:proofErr w:type="spellStart"/>
      <w:r w:rsidRPr="00DA55D2">
        <w:rPr>
          <w:rFonts w:ascii="TimesNewRoman" w:hAnsi="TimesNewRoman"/>
          <w:sz w:val="24"/>
          <w:szCs w:val="24"/>
        </w:rPr>
        <w:t>Anaene</w:t>
      </w:r>
      <w:proofErr w:type="spellEnd"/>
      <w:r w:rsidRPr="00DA55D2">
        <w:rPr>
          <w:rFonts w:ascii="TimesNewRoman" w:hAnsi="TimesNewRoman"/>
          <w:sz w:val="24"/>
          <w:szCs w:val="24"/>
        </w:rPr>
        <w:t xml:space="preserve"> OIC. A comparative study between </w:t>
      </w:r>
      <w:proofErr w:type="spellStart"/>
      <w:r w:rsidRPr="00DA55D2">
        <w:rPr>
          <w:rFonts w:ascii="TimesNewRoman" w:hAnsi="TimesNewRoman"/>
          <w:sz w:val="24"/>
          <w:szCs w:val="24"/>
        </w:rPr>
        <w:t>ridit</w:t>
      </w:r>
      <w:proofErr w:type="spellEnd"/>
      <w:r w:rsidRPr="00DA55D2">
        <w:rPr>
          <w:rFonts w:ascii="TimesNewRoman" w:hAnsi="TimesNewRoman"/>
          <w:sz w:val="24"/>
          <w:szCs w:val="24"/>
        </w:rPr>
        <w:t xml:space="preserve"> and modified </w:t>
      </w:r>
      <w:proofErr w:type="spellStart"/>
      <w:r w:rsidRPr="00DA55D2">
        <w:rPr>
          <w:rFonts w:ascii="TimesNewRoman" w:hAnsi="TimesNewRoman"/>
          <w:sz w:val="24"/>
          <w:szCs w:val="24"/>
        </w:rPr>
        <w:t>ridit</w:t>
      </w:r>
      <w:proofErr w:type="spellEnd"/>
      <w:r w:rsidRPr="00DA55D2">
        <w:rPr>
          <w:rFonts w:ascii="TimesNewRoman" w:hAnsi="TimesNewRoman"/>
          <w:sz w:val="24"/>
          <w:szCs w:val="24"/>
        </w:rPr>
        <w:t xml:space="preserve"> analysis. </w:t>
      </w:r>
      <w:r w:rsidRPr="00266C6C">
        <w:rPr>
          <w:rFonts w:ascii="TimesNewRoman" w:hAnsi="TimesNewRoman"/>
          <w:i/>
          <w:sz w:val="24"/>
          <w:szCs w:val="24"/>
        </w:rPr>
        <w:t xml:space="preserve">Am J </w:t>
      </w:r>
      <w:proofErr w:type="spellStart"/>
      <w:r w:rsidRPr="00266C6C">
        <w:rPr>
          <w:rFonts w:ascii="TimesNewRoman" w:hAnsi="TimesNewRoman"/>
          <w:i/>
          <w:sz w:val="24"/>
          <w:szCs w:val="24"/>
        </w:rPr>
        <w:t>Theor</w:t>
      </w:r>
      <w:proofErr w:type="spellEnd"/>
      <w:r w:rsidRPr="00266C6C">
        <w:rPr>
          <w:rFonts w:ascii="TimesNewRoman" w:hAnsi="TimesNewRoman"/>
          <w:i/>
          <w:sz w:val="24"/>
          <w:szCs w:val="24"/>
        </w:rPr>
        <w:t xml:space="preserve"> </w:t>
      </w:r>
      <w:proofErr w:type="spellStart"/>
      <w:r w:rsidRPr="00266C6C">
        <w:rPr>
          <w:rFonts w:ascii="TimesNewRoman" w:hAnsi="TimesNewRoman"/>
          <w:i/>
          <w:sz w:val="24"/>
          <w:szCs w:val="24"/>
        </w:rPr>
        <w:t>Appl</w:t>
      </w:r>
      <w:proofErr w:type="spellEnd"/>
      <w:r w:rsidRPr="00266C6C">
        <w:rPr>
          <w:rFonts w:ascii="TimesNewRoman" w:hAnsi="TimesNewRoman"/>
          <w:i/>
          <w:sz w:val="24"/>
          <w:szCs w:val="24"/>
        </w:rPr>
        <w:t xml:space="preserve"> Stat</w:t>
      </w:r>
      <w:r w:rsidR="00DA55D2">
        <w:rPr>
          <w:rFonts w:ascii="TimesNewRoman" w:hAnsi="TimesNewRoman"/>
          <w:sz w:val="24"/>
          <w:szCs w:val="24"/>
        </w:rPr>
        <w:t>. 2013</w:t>
      </w:r>
      <w:proofErr w:type="gramStart"/>
      <w:r w:rsidR="00DA55D2">
        <w:rPr>
          <w:rFonts w:ascii="TimesNewRoman" w:hAnsi="TimesNewRoman"/>
          <w:sz w:val="24"/>
          <w:szCs w:val="24"/>
        </w:rPr>
        <w:t>;2</w:t>
      </w:r>
      <w:r w:rsidRPr="00DA55D2">
        <w:rPr>
          <w:rFonts w:ascii="TimesNewRoman" w:hAnsi="TimesNewRoman"/>
          <w:sz w:val="24"/>
          <w:szCs w:val="24"/>
        </w:rPr>
        <w:t>:248</w:t>
      </w:r>
      <w:proofErr w:type="gramEnd"/>
      <w:r w:rsidRPr="00DA55D2">
        <w:rPr>
          <w:rFonts w:ascii="TimesNewRoman" w:hAnsi="TimesNewRoman"/>
          <w:sz w:val="24"/>
          <w:szCs w:val="24"/>
        </w:rPr>
        <w:t>-254.</w:t>
      </w:r>
    </w:p>
    <w:p w14:paraId="6C4CF0F8" w14:textId="77777777" w:rsidR="00F251FF" w:rsidRPr="00DA55D2" w:rsidRDefault="00F251FF">
      <w:pPr>
        <w:rPr>
          <w:rFonts w:ascii="TimesNewRoman" w:hAnsi="TimesNewRoman" w:cs="Times New Roman"/>
        </w:rPr>
      </w:pPr>
    </w:p>
    <w:p w14:paraId="5EC550EE" w14:textId="77777777" w:rsidR="00A877D7" w:rsidRPr="00DA55D2" w:rsidRDefault="00481643" w:rsidP="00481643">
      <w:pPr>
        <w:rPr>
          <w:rFonts w:ascii="TimesNewRoman" w:hAnsi="TimesNewRoman" w:cs="Times New Roman"/>
          <w:b/>
        </w:rPr>
      </w:pPr>
      <w:r w:rsidRPr="00DA55D2">
        <w:rPr>
          <w:rFonts w:ascii="TimesNewRoman" w:hAnsi="TimesNewRoman" w:cs="Times New Roman"/>
          <w:b/>
        </w:rPr>
        <w:t xml:space="preserve">Impact of </w:t>
      </w:r>
      <w:proofErr w:type="spellStart"/>
      <w:r w:rsidRPr="00DA55D2">
        <w:rPr>
          <w:rFonts w:ascii="TimesNewRoman" w:hAnsi="TimesNewRoman" w:cs="Times New Roman"/>
          <w:b/>
        </w:rPr>
        <w:t>ursodeoxycholic</w:t>
      </w:r>
      <w:proofErr w:type="spellEnd"/>
      <w:r w:rsidRPr="00DA55D2">
        <w:rPr>
          <w:rFonts w:ascii="TimesNewRoman" w:hAnsi="TimesNewRoman" w:cs="Times New Roman"/>
          <w:b/>
        </w:rPr>
        <w:t xml:space="preserve"> acid</w:t>
      </w:r>
    </w:p>
    <w:p w14:paraId="52BE9799" w14:textId="77777777" w:rsidR="00481643" w:rsidRPr="00DA55D2" w:rsidRDefault="00481643" w:rsidP="00481643">
      <w:pPr>
        <w:rPr>
          <w:rFonts w:ascii="TimesNewRoman" w:hAnsi="TimesNewRoman" w:cs="Times New Roman"/>
        </w:rPr>
      </w:pPr>
    </w:p>
    <w:p w14:paraId="74CA99F4" w14:textId="77777777" w:rsidR="00A877D7" w:rsidRPr="00DA55D2" w:rsidRDefault="00A877D7" w:rsidP="00A877D7">
      <w:pPr>
        <w:pStyle w:val="NormalWeb"/>
        <w:spacing w:before="2" w:after="2" w:line="480" w:lineRule="auto"/>
        <w:rPr>
          <w:rFonts w:ascii="TimesNewRoman" w:hAnsi="TimesNewRoman"/>
          <w:sz w:val="24"/>
          <w:szCs w:val="24"/>
        </w:rPr>
      </w:pPr>
      <w:r w:rsidRPr="00DA55D2">
        <w:rPr>
          <w:rFonts w:ascii="TimesNewRoman" w:hAnsi="TimesNewRoman"/>
          <w:sz w:val="24"/>
          <w:szCs w:val="24"/>
        </w:rPr>
        <w:t xml:space="preserve">In the original study protocol, a combination of </w:t>
      </w:r>
      <w:proofErr w:type="spellStart"/>
      <w:r w:rsidRPr="00DA55D2">
        <w:rPr>
          <w:rFonts w:ascii="TimesNewRoman" w:hAnsi="TimesNewRoman"/>
          <w:sz w:val="24"/>
          <w:szCs w:val="24"/>
        </w:rPr>
        <w:t>ursodeoxycholic</w:t>
      </w:r>
      <w:proofErr w:type="spellEnd"/>
      <w:r w:rsidRPr="00DA55D2">
        <w:rPr>
          <w:rFonts w:ascii="TimesNewRoman" w:hAnsi="TimesNewRoman"/>
          <w:sz w:val="24"/>
          <w:szCs w:val="24"/>
        </w:rPr>
        <w:t xml:space="preserve"> acid (UDCA) and </w:t>
      </w:r>
      <w:proofErr w:type="spellStart"/>
      <w:r w:rsidRPr="00DA55D2">
        <w:rPr>
          <w:rFonts w:ascii="TimesNewRoman" w:hAnsi="TimesNewRoman"/>
          <w:sz w:val="24"/>
          <w:szCs w:val="24"/>
        </w:rPr>
        <w:t>cholic</w:t>
      </w:r>
      <w:proofErr w:type="spellEnd"/>
      <w:r w:rsidRPr="00DA55D2">
        <w:rPr>
          <w:rFonts w:ascii="TimesNewRoman" w:hAnsi="TimesNewRoman"/>
          <w:sz w:val="24"/>
          <w:szCs w:val="24"/>
        </w:rPr>
        <w:t xml:space="preserve"> acid was stipulated as study medication. However, after analysis of urinary bile acids suggested that UDCA could interfere with the intestinal absorption of </w:t>
      </w:r>
      <w:proofErr w:type="spellStart"/>
      <w:r w:rsidRPr="00DA55D2">
        <w:rPr>
          <w:rFonts w:ascii="TimesNewRoman" w:hAnsi="TimesNewRoman"/>
          <w:sz w:val="24"/>
          <w:szCs w:val="24"/>
        </w:rPr>
        <w:t>cholic</w:t>
      </w:r>
      <w:proofErr w:type="spellEnd"/>
      <w:r w:rsidRPr="00DA55D2">
        <w:rPr>
          <w:rFonts w:ascii="TimesNewRoman" w:hAnsi="TimesNewRoman"/>
          <w:sz w:val="24"/>
          <w:szCs w:val="24"/>
        </w:rPr>
        <w:t xml:space="preserve"> acid, UDCA was removed as study medication and patients were administered </w:t>
      </w:r>
      <w:proofErr w:type="spellStart"/>
      <w:r w:rsidRPr="00DA55D2">
        <w:rPr>
          <w:rFonts w:ascii="TimesNewRoman" w:hAnsi="TimesNewRoman"/>
          <w:sz w:val="24"/>
          <w:szCs w:val="24"/>
        </w:rPr>
        <w:t>cholic</w:t>
      </w:r>
      <w:proofErr w:type="spellEnd"/>
      <w:r w:rsidRPr="00DA55D2">
        <w:rPr>
          <w:rFonts w:ascii="TimesNewRoman" w:hAnsi="TimesNewRoman"/>
          <w:sz w:val="24"/>
          <w:szCs w:val="24"/>
        </w:rPr>
        <w:t xml:space="preserve"> acid as monotherapy.</w:t>
      </w:r>
    </w:p>
    <w:p w14:paraId="1B810986" w14:textId="77777777" w:rsidR="00A877D7" w:rsidRPr="00DA55D2" w:rsidRDefault="00A877D7" w:rsidP="00F6454B">
      <w:pPr>
        <w:pStyle w:val="NormalWeb"/>
        <w:spacing w:before="2" w:after="2" w:line="480" w:lineRule="auto"/>
        <w:rPr>
          <w:rFonts w:ascii="TimesNewRoman" w:hAnsi="TimesNewRoman"/>
          <w:sz w:val="24"/>
          <w:szCs w:val="24"/>
        </w:rPr>
      </w:pPr>
    </w:p>
    <w:p w14:paraId="4057121A" w14:textId="77777777" w:rsidR="00F6454B" w:rsidRPr="00DA55D2" w:rsidRDefault="00F6454B" w:rsidP="00F6454B">
      <w:pPr>
        <w:pStyle w:val="NormalWeb"/>
        <w:spacing w:before="2" w:after="2" w:line="480" w:lineRule="auto"/>
        <w:rPr>
          <w:rFonts w:ascii="TimesNewRoman" w:hAnsi="TimesNewRoman"/>
          <w:sz w:val="24"/>
          <w:szCs w:val="24"/>
        </w:rPr>
      </w:pPr>
      <w:r w:rsidRPr="00DA55D2">
        <w:rPr>
          <w:rFonts w:ascii="TimesNewRoman" w:hAnsi="TimesNewRoman"/>
          <w:sz w:val="24"/>
          <w:szCs w:val="24"/>
        </w:rPr>
        <w:t xml:space="preserve">Patients with and without concomitant UDCA treatment showed statistically significant improvements in urinary bile acids from pre- to post-treatment, indicating that UDCA had no impact on the overall efficacy of </w:t>
      </w:r>
      <w:proofErr w:type="spellStart"/>
      <w:r w:rsidRPr="00DA55D2">
        <w:rPr>
          <w:rFonts w:ascii="TimesNewRoman" w:hAnsi="TimesNewRoman"/>
          <w:sz w:val="24"/>
          <w:szCs w:val="24"/>
        </w:rPr>
        <w:t>cholic</w:t>
      </w:r>
      <w:proofErr w:type="spellEnd"/>
      <w:r w:rsidRPr="00DA55D2">
        <w:rPr>
          <w:rFonts w:ascii="TimesNewRoman" w:hAnsi="TimesNewRoman"/>
          <w:sz w:val="24"/>
          <w:szCs w:val="24"/>
        </w:rPr>
        <w:t xml:space="preserve"> acid treatment. </w:t>
      </w:r>
    </w:p>
    <w:p w14:paraId="675E40AA" w14:textId="77777777" w:rsidR="00F6454B" w:rsidRPr="00DA55D2" w:rsidRDefault="00F6454B" w:rsidP="00F6454B">
      <w:pPr>
        <w:pStyle w:val="NormalWeb"/>
        <w:spacing w:before="2" w:after="2" w:line="480" w:lineRule="auto"/>
        <w:rPr>
          <w:rFonts w:ascii="TimesNewRoman" w:hAnsi="TimesNewRoman"/>
          <w:sz w:val="24"/>
          <w:szCs w:val="24"/>
        </w:rPr>
      </w:pPr>
    </w:p>
    <w:p w14:paraId="25E3B611" w14:textId="77777777" w:rsidR="00F6454B" w:rsidRPr="00DA55D2" w:rsidRDefault="00F6454B" w:rsidP="00F6454B">
      <w:pPr>
        <w:pStyle w:val="NormalWeb"/>
        <w:spacing w:before="2" w:after="2" w:line="480" w:lineRule="auto"/>
        <w:rPr>
          <w:rFonts w:ascii="TimesNewRoman" w:hAnsi="TimesNewRoman"/>
          <w:sz w:val="24"/>
          <w:szCs w:val="24"/>
        </w:rPr>
      </w:pPr>
      <w:r w:rsidRPr="00DA55D2">
        <w:rPr>
          <w:rFonts w:ascii="TimesNewRoman" w:hAnsi="TimesNewRoman"/>
          <w:sz w:val="24"/>
          <w:szCs w:val="24"/>
        </w:rPr>
        <w:t xml:space="preserve">Patients with and without concomitant UDCA treatment showed statistically significant improvements in serum ALT and AST from pre- to post-treatment, indicating that UDCA </w:t>
      </w:r>
      <w:r w:rsidRPr="00DA55D2">
        <w:rPr>
          <w:rFonts w:ascii="TimesNewRoman" w:hAnsi="TimesNewRoman"/>
          <w:sz w:val="24"/>
          <w:szCs w:val="24"/>
        </w:rPr>
        <w:lastRenderedPageBreak/>
        <w:t xml:space="preserve">had no impact on the overall efficacy of </w:t>
      </w:r>
      <w:proofErr w:type="spellStart"/>
      <w:r w:rsidRPr="00DA55D2">
        <w:rPr>
          <w:rFonts w:ascii="TimesNewRoman" w:hAnsi="TimesNewRoman"/>
          <w:sz w:val="24"/>
          <w:szCs w:val="24"/>
        </w:rPr>
        <w:t>cholic</w:t>
      </w:r>
      <w:proofErr w:type="spellEnd"/>
      <w:r w:rsidRPr="00DA55D2">
        <w:rPr>
          <w:rFonts w:ascii="TimesNewRoman" w:hAnsi="TimesNewRoman"/>
          <w:sz w:val="24"/>
          <w:szCs w:val="24"/>
        </w:rPr>
        <w:t xml:space="preserve"> acid treatment. The improvements were generally comparable for serum ALT and AST values.</w:t>
      </w:r>
    </w:p>
    <w:p w14:paraId="2BCC6AC4" w14:textId="77777777" w:rsidR="00F6454B" w:rsidRPr="00DA55D2" w:rsidRDefault="00F6454B" w:rsidP="00F6454B">
      <w:pPr>
        <w:pStyle w:val="NormalWeb"/>
        <w:spacing w:before="2" w:after="2" w:line="480" w:lineRule="auto"/>
        <w:rPr>
          <w:rFonts w:ascii="TimesNewRoman" w:hAnsi="TimesNewRoman"/>
          <w:sz w:val="24"/>
          <w:szCs w:val="24"/>
        </w:rPr>
      </w:pPr>
    </w:p>
    <w:p w14:paraId="5C28AAB5" w14:textId="77777777" w:rsidR="00F6454B" w:rsidRPr="00DA55D2" w:rsidRDefault="00F6454B" w:rsidP="00F6454B">
      <w:pPr>
        <w:pStyle w:val="NormalWeb"/>
        <w:spacing w:before="2" w:after="2" w:line="480" w:lineRule="auto"/>
        <w:rPr>
          <w:rFonts w:ascii="TimesNewRoman" w:hAnsi="TimesNewRoman"/>
          <w:b/>
          <w:sz w:val="24"/>
          <w:szCs w:val="24"/>
        </w:rPr>
      </w:pPr>
      <w:r w:rsidRPr="00DA55D2">
        <w:rPr>
          <w:rFonts w:ascii="TimesNewRoman" w:hAnsi="TimesNewRoman"/>
          <w:b/>
          <w:sz w:val="24"/>
          <w:szCs w:val="24"/>
        </w:rPr>
        <w:t>Best-to-best and worst-to worst sensitivity analyses</w:t>
      </w:r>
    </w:p>
    <w:p w14:paraId="1F29C2DD" w14:textId="77777777" w:rsidR="00F6454B" w:rsidRPr="00DA55D2" w:rsidRDefault="00F6454B" w:rsidP="00F6454B">
      <w:pPr>
        <w:pStyle w:val="NormalWeb"/>
        <w:spacing w:before="2" w:after="2" w:line="480" w:lineRule="auto"/>
        <w:rPr>
          <w:rFonts w:ascii="TimesNewRoman" w:hAnsi="TimesNewRoman"/>
          <w:sz w:val="24"/>
          <w:szCs w:val="24"/>
        </w:rPr>
      </w:pPr>
      <w:r w:rsidRPr="00DA55D2">
        <w:rPr>
          <w:rFonts w:ascii="TimesNewRoman" w:hAnsi="TimesNewRoman"/>
          <w:sz w:val="24"/>
          <w:szCs w:val="24"/>
        </w:rPr>
        <w:t xml:space="preserve">Statistically significant improvements in urine bile acid scores were also shown in the best-to-best analysis, with the exception of patients with ZSD in the ITT set.  </w:t>
      </w:r>
    </w:p>
    <w:p w14:paraId="20255B59" w14:textId="77777777" w:rsidR="00F6454B" w:rsidRPr="00DA55D2" w:rsidRDefault="00F6454B" w:rsidP="00F6454B">
      <w:pPr>
        <w:pStyle w:val="NormalWeb"/>
        <w:spacing w:before="2" w:after="2" w:line="480" w:lineRule="auto"/>
        <w:rPr>
          <w:rFonts w:ascii="TimesNewRoman" w:hAnsi="TimesNewRoman"/>
          <w:sz w:val="24"/>
          <w:szCs w:val="24"/>
        </w:rPr>
      </w:pPr>
    </w:p>
    <w:p w14:paraId="542E2E9C" w14:textId="77777777" w:rsidR="00F6454B" w:rsidRPr="00DA55D2" w:rsidRDefault="00F6454B" w:rsidP="00F6454B">
      <w:pPr>
        <w:pStyle w:val="NormalWeb"/>
        <w:spacing w:before="2" w:after="2" w:line="480" w:lineRule="auto"/>
        <w:rPr>
          <w:rFonts w:ascii="TimesNewRoman" w:hAnsi="TimesNewRoman"/>
          <w:sz w:val="24"/>
          <w:szCs w:val="24"/>
        </w:rPr>
      </w:pPr>
      <w:r w:rsidRPr="00DA55D2">
        <w:rPr>
          <w:rFonts w:ascii="TimesNewRoman" w:hAnsi="TimesNewRoman"/>
          <w:sz w:val="24"/>
          <w:szCs w:val="24"/>
        </w:rPr>
        <w:t xml:space="preserve">Statistically significant improvements in liver chemistries with treatment were also shown in the best-to-best </w:t>
      </w:r>
      <w:proofErr w:type="spellStart"/>
      <w:r w:rsidRPr="00DA55D2">
        <w:rPr>
          <w:rFonts w:ascii="TimesNewRoman" w:hAnsi="TimesNewRoman"/>
          <w:sz w:val="24"/>
          <w:szCs w:val="24"/>
        </w:rPr>
        <w:t>mITT</w:t>
      </w:r>
      <w:proofErr w:type="spellEnd"/>
      <w:r w:rsidRPr="00DA55D2">
        <w:rPr>
          <w:rFonts w:ascii="TimesNewRoman" w:hAnsi="TimesNewRoman"/>
          <w:sz w:val="24"/>
          <w:szCs w:val="24"/>
        </w:rPr>
        <w:t xml:space="preserve"> (</w:t>
      </w:r>
      <w:r w:rsidRPr="00DA55D2">
        <w:rPr>
          <w:rFonts w:ascii="TimesNewRoman" w:hAnsi="TimesNewRoman"/>
          <w:i/>
          <w:sz w:val="24"/>
          <w:szCs w:val="24"/>
        </w:rPr>
        <w:t>P</w:t>
      </w:r>
      <w:r w:rsidRPr="00DA55D2">
        <w:rPr>
          <w:rFonts w:ascii="TimesNewRoman" w:hAnsi="TimesNewRoman"/>
          <w:sz w:val="24"/>
          <w:szCs w:val="24"/>
        </w:rPr>
        <w:t xml:space="preserve">=0.002 for ALT; </w:t>
      </w:r>
      <w:r w:rsidRPr="00DA55D2">
        <w:rPr>
          <w:rFonts w:ascii="TimesNewRoman" w:hAnsi="TimesNewRoman"/>
          <w:i/>
          <w:sz w:val="24"/>
          <w:szCs w:val="24"/>
        </w:rPr>
        <w:t>P</w:t>
      </w:r>
      <w:r w:rsidRPr="00DA55D2">
        <w:rPr>
          <w:rFonts w:ascii="TimesNewRoman" w:hAnsi="TimesNewRoman"/>
          <w:sz w:val="24"/>
          <w:szCs w:val="24"/>
        </w:rPr>
        <w:t>=0.002 for AST) and ITT analyses (</w:t>
      </w:r>
      <w:r w:rsidRPr="00DA55D2">
        <w:rPr>
          <w:rFonts w:ascii="TimesNewRoman" w:hAnsi="TimesNewRoman"/>
          <w:i/>
          <w:sz w:val="24"/>
          <w:szCs w:val="24"/>
        </w:rPr>
        <w:t>P</w:t>
      </w:r>
      <w:r w:rsidRPr="00DA55D2">
        <w:rPr>
          <w:rFonts w:ascii="TimesNewRoman" w:hAnsi="TimesNewRoman"/>
          <w:sz w:val="24"/>
          <w:szCs w:val="24"/>
        </w:rPr>
        <w:t xml:space="preserve">=0.002 for ALT; </w:t>
      </w:r>
      <w:r w:rsidRPr="00DA55D2">
        <w:rPr>
          <w:rFonts w:ascii="TimesNewRoman" w:hAnsi="TimesNewRoman"/>
          <w:i/>
          <w:sz w:val="24"/>
          <w:szCs w:val="24"/>
        </w:rPr>
        <w:t>P</w:t>
      </w:r>
      <w:r w:rsidRPr="00DA55D2">
        <w:rPr>
          <w:rFonts w:ascii="TimesNewRoman" w:hAnsi="TimesNewRoman"/>
          <w:sz w:val="24"/>
          <w:szCs w:val="24"/>
        </w:rPr>
        <w:t xml:space="preserve">=0.003 for AST) for patients with SED. In patients with ZSD, there were marked but </w:t>
      </w:r>
      <w:proofErr w:type="spellStart"/>
      <w:r w:rsidRPr="00DA55D2">
        <w:rPr>
          <w:rFonts w:ascii="TimesNewRoman" w:hAnsi="TimesNewRoman"/>
          <w:sz w:val="24"/>
          <w:szCs w:val="24"/>
        </w:rPr>
        <w:t>nonstatistically</w:t>
      </w:r>
      <w:proofErr w:type="spellEnd"/>
      <w:r w:rsidRPr="00DA55D2">
        <w:rPr>
          <w:rFonts w:ascii="TimesNewRoman" w:hAnsi="TimesNewRoman"/>
          <w:sz w:val="24"/>
          <w:szCs w:val="24"/>
        </w:rPr>
        <w:t xml:space="preserve"> significant reductions in liver chemistries in the </w:t>
      </w:r>
      <w:proofErr w:type="spellStart"/>
      <w:r w:rsidRPr="00DA55D2">
        <w:rPr>
          <w:rFonts w:ascii="TimesNewRoman" w:hAnsi="TimesNewRoman"/>
          <w:sz w:val="24"/>
          <w:szCs w:val="24"/>
        </w:rPr>
        <w:t>mITT</w:t>
      </w:r>
      <w:proofErr w:type="spellEnd"/>
      <w:r w:rsidRPr="00DA55D2">
        <w:rPr>
          <w:rFonts w:ascii="TimesNewRoman" w:hAnsi="TimesNewRoman"/>
          <w:sz w:val="24"/>
          <w:szCs w:val="24"/>
        </w:rPr>
        <w:t xml:space="preserve"> (</w:t>
      </w:r>
      <w:r w:rsidRPr="00DA55D2">
        <w:rPr>
          <w:rFonts w:ascii="TimesNewRoman" w:hAnsi="TimesNewRoman"/>
          <w:i/>
          <w:sz w:val="24"/>
          <w:szCs w:val="24"/>
        </w:rPr>
        <w:t>P</w:t>
      </w:r>
      <w:r w:rsidRPr="00DA55D2">
        <w:rPr>
          <w:rFonts w:ascii="TimesNewRoman" w:hAnsi="TimesNewRoman"/>
          <w:sz w:val="24"/>
          <w:szCs w:val="24"/>
        </w:rPr>
        <w:t xml:space="preserve">=0.11 for ALT; </w:t>
      </w:r>
      <w:r w:rsidRPr="00DA55D2">
        <w:rPr>
          <w:rFonts w:ascii="TimesNewRoman" w:hAnsi="TimesNewRoman"/>
          <w:i/>
          <w:sz w:val="24"/>
          <w:szCs w:val="24"/>
        </w:rPr>
        <w:t>P</w:t>
      </w:r>
      <w:r w:rsidRPr="00DA55D2">
        <w:rPr>
          <w:rFonts w:ascii="TimesNewRoman" w:hAnsi="TimesNewRoman"/>
          <w:sz w:val="24"/>
          <w:szCs w:val="24"/>
        </w:rPr>
        <w:t>=0.50 for AST) and ITT analyses (</w:t>
      </w:r>
      <w:r w:rsidRPr="00DA55D2">
        <w:rPr>
          <w:rFonts w:ascii="TimesNewRoman" w:hAnsi="TimesNewRoman"/>
          <w:i/>
          <w:sz w:val="24"/>
          <w:szCs w:val="24"/>
        </w:rPr>
        <w:t>P</w:t>
      </w:r>
      <w:r w:rsidRPr="00DA55D2">
        <w:rPr>
          <w:rFonts w:ascii="TimesNewRoman" w:hAnsi="TimesNewRoman"/>
          <w:sz w:val="24"/>
          <w:szCs w:val="24"/>
        </w:rPr>
        <w:t>=0.09 for ALT;</w:t>
      </w:r>
      <w:r w:rsidRPr="00DA55D2">
        <w:rPr>
          <w:rFonts w:ascii="TimesNewRoman" w:hAnsi="TimesNewRoman"/>
          <w:i/>
          <w:sz w:val="24"/>
          <w:szCs w:val="24"/>
        </w:rPr>
        <w:t xml:space="preserve"> P</w:t>
      </w:r>
      <w:r w:rsidRPr="00DA55D2">
        <w:rPr>
          <w:rFonts w:ascii="TimesNewRoman" w:hAnsi="TimesNewRoman"/>
          <w:sz w:val="24"/>
          <w:szCs w:val="24"/>
        </w:rPr>
        <w:t xml:space="preserve">=0.49 for AST). </w:t>
      </w:r>
    </w:p>
    <w:p w14:paraId="0ABF093E" w14:textId="77777777" w:rsidR="00F6454B" w:rsidRPr="00DA55D2" w:rsidRDefault="00F6454B" w:rsidP="00F6454B">
      <w:pPr>
        <w:pStyle w:val="NormalWeb"/>
        <w:spacing w:before="2" w:after="2" w:line="480" w:lineRule="auto"/>
        <w:rPr>
          <w:rFonts w:ascii="TimesNewRoman" w:hAnsi="TimesNewRoman"/>
          <w:sz w:val="24"/>
          <w:szCs w:val="24"/>
        </w:rPr>
      </w:pPr>
    </w:p>
    <w:p w14:paraId="5DD23895" w14:textId="77777777" w:rsidR="00F6454B" w:rsidRPr="00DA55D2" w:rsidRDefault="00F6454B" w:rsidP="00F6454B">
      <w:pPr>
        <w:pStyle w:val="NormalWeb"/>
        <w:spacing w:before="2" w:after="2" w:line="480" w:lineRule="auto"/>
        <w:rPr>
          <w:rFonts w:ascii="TimesNewRoman" w:hAnsi="TimesNewRoman"/>
          <w:sz w:val="24"/>
          <w:szCs w:val="24"/>
        </w:rPr>
      </w:pPr>
      <w:r w:rsidRPr="00DA55D2">
        <w:rPr>
          <w:rFonts w:ascii="TimesNewRoman" w:hAnsi="TimesNewRoman"/>
          <w:sz w:val="24"/>
          <w:szCs w:val="24"/>
        </w:rPr>
        <w:t xml:space="preserve">No statistically significant improvements in height or weight percentiles were shown in the best-to-best or worst-to-worst </w:t>
      </w:r>
      <w:proofErr w:type="spellStart"/>
      <w:r w:rsidRPr="00DA55D2">
        <w:rPr>
          <w:rFonts w:ascii="TimesNewRoman" w:hAnsi="TimesNewRoman"/>
          <w:sz w:val="24"/>
          <w:szCs w:val="24"/>
        </w:rPr>
        <w:t>mITT</w:t>
      </w:r>
      <w:proofErr w:type="spellEnd"/>
      <w:r w:rsidRPr="00DA55D2">
        <w:rPr>
          <w:rFonts w:ascii="TimesNewRoman" w:hAnsi="TimesNewRoman"/>
          <w:sz w:val="24"/>
          <w:szCs w:val="24"/>
        </w:rPr>
        <w:t xml:space="preserve"> and ITT analyses for patients with SED or those with ZSD. </w:t>
      </w:r>
    </w:p>
    <w:p w14:paraId="64D19AA5" w14:textId="77777777" w:rsidR="00F6454B" w:rsidRDefault="00F6454B" w:rsidP="00F6454B">
      <w:pPr>
        <w:pStyle w:val="NormalWeb"/>
        <w:spacing w:before="2" w:after="2" w:line="480" w:lineRule="auto"/>
        <w:rPr>
          <w:rFonts w:ascii="TimesNewRoman" w:hAnsi="TimesNewRoman"/>
          <w:sz w:val="24"/>
          <w:szCs w:val="24"/>
        </w:rPr>
      </w:pPr>
    </w:p>
    <w:p w14:paraId="70E84F71" w14:textId="005D2709" w:rsidR="000C02DB" w:rsidRPr="000C02DB" w:rsidRDefault="000C02DB" w:rsidP="000C02DB">
      <w:pPr>
        <w:spacing w:line="480" w:lineRule="auto"/>
        <w:outlineLvl w:val="0"/>
        <w:rPr>
          <w:rFonts w:ascii="TimesNewRoman" w:hAnsi="TimesNewRoman" w:cs="Times New Roman"/>
          <w:b/>
        </w:rPr>
      </w:pPr>
      <w:r w:rsidRPr="000C02DB">
        <w:rPr>
          <w:rFonts w:ascii="TimesNewRoman" w:hAnsi="TimesNewRoman" w:cs="Times New Roman"/>
          <w:b/>
        </w:rPr>
        <w:t xml:space="preserve">Effect of </w:t>
      </w:r>
      <w:proofErr w:type="spellStart"/>
      <w:r w:rsidRPr="000C02DB">
        <w:rPr>
          <w:rFonts w:ascii="TimesNewRoman" w:hAnsi="TimesNewRoman" w:cs="Times New Roman"/>
          <w:b/>
        </w:rPr>
        <w:t>cholic</w:t>
      </w:r>
      <w:proofErr w:type="spellEnd"/>
      <w:r w:rsidRPr="000C02DB">
        <w:rPr>
          <w:rFonts w:ascii="TimesNewRoman" w:hAnsi="TimesNewRoman" w:cs="Times New Roman"/>
          <w:b/>
        </w:rPr>
        <w:t xml:space="preserve"> acid treatment on liver histology</w:t>
      </w:r>
    </w:p>
    <w:p w14:paraId="06CF9E96" w14:textId="7F4CC936" w:rsidR="000C02DB" w:rsidRDefault="000C02DB" w:rsidP="00F6454B">
      <w:pPr>
        <w:pStyle w:val="NormalWeb"/>
        <w:spacing w:before="2" w:after="2" w:line="480" w:lineRule="auto"/>
        <w:rPr>
          <w:rFonts w:ascii="TimesNewRoman" w:hAnsi="TimesNewRoman"/>
          <w:sz w:val="24"/>
          <w:szCs w:val="24"/>
        </w:rPr>
      </w:pPr>
      <w:r w:rsidRPr="000C02DB">
        <w:rPr>
          <w:rFonts w:ascii="TimesNewRoman" w:hAnsi="TimesNewRoman"/>
          <w:b/>
          <w:sz w:val="24"/>
          <w:szCs w:val="24"/>
        </w:rPr>
        <w:t>Figure S1.</w:t>
      </w:r>
      <w:r>
        <w:rPr>
          <w:rFonts w:ascii="TimesNewRoman" w:hAnsi="TimesNewRoman"/>
          <w:sz w:val="24"/>
          <w:szCs w:val="24"/>
        </w:rPr>
        <w:t xml:space="preserve"> </w:t>
      </w:r>
      <w:proofErr w:type="gramStart"/>
      <w:r w:rsidRPr="000C02DB">
        <w:rPr>
          <w:rFonts w:ascii="TimesNewRoman" w:hAnsi="TimesNewRoman"/>
          <w:sz w:val="24"/>
          <w:szCs w:val="24"/>
        </w:rPr>
        <w:t xml:space="preserve">Before (A) and after (B) 10 months therapy with </w:t>
      </w:r>
      <w:proofErr w:type="spellStart"/>
      <w:r w:rsidRPr="000C02DB">
        <w:rPr>
          <w:rFonts w:ascii="TimesNewRoman" w:hAnsi="TimesNewRoman"/>
          <w:sz w:val="24"/>
          <w:szCs w:val="24"/>
        </w:rPr>
        <w:t>cholic</w:t>
      </w:r>
      <w:proofErr w:type="spellEnd"/>
      <w:r w:rsidRPr="000C02DB">
        <w:rPr>
          <w:rFonts w:ascii="TimesNewRoman" w:hAnsi="TimesNewRoman"/>
          <w:sz w:val="24"/>
          <w:szCs w:val="24"/>
        </w:rPr>
        <w:t xml:space="preserve"> acid, in a </w:t>
      </w:r>
      <w:r w:rsidRPr="000C02DB">
        <w:rPr>
          <w:rFonts w:ascii="TimesNewRoman" w:hAnsi="TimesNewRoman"/>
          <w:sz w:val="24"/>
          <w:szCs w:val="24"/>
        </w:rPr>
        <w:br/>
        <w:t>13-year-old boy with 3β-HSD deficiency.</w:t>
      </w:r>
      <w:proofErr w:type="gramEnd"/>
      <w:r w:rsidRPr="000C02DB">
        <w:rPr>
          <w:rFonts w:ascii="TimesNewRoman" w:hAnsi="TimesNewRoman"/>
          <w:sz w:val="24"/>
          <w:szCs w:val="24"/>
        </w:rPr>
        <w:t xml:space="preserve"> Fibrosis is stable, glycogen content is restored, and inflammation subsides. </w:t>
      </w:r>
      <w:proofErr w:type="gramStart"/>
      <w:r w:rsidRPr="000C02DB">
        <w:rPr>
          <w:rFonts w:ascii="TimesNewRoman" w:hAnsi="TimesNewRoman"/>
          <w:sz w:val="24"/>
          <w:szCs w:val="24"/>
        </w:rPr>
        <w:t xml:space="preserve">Before (C) and after (D) 10 months therapy with </w:t>
      </w:r>
      <w:proofErr w:type="spellStart"/>
      <w:r w:rsidRPr="000C02DB">
        <w:rPr>
          <w:rFonts w:ascii="TimesNewRoman" w:hAnsi="TimesNewRoman"/>
          <w:sz w:val="24"/>
          <w:szCs w:val="24"/>
        </w:rPr>
        <w:t>cholic</w:t>
      </w:r>
      <w:proofErr w:type="spellEnd"/>
      <w:r w:rsidRPr="000C02DB">
        <w:rPr>
          <w:rFonts w:ascii="TimesNewRoman" w:hAnsi="TimesNewRoman"/>
          <w:sz w:val="24"/>
          <w:szCs w:val="24"/>
        </w:rPr>
        <w:t xml:space="preserve"> acid in a 10-week-old girl with racemase deficiency.</w:t>
      </w:r>
      <w:proofErr w:type="gramEnd"/>
      <w:r w:rsidRPr="000C02DB">
        <w:rPr>
          <w:rFonts w:ascii="TimesNewRoman" w:hAnsi="TimesNewRoman"/>
          <w:sz w:val="24"/>
          <w:szCs w:val="24"/>
        </w:rPr>
        <w:t xml:space="preserve"> Giant cells disappear; inflammation and fibrosis are absent.</w:t>
      </w:r>
    </w:p>
    <w:p w14:paraId="10AF40D1" w14:textId="6756C799" w:rsidR="000C02DB" w:rsidRDefault="00583DD4" w:rsidP="000C02DB">
      <w:pPr>
        <w:pStyle w:val="NormalWeb"/>
        <w:spacing w:before="2" w:after="2" w:line="480" w:lineRule="auto"/>
        <w:rPr>
          <w:rFonts w:ascii="TimesNewRoman" w:hAnsi="TimesNewRoman"/>
          <w:sz w:val="24"/>
          <w:szCs w:val="24"/>
        </w:rPr>
      </w:pPr>
      <w:r>
        <w:rPr>
          <w:rFonts w:ascii="TimesNewRoman" w:hAnsi="TimesNewRoman"/>
          <w:noProof/>
          <w:sz w:val="24"/>
          <w:szCs w:val="24"/>
        </w:rPr>
        <w:lastRenderedPageBreak/>
        <w:drawing>
          <wp:inline distT="0" distB="0" distL="0" distR="0" wp14:anchorId="073424B5" wp14:editId="6501ACFE">
            <wp:extent cx="5513832" cy="4145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new.tif"/>
                    <pic:cNvPicPr/>
                  </pic:nvPicPr>
                  <pic:blipFill>
                    <a:blip r:embed="rId6">
                      <a:extLst>
                        <a:ext uri="{28A0092B-C50C-407E-A947-70E740481C1C}">
                          <a14:useLocalDpi xmlns:a14="http://schemas.microsoft.com/office/drawing/2010/main" val="0"/>
                        </a:ext>
                      </a:extLst>
                    </a:blip>
                    <a:stretch>
                      <a:fillRect/>
                    </a:stretch>
                  </pic:blipFill>
                  <pic:spPr>
                    <a:xfrm>
                      <a:off x="0" y="0"/>
                      <a:ext cx="5513832" cy="4145280"/>
                    </a:xfrm>
                    <a:prstGeom prst="rect">
                      <a:avLst/>
                    </a:prstGeom>
                  </pic:spPr>
                </pic:pic>
              </a:graphicData>
            </a:graphic>
          </wp:inline>
        </w:drawing>
      </w:r>
    </w:p>
    <w:p w14:paraId="2E563C6A" w14:textId="77777777" w:rsidR="000C02DB" w:rsidRDefault="000C02DB" w:rsidP="000C02DB">
      <w:pPr>
        <w:pStyle w:val="NormalWeb"/>
        <w:spacing w:before="2" w:after="2" w:line="480" w:lineRule="auto"/>
        <w:rPr>
          <w:rFonts w:ascii="TimesNewRoman" w:hAnsi="TimesNewRoman"/>
          <w:sz w:val="24"/>
          <w:szCs w:val="24"/>
        </w:rPr>
      </w:pPr>
    </w:p>
    <w:p w14:paraId="3D586FFA" w14:textId="77777777" w:rsidR="000C02DB" w:rsidRDefault="000C02DB" w:rsidP="000C02DB">
      <w:pPr>
        <w:pStyle w:val="NormalWeb"/>
        <w:spacing w:before="2" w:after="2" w:line="480" w:lineRule="auto"/>
        <w:rPr>
          <w:rFonts w:ascii="TimesNewRoman" w:hAnsi="TimesNewRoman"/>
          <w:sz w:val="24"/>
          <w:szCs w:val="24"/>
        </w:rPr>
      </w:pPr>
    </w:p>
    <w:p w14:paraId="1676ACE0" w14:textId="61D2C3EC" w:rsidR="00583DD4" w:rsidRDefault="00583DD4" w:rsidP="000C02DB">
      <w:pPr>
        <w:pStyle w:val="NormalWeb"/>
        <w:spacing w:before="2" w:after="2" w:line="480" w:lineRule="auto"/>
        <w:rPr>
          <w:rFonts w:ascii="TimesNewRoman" w:hAnsi="TimesNewRoman"/>
          <w:b/>
          <w:sz w:val="24"/>
          <w:szCs w:val="24"/>
        </w:rPr>
      </w:pPr>
      <w:r>
        <w:rPr>
          <w:rFonts w:ascii="TimesNewRoman" w:hAnsi="TimesNewRoman"/>
          <w:b/>
          <w:sz w:val="24"/>
          <w:szCs w:val="24"/>
        </w:rPr>
        <w:t>Safety assessments</w:t>
      </w:r>
    </w:p>
    <w:p w14:paraId="1C1DBD8A" w14:textId="50B505AA" w:rsidR="000C02DB" w:rsidRPr="00DD3B04" w:rsidRDefault="000C02DB" w:rsidP="000C02DB">
      <w:pPr>
        <w:pStyle w:val="NormalWeb"/>
        <w:spacing w:before="2" w:after="2" w:line="480" w:lineRule="auto"/>
        <w:rPr>
          <w:rFonts w:ascii="TimesNewRoman" w:hAnsi="TimesNewRoman"/>
          <w:sz w:val="24"/>
          <w:szCs w:val="24"/>
        </w:rPr>
      </w:pPr>
      <w:r>
        <w:rPr>
          <w:rFonts w:ascii="TimesNewRoman" w:hAnsi="TimesNewRoman"/>
          <w:b/>
          <w:sz w:val="24"/>
          <w:szCs w:val="24"/>
        </w:rPr>
        <w:t>Table S1</w:t>
      </w:r>
      <w:r w:rsidRPr="00DD3B04">
        <w:rPr>
          <w:rFonts w:ascii="TimesNewRoman" w:hAnsi="TimesNewRoman"/>
          <w:b/>
          <w:sz w:val="24"/>
          <w:szCs w:val="24"/>
        </w:rPr>
        <w:t xml:space="preserve">. Summary of Treatment-Emergent Adverse Events Overall and by Disorder Type, Safety Population (N=79) </w:t>
      </w:r>
    </w:p>
    <w:p w14:paraId="3BFD26DB" w14:textId="77777777" w:rsidR="000C02DB" w:rsidRPr="00DD3B04" w:rsidRDefault="000C02DB" w:rsidP="000C02DB">
      <w:pPr>
        <w:pStyle w:val="NormalWeb"/>
        <w:spacing w:before="2" w:after="2" w:line="480" w:lineRule="auto"/>
        <w:rPr>
          <w:rFonts w:ascii="TimesNewRoman" w:hAnsi="TimesNewRoman"/>
          <w:sz w:val="24"/>
          <w:szCs w:val="24"/>
        </w:rPr>
      </w:pPr>
    </w:p>
    <w:tbl>
      <w:tblPr>
        <w:tblStyle w:val="TableGrid"/>
        <w:tblW w:w="9541" w:type="dxa"/>
        <w:tblLook w:val="00A0" w:firstRow="1" w:lastRow="0" w:firstColumn="1" w:lastColumn="0" w:noHBand="0" w:noVBand="0"/>
      </w:tblPr>
      <w:tblGrid>
        <w:gridCol w:w="2558"/>
        <w:gridCol w:w="905"/>
        <w:gridCol w:w="1180"/>
        <w:gridCol w:w="1178"/>
        <w:gridCol w:w="1180"/>
        <w:gridCol w:w="996"/>
        <w:gridCol w:w="1544"/>
      </w:tblGrid>
      <w:tr w:rsidR="000C02DB" w:rsidRPr="00DD3B04" w14:paraId="3B5B6C31" w14:textId="77777777" w:rsidTr="00FF5A93">
        <w:trPr>
          <w:trHeight w:val="354"/>
        </w:trPr>
        <w:tc>
          <w:tcPr>
            <w:tcW w:w="2558" w:type="dxa"/>
            <w:vMerge w:val="restart"/>
          </w:tcPr>
          <w:p w14:paraId="79C88396" w14:textId="77777777" w:rsidR="000C02DB" w:rsidRPr="00DD3B04" w:rsidRDefault="000C02DB" w:rsidP="00FF5A93">
            <w:pPr>
              <w:pStyle w:val="NormalWeb"/>
              <w:spacing w:before="2" w:after="2" w:line="480" w:lineRule="auto"/>
              <w:rPr>
                <w:rFonts w:ascii="Times New Roman" w:hAnsi="Times New Roman"/>
                <w:b/>
                <w:sz w:val="22"/>
                <w:szCs w:val="22"/>
              </w:rPr>
            </w:pPr>
          </w:p>
          <w:p w14:paraId="1C6CFE24" w14:textId="77777777" w:rsidR="000C02DB" w:rsidRPr="00DD3B04" w:rsidRDefault="000C02DB" w:rsidP="00FF5A93">
            <w:pPr>
              <w:pStyle w:val="NormalWeb"/>
              <w:spacing w:before="2" w:after="2" w:line="480" w:lineRule="auto"/>
              <w:rPr>
                <w:rFonts w:ascii="Times New Roman" w:hAnsi="Times New Roman"/>
                <w:sz w:val="22"/>
                <w:szCs w:val="22"/>
              </w:rPr>
            </w:pPr>
            <w:r w:rsidRPr="00DD3B04">
              <w:rPr>
                <w:rFonts w:ascii="Times New Roman" w:hAnsi="Times New Roman"/>
                <w:b/>
                <w:sz w:val="22"/>
                <w:szCs w:val="22"/>
              </w:rPr>
              <w:t>Type of Event</w:t>
            </w:r>
          </w:p>
        </w:tc>
        <w:tc>
          <w:tcPr>
            <w:tcW w:w="2085" w:type="dxa"/>
            <w:gridSpan w:val="2"/>
          </w:tcPr>
          <w:p w14:paraId="1C5E6D3E" w14:textId="77777777" w:rsidR="000C02DB" w:rsidRPr="00DD3B04" w:rsidRDefault="000C02DB" w:rsidP="00FF5A93">
            <w:pPr>
              <w:pStyle w:val="NormalWeb"/>
              <w:spacing w:before="2" w:after="2" w:line="480" w:lineRule="auto"/>
              <w:jc w:val="center"/>
              <w:rPr>
                <w:rFonts w:ascii="Times New Roman" w:hAnsi="Times New Roman"/>
                <w:b/>
                <w:sz w:val="22"/>
                <w:szCs w:val="22"/>
              </w:rPr>
            </w:pPr>
            <w:r w:rsidRPr="00DD3B04">
              <w:rPr>
                <w:rFonts w:ascii="Times New Roman" w:hAnsi="Times New Roman"/>
                <w:b/>
                <w:sz w:val="22"/>
                <w:szCs w:val="22"/>
              </w:rPr>
              <w:t>Overall</w:t>
            </w:r>
          </w:p>
        </w:tc>
        <w:tc>
          <w:tcPr>
            <w:tcW w:w="2358" w:type="dxa"/>
            <w:gridSpan w:val="2"/>
          </w:tcPr>
          <w:p w14:paraId="6D91A5E8" w14:textId="77777777" w:rsidR="000C02DB" w:rsidRPr="00DD3B04" w:rsidRDefault="000C02DB" w:rsidP="00FF5A93">
            <w:pPr>
              <w:pStyle w:val="NormalWeb"/>
              <w:spacing w:before="2" w:after="2" w:line="480" w:lineRule="auto"/>
              <w:jc w:val="center"/>
              <w:rPr>
                <w:rFonts w:ascii="Times New Roman" w:hAnsi="Times New Roman"/>
                <w:b/>
                <w:sz w:val="22"/>
                <w:szCs w:val="22"/>
              </w:rPr>
            </w:pPr>
            <w:r w:rsidRPr="00DD3B04">
              <w:rPr>
                <w:rFonts w:ascii="Times New Roman" w:hAnsi="Times New Roman"/>
                <w:b/>
                <w:sz w:val="22"/>
                <w:szCs w:val="22"/>
              </w:rPr>
              <w:t>Single Enzyme Defect</w:t>
            </w:r>
          </w:p>
        </w:tc>
        <w:tc>
          <w:tcPr>
            <w:tcW w:w="2540" w:type="dxa"/>
            <w:gridSpan w:val="2"/>
          </w:tcPr>
          <w:p w14:paraId="0796B2F1" w14:textId="77777777" w:rsidR="000C02DB" w:rsidRPr="00DD3B04" w:rsidRDefault="000C02DB" w:rsidP="00FF5A93">
            <w:pPr>
              <w:pStyle w:val="NormalWeb"/>
              <w:spacing w:before="2" w:after="2" w:line="480" w:lineRule="auto"/>
              <w:jc w:val="center"/>
              <w:rPr>
                <w:rFonts w:ascii="Times New Roman" w:hAnsi="Times New Roman"/>
                <w:b/>
                <w:sz w:val="22"/>
                <w:szCs w:val="22"/>
              </w:rPr>
            </w:pPr>
            <w:r w:rsidRPr="00DD3B04">
              <w:rPr>
                <w:rFonts w:ascii="Times New Roman" w:hAnsi="Times New Roman"/>
                <w:b/>
                <w:sz w:val="22"/>
                <w:szCs w:val="22"/>
              </w:rPr>
              <w:t xml:space="preserve">ZSD </w:t>
            </w:r>
          </w:p>
        </w:tc>
      </w:tr>
      <w:tr w:rsidR="000C02DB" w:rsidRPr="00DD3B04" w14:paraId="11671B3F" w14:textId="77777777" w:rsidTr="00FF5A93">
        <w:trPr>
          <w:trHeight w:val="690"/>
        </w:trPr>
        <w:tc>
          <w:tcPr>
            <w:tcW w:w="2558" w:type="dxa"/>
            <w:vMerge/>
          </w:tcPr>
          <w:p w14:paraId="3D5266D2" w14:textId="77777777" w:rsidR="000C02DB" w:rsidRPr="00DD3B04" w:rsidRDefault="000C02DB" w:rsidP="00FF5A93">
            <w:pPr>
              <w:pStyle w:val="NormalWeb"/>
              <w:spacing w:before="2" w:after="2" w:line="480" w:lineRule="auto"/>
              <w:rPr>
                <w:rFonts w:ascii="Times New Roman" w:hAnsi="Times New Roman"/>
                <w:b/>
                <w:sz w:val="22"/>
                <w:szCs w:val="22"/>
              </w:rPr>
            </w:pPr>
          </w:p>
        </w:tc>
        <w:tc>
          <w:tcPr>
            <w:tcW w:w="905" w:type="dxa"/>
          </w:tcPr>
          <w:p w14:paraId="1D3F6A05"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Events</w:t>
            </w:r>
          </w:p>
          <w:p w14:paraId="24D31297"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n</w:t>
            </w:r>
          </w:p>
        </w:tc>
        <w:tc>
          <w:tcPr>
            <w:tcW w:w="1180" w:type="dxa"/>
          </w:tcPr>
          <w:p w14:paraId="507CFD5A"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Patients</w:t>
            </w:r>
          </w:p>
          <w:p w14:paraId="66103F02"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n (%)</w:t>
            </w:r>
          </w:p>
        </w:tc>
        <w:tc>
          <w:tcPr>
            <w:tcW w:w="1178" w:type="dxa"/>
          </w:tcPr>
          <w:p w14:paraId="184E1D59"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 xml:space="preserve"> Events</w:t>
            </w:r>
          </w:p>
          <w:p w14:paraId="07C8AF36"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n</w:t>
            </w:r>
          </w:p>
        </w:tc>
        <w:tc>
          <w:tcPr>
            <w:tcW w:w="1180" w:type="dxa"/>
          </w:tcPr>
          <w:p w14:paraId="38F64FDB"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 xml:space="preserve"> Patients</w:t>
            </w:r>
          </w:p>
          <w:p w14:paraId="5C6268F6"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n (%)</w:t>
            </w:r>
          </w:p>
        </w:tc>
        <w:tc>
          <w:tcPr>
            <w:tcW w:w="996" w:type="dxa"/>
          </w:tcPr>
          <w:p w14:paraId="46618E7E"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 xml:space="preserve"> Events</w:t>
            </w:r>
          </w:p>
          <w:p w14:paraId="27A44B8C"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n</w:t>
            </w:r>
          </w:p>
        </w:tc>
        <w:tc>
          <w:tcPr>
            <w:tcW w:w="1544" w:type="dxa"/>
          </w:tcPr>
          <w:p w14:paraId="64F2F02E"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Patients</w:t>
            </w:r>
          </w:p>
          <w:p w14:paraId="56F50900" w14:textId="77777777" w:rsidR="000C02DB" w:rsidRPr="00DD3B04" w:rsidRDefault="000C02DB" w:rsidP="00FF5A93">
            <w:pPr>
              <w:pStyle w:val="NormalWeb"/>
              <w:spacing w:before="2" w:after="2"/>
              <w:jc w:val="center"/>
              <w:rPr>
                <w:rFonts w:ascii="Times New Roman" w:hAnsi="Times New Roman"/>
                <w:sz w:val="22"/>
                <w:szCs w:val="22"/>
              </w:rPr>
            </w:pPr>
            <w:r w:rsidRPr="00DD3B04">
              <w:rPr>
                <w:rFonts w:ascii="Times New Roman" w:hAnsi="Times New Roman"/>
                <w:sz w:val="22"/>
                <w:szCs w:val="22"/>
              </w:rPr>
              <w:t>n (%)</w:t>
            </w:r>
          </w:p>
        </w:tc>
      </w:tr>
      <w:tr w:rsidR="000C02DB" w:rsidRPr="00DD3B04" w14:paraId="15B0F3B8" w14:textId="77777777" w:rsidTr="00FF5A93">
        <w:trPr>
          <w:trHeight w:val="571"/>
        </w:trPr>
        <w:tc>
          <w:tcPr>
            <w:tcW w:w="2558" w:type="dxa"/>
          </w:tcPr>
          <w:p w14:paraId="3B8CF5FC" w14:textId="77777777" w:rsidR="000C02DB" w:rsidRPr="00DD3B04" w:rsidRDefault="000C02DB" w:rsidP="00FF5A93">
            <w:pPr>
              <w:pStyle w:val="NormalWeb"/>
              <w:spacing w:before="2" w:after="2" w:line="480" w:lineRule="auto"/>
              <w:rPr>
                <w:rFonts w:ascii="Times New Roman" w:hAnsi="Times New Roman"/>
                <w:sz w:val="22"/>
                <w:szCs w:val="22"/>
              </w:rPr>
            </w:pPr>
            <w:r w:rsidRPr="00DD3B04">
              <w:rPr>
                <w:rFonts w:ascii="Times New Roman" w:hAnsi="Times New Roman"/>
                <w:sz w:val="22"/>
                <w:szCs w:val="22"/>
              </w:rPr>
              <w:t>AE</w:t>
            </w:r>
          </w:p>
        </w:tc>
        <w:tc>
          <w:tcPr>
            <w:tcW w:w="905" w:type="dxa"/>
          </w:tcPr>
          <w:p w14:paraId="29C5A3EF"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114</w:t>
            </w:r>
          </w:p>
        </w:tc>
        <w:tc>
          <w:tcPr>
            <w:tcW w:w="1180" w:type="dxa"/>
          </w:tcPr>
          <w:p w14:paraId="1E2EC412"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38 (48)</w:t>
            </w:r>
          </w:p>
        </w:tc>
        <w:tc>
          <w:tcPr>
            <w:tcW w:w="1178" w:type="dxa"/>
          </w:tcPr>
          <w:p w14:paraId="03249B84"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44</w:t>
            </w:r>
          </w:p>
        </w:tc>
        <w:tc>
          <w:tcPr>
            <w:tcW w:w="1180" w:type="dxa"/>
          </w:tcPr>
          <w:p w14:paraId="2E6EDA8A"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21 (42)</w:t>
            </w:r>
          </w:p>
        </w:tc>
        <w:tc>
          <w:tcPr>
            <w:tcW w:w="996" w:type="dxa"/>
          </w:tcPr>
          <w:p w14:paraId="6DC2B3D4"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70</w:t>
            </w:r>
          </w:p>
        </w:tc>
        <w:tc>
          <w:tcPr>
            <w:tcW w:w="1544" w:type="dxa"/>
          </w:tcPr>
          <w:p w14:paraId="6179B8BC"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17 (59)</w:t>
            </w:r>
          </w:p>
        </w:tc>
      </w:tr>
      <w:tr w:rsidR="000C02DB" w:rsidRPr="00DD3B04" w14:paraId="2D618636" w14:textId="77777777" w:rsidTr="00FF5A93">
        <w:trPr>
          <w:trHeight w:val="554"/>
        </w:trPr>
        <w:tc>
          <w:tcPr>
            <w:tcW w:w="2558" w:type="dxa"/>
          </w:tcPr>
          <w:p w14:paraId="40829124" w14:textId="77777777" w:rsidR="000C02DB" w:rsidRPr="00DD3B04" w:rsidRDefault="000C02DB" w:rsidP="00FF5A93">
            <w:pPr>
              <w:pStyle w:val="NormalWeb"/>
              <w:spacing w:before="2" w:after="2" w:line="480" w:lineRule="auto"/>
              <w:rPr>
                <w:rFonts w:ascii="Times New Roman" w:hAnsi="Times New Roman"/>
                <w:sz w:val="22"/>
                <w:szCs w:val="22"/>
              </w:rPr>
            </w:pPr>
            <w:r w:rsidRPr="00DD3B04">
              <w:rPr>
                <w:rFonts w:ascii="Times New Roman" w:hAnsi="Times New Roman"/>
                <w:sz w:val="22"/>
                <w:szCs w:val="22"/>
              </w:rPr>
              <w:t>SAE</w:t>
            </w:r>
          </w:p>
        </w:tc>
        <w:tc>
          <w:tcPr>
            <w:tcW w:w="905" w:type="dxa"/>
          </w:tcPr>
          <w:p w14:paraId="6C06EDDD"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28</w:t>
            </w:r>
          </w:p>
        </w:tc>
        <w:tc>
          <w:tcPr>
            <w:tcW w:w="1180" w:type="dxa"/>
          </w:tcPr>
          <w:p w14:paraId="60E024AE"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16 (20)</w:t>
            </w:r>
          </w:p>
        </w:tc>
        <w:tc>
          <w:tcPr>
            <w:tcW w:w="1178" w:type="dxa"/>
          </w:tcPr>
          <w:p w14:paraId="11EC088C"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6</w:t>
            </w:r>
          </w:p>
        </w:tc>
        <w:tc>
          <w:tcPr>
            <w:tcW w:w="1180" w:type="dxa"/>
          </w:tcPr>
          <w:p w14:paraId="27109477"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5 (10)</w:t>
            </w:r>
          </w:p>
        </w:tc>
        <w:tc>
          <w:tcPr>
            <w:tcW w:w="996" w:type="dxa"/>
          </w:tcPr>
          <w:p w14:paraId="421C5626"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22</w:t>
            </w:r>
          </w:p>
        </w:tc>
        <w:tc>
          <w:tcPr>
            <w:tcW w:w="1544" w:type="dxa"/>
          </w:tcPr>
          <w:p w14:paraId="5421BD21"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 xml:space="preserve">11 (22) </w:t>
            </w:r>
          </w:p>
        </w:tc>
      </w:tr>
      <w:tr w:rsidR="000C02DB" w:rsidRPr="00DD3B04" w14:paraId="10CC5EDA" w14:textId="77777777" w:rsidTr="00FF5A93">
        <w:trPr>
          <w:trHeight w:val="571"/>
        </w:trPr>
        <w:tc>
          <w:tcPr>
            <w:tcW w:w="2558" w:type="dxa"/>
          </w:tcPr>
          <w:p w14:paraId="11669CB0" w14:textId="77777777" w:rsidR="000C02DB" w:rsidRPr="00DD3B04" w:rsidRDefault="000C02DB" w:rsidP="00FF5A93">
            <w:pPr>
              <w:pStyle w:val="NormalWeb"/>
              <w:spacing w:before="2" w:after="2" w:line="480" w:lineRule="auto"/>
              <w:rPr>
                <w:rFonts w:ascii="Times New Roman" w:hAnsi="Times New Roman"/>
                <w:sz w:val="22"/>
                <w:szCs w:val="22"/>
              </w:rPr>
            </w:pPr>
            <w:proofErr w:type="spellStart"/>
            <w:r w:rsidRPr="00DD3B04">
              <w:rPr>
                <w:rFonts w:ascii="Times New Roman" w:hAnsi="Times New Roman"/>
                <w:sz w:val="22"/>
                <w:szCs w:val="22"/>
              </w:rPr>
              <w:lastRenderedPageBreak/>
              <w:t>Deaths</w:t>
            </w:r>
            <w:r w:rsidRPr="00DD3B04">
              <w:rPr>
                <w:rFonts w:ascii="Times New Roman" w:hAnsi="Times New Roman"/>
                <w:sz w:val="22"/>
                <w:szCs w:val="22"/>
                <w:vertAlign w:val="superscript"/>
              </w:rPr>
              <w:t>a</w:t>
            </w:r>
            <w:proofErr w:type="gramStart"/>
            <w:r w:rsidRPr="00DD3B04">
              <w:rPr>
                <w:rFonts w:ascii="Times New Roman" w:hAnsi="Times New Roman"/>
                <w:sz w:val="22"/>
                <w:szCs w:val="22"/>
                <w:vertAlign w:val="superscript"/>
              </w:rPr>
              <w:t>,b</w:t>
            </w:r>
            <w:proofErr w:type="spellEnd"/>
            <w:proofErr w:type="gramEnd"/>
          </w:p>
        </w:tc>
        <w:tc>
          <w:tcPr>
            <w:tcW w:w="905" w:type="dxa"/>
          </w:tcPr>
          <w:p w14:paraId="2895C1F6"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21</w:t>
            </w:r>
          </w:p>
        </w:tc>
        <w:tc>
          <w:tcPr>
            <w:tcW w:w="1180" w:type="dxa"/>
          </w:tcPr>
          <w:p w14:paraId="143ED2C9"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21 (27)</w:t>
            </w:r>
          </w:p>
        </w:tc>
        <w:tc>
          <w:tcPr>
            <w:tcW w:w="1178" w:type="dxa"/>
          </w:tcPr>
          <w:p w14:paraId="49292962"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7</w:t>
            </w:r>
          </w:p>
        </w:tc>
        <w:tc>
          <w:tcPr>
            <w:tcW w:w="1180" w:type="dxa"/>
          </w:tcPr>
          <w:p w14:paraId="4B256F90"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7 (14)</w:t>
            </w:r>
          </w:p>
        </w:tc>
        <w:tc>
          <w:tcPr>
            <w:tcW w:w="996" w:type="dxa"/>
          </w:tcPr>
          <w:p w14:paraId="7635D4C8"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14</w:t>
            </w:r>
          </w:p>
        </w:tc>
        <w:tc>
          <w:tcPr>
            <w:tcW w:w="1544" w:type="dxa"/>
          </w:tcPr>
          <w:p w14:paraId="0A30E4F6"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14 (28)</w:t>
            </w:r>
          </w:p>
        </w:tc>
      </w:tr>
      <w:tr w:rsidR="000C02DB" w:rsidRPr="00DD3B04" w14:paraId="0DBCA072" w14:textId="77777777" w:rsidTr="00FF5A93">
        <w:trPr>
          <w:trHeight w:val="571"/>
        </w:trPr>
        <w:tc>
          <w:tcPr>
            <w:tcW w:w="2558" w:type="dxa"/>
          </w:tcPr>
          <w:p w14:paraId="0B5F8E7D" w14:textId="77777777" w:rsidR="000C02DB" w:rsidRPr="00DD3B04" w:rsidRDefault="000C02DB" w:rsidP="00FF5A93">
            <w:pPr>
              <w:pStyle w:val="NormalWeb"/>
              <w:spacing w:before="2" w:after="2" w:line="480" w:lineRule="auto"/>
              <w:rPr>
                <w:rFonts w:ascii="Times New Roman" w:hAnsi="Times New Roman"/>
                <w:sz w:val="22"/>
                <w:szCs w:val="22"/>
              </w:rPr>
            </w:pPr>
            <w:r w:rsidRPr="00DD3B04">
              <w:rPr>
                <w:rFonts w:ascii="Times New Roman" w:hAnsi="Times New Roman"/>
                <w:sz w:val="22"/>
                <w:szCs w:val="22"/>
              </w:rPr>
              <w:t>Treatment-related AE</w:t>
            </w:r>
          </w:p>
        </w:tc>
        <w:tc>
          <w:tcPr>
            <w:tcW w:w="905" w:type="dxa"/>
          </w:tcPr>
          <w:p w14:paraId="6BEA1B36"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3</w:t>
            </w:r>
          </w:p>
        </w:tc>
        <w:tc>
          <w:tcPr>
            <w:tcW w:w="1180" w:type="dxa"/>
          </w:tcPr>
          <w:p w14:paraId="0F22E39A"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2 (3)</w:t>
            </w:r>
          </w:p>
        </w:tc>
        <w:tc>
          <w:tcPr>
            <w:tcW w:w="1178" w:type="dxa"/>
          </w:tcPr>
          <w:p w14:paraId="48823D86"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3</w:t>
            </w:r>
          </w:p>
        </w:tc>
        <w:tc>
          <w:tcPr>
            <w:tcW w:w="1180" w:type="dxa"/>
          </w:tcPr>
          <w:p w14:paraId="477F0875"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2 (4)</w:t>
            </w:r>
          </w:p>
        </w:tc>
        <w:tc>
          <w:tcPr>
            <w:tcW w:w="996" w:type="dxa"/>
          </w:tcPr>
          <w:p w14:paraId="6F7454FB"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0</w:t>
            </w:r>
          </w:p>
        </w:tc>
        <w:tc>
          <w:tcPr>
            <w:tcW w:w="1544" w:type="dxa"/>
          </w:tcPr>
          <w:p w14:paraId="5CED1146"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0</w:t>
            </w:r>
          </w:p>
        </w:tc>
      </w:tr>
      <w:tr w:rsidR="000C02DB" w:rsidRPr="00DD3B04" w14:paraId="43EF0001" w14:textId="77777777" w:rsidTr="00FF5A93">
        <w:trPr>
          <w:trHeight w:val="776"/>
        </w:trPr>
        <w:tc>
          <w:tcPr>
            <w:tcW w:w="2558" w:type="dxa"/>
          </w:tcPr>
          <w:p w14:paraId="1863EC1D" w14:textId="77777777" w:rsidR="000C02DB" w:rsidRPr="00DD3B04" w:rsidRDefault="000C02DB" w:rsidP="00FF5A93">
            <w:pPr>
              <w:pStyle w:val="NormalWeb"/>
              <w:spacing w:before="2" w:after="2" w:line="480" w:lineRule="auto"/>
              <w:rPr>
                <w:rFonts w:ascii="Times New Roman" w:hAnsi="Times New Roman"/>
                <w:sz w:val="22"/>
                <w:szCs w:val="22"/>
              </w:rPr>
            </w:pPr>
            <w:r w:rsidRPr="00DD3B04">
              <w:rPr>
                <w:rFonts w:ascii="Times New Roman" w:hAnsi="Times New Roman"/>
                <w:sz w:val="22"/>
                <w:szCs w:val="22"/>
              </w:rPr>
              <w:t>Treatment-related SAE</w:t>
            </w:r>
          </w:p>
        </w:tc>
        <w:tc>
          <w:tcPr>
            <w:tcW w:w="905" w:type="dxa"/>
          </w:tcPr>
          <w:p w14:paraId="4C65DEF0"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0</w:t>
            </w:r>
          </w:p>
        </w:tc>
        <w:tc>
          <w:tcPr>
            <w:tcW w:w="1180" w:type="dxa"/>
          </w:tcPr>
          <w:p w14:paraId="7B26852F"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0</w:t>
            </w:r>
          </w:p>
        </w:tc>
        <w:tc>
          <w:tcPr>
            <w:tcW w:w="1178" w:type="dxa"/>
          </w:tcPr>
          <w:p w14:paraId="0FD060C7"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0</w:t>
            </w:r>
          </w:p>
        </w:tc>
        <w:tc>
          <w:tcPr>
            <w:tcW w:w="1180" w:type="dxa"/>
          </w:tcPr>
          <w:p w14:paraId="481D59C8"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0</w:t>
            </w:r>
          </w:p>
        </w:tc>
        <w:tc>
          <w:tcPr>
            <w:tcW w:w="996" w:type="dxa"/>
          </w:tcPr>
          <w:p w14:paraId="290A1CEF"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0</w:t>
            </w:r>
          </w:p>
        </w:tc>
        <w:tc>
          <w:tcPr>
            <w:tcW w:w="1544" w:type="dxa"/>
          </w:tcPr>
          <w:p w14:paraId="0404B70C"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0</w:t>
            </w:r>
          </w:p>
        </w:tc>
      </w:tr>
      <w:tr w:rsidR="000C02DB" w:rsidRPr="00DD3B04" w14:paraId="7A6B0522" w14:textId="77777777" w:rsidTr="00FF5A93">
        <w:trPr>
          <w:trHeight w:val="649"/>
        </w:trPr>
        <w:tc>
          <w:tcPr>
            <w:tcW w:w="2558" w:type="dxa"/>
          </w:tcPr>
          <w:p w14:paraId="42E00C7E" w14:textId="77777777" w:rsidR="000C02DB" w:rsidRPr="00DD3B04" w:rsidRDefault="000C02DB" w:rsidP="00FF5A93">
            <w:pPr>
              <w:pStyle w:val="NormalWeb"/>
              <w:spacing w:before="2" w:after="2"/>
              <w:rPr>
                <w:rFonts w:ascii="Times New Roman" w:hAnsi="Times New Roman"/>
                <w:sz w:val="22"/>
                <w:szCs w:val="22"/>
              </w:rPr>
            </w:pPr>
            <w:r w:rsidRPr="00DD3B04">
              <w:rPr>
                <w:rFonts w:ascii="Times New Roman" w:hAnsi="Times New Roman"/>
                <w:sz w:val="22"/>
                <w:szCs w:val="22"/>
              </w:rPr>
              <w:t>AE leading to drug discontinuation</w:t>
            </w:r>
          </w:p>
        </w:tc>
        <w:tc>
          <w:tcPr>
            <w:tcW w:w="905" w:type="dxa"/>
          </w:tcPr>
          <w:p w14:paraId="284C075B"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6</w:t>
            </w:r>
          </w:p>
        </w:tc>
        <w:tc>
          <w:tcPr>
            <w:tcW w:w="1180" w:type="dxa"/>
          </w:tcPr>
          <w:p w14:paraId="07C2EFC6"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4 (5)</w:t>
            </w:r>
          </w:p>
        </w:tc>
        <w:tc>
          <w:tcPr>
            <w:tcW w:w="1178" w:type="dxa"/>
          </w:tcPr>
          <w:p w14:paraId="5C753DDE"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3</w:t>
            </w:r>
          </w:p>
        </w:tc>
        <w:tc>
          <w:tcPr>
            <w:tcW w:w="1180" w:type="dxa"/>
          </w:tcPr>
          <w:p w14:paraId="18D35DAB"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 xml:space="preserve">3 (6) </w:t>
            </w:r>
          </w:p>
        </w:tc>
        <w:tc>
          <w:tcPr>
            <w:tcW w:w="996" w:type="dxa"/>
          </w:tcPr>
          <w:p w14:paraId="7FBD31CC"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3</w:t>
            </w:r>
          </w:p>
        </w:tc>
        <w:tc>
          <w:tcPr>
            <w:tcW w:w="1544" w:type="dxa"/>
          </w:tcPr>
          <w:p w14:paraId="182C66A8" w14:textId="77777777" w:rsidR="000C02DB" w:rsidRPr="00DD3B04" w:rsidRDefault="000C02DB" w:rsidP="00FF5A93">
            <w:pPr>
              <w:pStyle w:val="NormalWeb"/>
              <w:spacing w:before="2" w:after="2" w:line="480" w:lineRule="auto"/>
              <w:jc w:val="center"/>
              <w:rPr>
                <w:rFonts w:ascii="Times New Roman" w:hAnsi="Times New Roman"/>
                <w:sz w:val="22"/>
                <w:szCs w:val="22"/>
              </w:rPr>
            </w:pPr>
            <w:r w:rsidRPr="00DD3B04">
              <w:rPr>
                <w:rFonts w:ascii="Times New Roman" w:hAnsi="Times New Roman"/>
                <w:sz w:val="22"/>
                <w:szCs w:val="22"/>
              </w:rPr>
              <w:t>1 (2)</w:t>
            </w:r>
          </w:p>
        </w:tc>
      </w:tr>
    </w:tbl>
    <w:p w14:paraId="30CBF90A" w14:textId="76B0DBD7" w:rsidR="000C02DB" w:rsidRDefault="000C02DB" w:rsidP="00F6454B">
      <w:pPr>
        <w:pStyle w:val="NormalWeb"/>
        <w:spacing w:before="2" w:after="2" w:line="480" w:lineRule="auto"/>
        <w:rPr>
          <w:rFonts w:ascii="TimesNewRoman" w:hAnsi="TimesNewRoman"/>
          <w:b/>
          <w:sz w:val="24"/>
          <w:szCs w:val="24"/>
        </w:rPr>
      </w:pPr>
      <w:proofErr w:type="spellStart"/>
      <w:r w:rsidRPr="00DD3B04">
        <w:rPr>
          <w:rFonts w:ascii="Times New Roman" w:hAnsi="Times New Roman"/>
          <w:sz w:val="22"/>
          <w:szCs w:val="22"/>
          <w:vertAlign w:val="superscript"/>
        </w:rPr>
        <w:t>a</w:t>
      </w:r>
      <w:r w:rsidRPr="00DD3B04">
        <w:rPr>
          <w:rFonts w:ascii="Times New Roman" w:hAnsi="Times New Roman"/>
          <w:sz w:val="22"/>
          <w:szCs w:val="22"/>
        </w:rPr>
        <w:t>One</w:t>
      </w:r>
      <w:proofErr w:type="spellEnd"/>
      <w:r w:rsidRPr="00DD3B04">
        <w:rPr>
          <w:rFonts w:ascii="Times New Roman" w:hAnsi="Times New Roman"/>
          <w:sz w:val="22"/>
          <w:szCs w:val="22"/>
        </w:rPr>
        <w:t xml:space="preserve"> additional patient died in 2010, after the data cutoff for this study on December 31, 2009.</w:t>
      </w:r>
      <w:r w:rsidRPr="00DD3B04">
        <w:rPr>
          <w:rFonts w:ascii="Times New Roman" w:hAnsi="Times New Roman"/>
          <w:sz w:val="22"/>
          <w:szCs w:val="22"/>
          <w:vertAlign w:val="superscript"/>
        </w:rPr>
        <w:br/>
      </w:r>
      <w:proofErr w:type="spellStart"/>
      <w:r w:rsidRPr="00DD3B04">
        <w:rPr>
          <w:rFonts w:ascii="Times New Roman" w:hAnsi="Times New Roman"/>
          <w:sz w:val="22"/>
          <w:szCs w:val="22"/>
          <w:vertAlign w:val="superscript"/>
        </w:rPr>
        <w:t>b</w:t>
      </w:r>
      <w:r w:rsidRPr="00DD3B04">
        <w:rPr>
          <w:rFonts w:ascii="Times New Roman" w:hAnsi="Times New Roman"/>
          <w:sz w:val="22"/>
          <w:szCs w:val="22"/>
        </w:rPr>
        <w:t>Two</w:t>
      </w:r>
      <w:proofErr w:type="spellEnd"/>
      <w:r w:rsidRPr="00DD3B04">
        <w:rPr>
          <w:rFonts w:ascii="Times New Roman" w:hAnsi="Times New Roman"/>
          <w:sz w:val="22"/>
          <w:szCs w:val="22"/>
        </w:rPr>
        <w:t xml:space="preserve"> patients had SAEs with a fatal outcome that started prior to the start of treatment. </w:t>
      </w:r>
      <w:r w:rsidRPr="00DD3B04">
        <w:rPr>
          <w:rFonts w:ascii="Times New Roman" w:hAnsi="Times New Roman"/>
          <w:sz w:val="22"/>
          <w:szCs w:val="22"/>
        </w:rPr>
        <w:br/>
        <w:t>These patients are also included.</w:t>
      </w:r>
      <w:r w:rsidRPr="00DD3B04">
        <w:rPr>
          <w:rFonts w:ascii="Times New Roman" w:hAnsi="Times New Roman"/>
          <w:sz w:val="22"/>
          <w:szCs w:val="22"/>
        </w:rPr>
        <w:br/>
        <w:t>AE, adverse event; SAE, serious adverse event; ZSD, Zellweger spectrum disorders.</w:t>
      </w:r>
    </w:p>
    <w:p w14:paraId="4BA72592" w14:textId="77777777" w:rsidR="000C02DB" w:rsidRDefault="000C02DB" w:rsidP="00F6454B">
      <w:pPr>
        <w:pStyle w:val="NormalWeb"/>
        <w:spacing w:before="2" w:after="2" w:line="480" w:lineRule="auto"/>
        <w:rPr>
          <w:rFonts w:ascii="TimesNewRoman" w:hAnsi="TimesNewRoman"/>
          <w:b/>
          <w:sz w:val="24"/>
          <w:szCs w:val="24"/>
        </w:rPr>
      </w:pPr>
    </w:p>
    <w:p w14:paraId="5826A912" w14:textId="77777777" w:rsidR="00F6454B" w:rsidRPr="00DA55D2" w:rsidRDefault="00293DC6" w:rsidP="00F6454B">
      <w:pPr>
        <w:pStyle w:val="NormalWeb"/>
        <w:spacing w:before="2" w:after="2" w:line="480" w:lineRule="auto"/>
        <w:rPr>
          <w:rFonts w:ascii="TimesNewRoman" w:hAnsi="TimesNewRoman"/>
          <w:b/>
          <w:sz w:val="24"/>
          <w:szCs w:val="24"/>
        </w:rPr>
      </w:pPr>
      <w:r w:rsidRPr="00DA55D2">
        <w:rPr>
          <w:rFonts w:ascii="TimesNewRoman" w:hAnsi="TimesNewRoman"/>
          <w:b/>
          <w:sz w:val="24"/>
          <w:szCs w:val="24"/>
        </w:rPr>
        <w:t>Deaths during treatment</w:t>
      </w:r>
    </w:p>
    <w:p w14:paraId="1BAB8394" w14:textId="73648A76" w:rsidR="00F6454B" w:rsidRPr="00704D31" w:rsidRDefault="00293DC6" w:rsidP="00704D31">
      <w:pPr>
        <w:pStyle w:val="NormalWeb"/>
        <w:spacing w:before="2" w:after="2" w:line="480" w:lineRule="auto"/>
        <w:rPr>
          <w:rFonts w:ascii="TimesNewRoman" w:hAnsi="TimesNewRoman"/>
          <w:sz w:val="24"/>
          <w:szCs w:val="24"/>
        </w:rPr>
      </w:pPr>
      <w:r w:rsidRPr="00DA55D2">
        <w:rPr>
          <w:rFonts w:ascii="TimesNewRoman" w:hAnsi="TimesNewRoman"/>
          <w:sz w:val="24"/>
          <w:szCs w:val="24"/>
        </w:rPr>
        <w:t>Of the 22 patients who died, 7 had SED and 15 had ZSD. Of the 7 patients with SED who died, 4 had 5</w:t>
      </w:r>
      <w:r w:rsidRPr="00DA55D2">
        <w:rPr>
          <w:rFonts w:ascii="TimesNewRoman" w:hAnsi="TimesNewRoman"/>
          <w:sz w:val="24"/>
          <w:szCs w:val="24"/>
        </w:rPr>
        <w:sym w:font="Symbol" w:char="F062"/>
      </w:r>
      <w:r w:rsidRPr="00DA55D2">
        <w:rPr>
          <w:rFonts w:ascii="TimesNewRoman" w:hAnsi="TimesNewRoman"/>
          <w:sz w:val="24"/>
          <w:szCs w:val="24"/>
        </w:rPr>
        <w:t>-reductase</w:t>
      </w:r>
      <w:r w:rsidRPr="00DA55D2" w:rsidDel="00FD09D1">
        <w:rPr>
          <w:rFonts w:ascii="TimesNewRoman" w:hAnsi="TimesNewRoman"/>
          <w:sz w:val="24"/>
          <w:szCs w:val="24"/>
        </w:rPr>
        <w:t xml:space="preserve"> </w:t>
      </w:r>
      <w:r w:rsidRPr="00DA55D2">
        <w:rPr>
          <w:rFonts w:ascii="TimesNewRoman" w:hAnsi="TimesNewRoman"/>
          <w:sz w:val="24"/>
          <w:szCs w:val="24"/>
        </w:rPr>
        <w:t>deficiency. All had end-stage liver disease at the time of diagnosis and initiation of treatment, with deterioration despite therapy. For the other 3 patients, the cause of  death was worsening of liver disease in a patient with Smith-</w:t>
      </w:r>
      <w:proofErr w:type="spellStart"/>
      <w:r w:rsidRPr="00DA55D2">
        <w:rPr>
          <w:rFonts w:ascii="TimesNewRoman" w:hAnsi="TimesNewRoman"/>
          <w:sz w:val="24"/>
          <w:szCs w:val="24"/>
        </w:rPr>
        <w:t>Lemli</w:t>
      </w:r>
      <w:proofErr w:type="spellEnd"/>
      <w:r w:rsidRPr="00DA55D2">
        <w:rPr>
          <w:rFonts w:ascii="TimesNewRoman" w:hAnsi="TimesNewRoman"/>
          <w:sz w:val="24"/>
          <w:szCs w:val="24"/>
        </w:rPr>
        <w:t>-</w:t>
      </w:r>
      <w:proofErr w:type="spellStart"/>
      <w:r w:rsidRPr="00DA55D2">
        <w:rPr>
          <w:rFonts w:ascii="TimesNewRoman" w:hAnsi="TimesNewRoman"/>
          <w:sz w:val="24"/>
          <w:szCs w:val="24"/>
        </w:rPr>
        <w:t>Opitz</w:t>
      </w:r>
      <w:proofErr w:type="spellEnd"/>
      <w:r w:rsidRPr="00DA55D2">
        <w:rPr>
          <w:rFonts w:ascii="TimesNewRoman" w:hAnsi="TimesNewRoman"/>
          <w:sz w:val="24"/>
          <w:szCs w:val="24"/>
        </w:rPr>
        <w:t xml:space="preserve"> syndrome; disease progression in 1 patient with 3</w:t>
      </w:r>
      <w:r w:rsidRPr="00DA55D2">
        <w:rPr>
          <w:rFonts w:ascii="TimesNewRoman" w:hAnsi="TimesNewRoman"/>
          <w:sz w:val="24"/>
          <w:szCs w:val="24"/>
        </w:rPr>
        <w:sym w:font="Symbol" w:char="F062"/>
      </w:r>
      <w:r w:rsidRPr="00DA55D2">
        <w:rPr>
          <w:rFonts w:ascii="TimesNewRoman" w:hAnsi="TimesNewRoman"/>
          <w:sz w:val="24"/>
          <w:szCs w:val="24"/>
        </w:rPr>
        <w:t xml:space="preserve">-HSD; and in 1 patient with oxysterol 7α-hydroxylase (CYP7B1) deficiency, the liver disease was unresponsive to </w:t>
      </w:r>
      <w:proofErr w:type="spellStart"/>
      <w:r w:rsidRPr="00DA55D2">
        <w:rPr>
          <w:rFonts w:ascii="TimesNewRoman" w:hAnsi="TimesNewRoman"/>
          <w:sz w:val="24"/>
          <w:szCs w:val="24"/>
        </w:rPr>
        <w:t>cholic</w:t>
      </w:r>
      <w:proofErr w:type="spellEnd"/>
      <w:r w:rsidRPr="00DA55D2">
        <w:rPr>
          <w:rFonts w:ascii="TimesNewRoman" w:hAnsi="TimesNewRoman"/>
          <w:sz w:val="24"/>
          <w:szCs w:val="24"/>
        </w:rPr>
        <w:t xml:space="preserve"> acid and this patient died of post-liver transplant complications.21 Deaths among patients with ZSD were due to unknown causes (n=8), worsening of the underlying condition (n=4), complications due to end-stage liver disease (n=1), and seizures/cyanosis (n=1). One patient with ZSD died before receiving treatment. There was a clear trend that worsening of the underlying condition leading to death occurred more often in patients with ZSD. This is not surprising, as patients with ZSD typically present with significant comorbidities, including CNS impairment, which would not be expected to respon</w:t>
      </w:r>
      <w:r w:rsidR="00704D31">
        <w:rPr>
          <w:rFonts w:ascii="TimesNewRoman" w:hAnsi="TimesNewRoman"/>
          <w:sz w:val="24"/>
          <w:szCs w:val="24"/>
        </w:rPr>
        <w:t>d to bile acid therapy.</w:t>
      </w:r>
    </w:p>
    <w:sectPr w:rsidR="00F6454B" w:rsidRPr="00704D31" w:rsidSect="00D971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NewRoman">
    <w:altName w:val="Cambria"/>
    <w:panose1 w:val="00000000000000000000"/>
    <w:charset w:val="4D"/>
    <w:family w:val="roman"/>
    <w:notTrueType/>
    <w:pitch w:val="default"/>
    <w:sig w:usb0="00000003" w:usb1="08070000" w:usb2="00000010" w:usb3="00000000" w:csb0="0002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altName w:val="Consolas"/>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471635"/>
    <w:multiLevelType w:val="hybridMultilevel"/>
    <w:tmpl w:val="01B62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1FF"/>
    <w:rsid w:val="000C02DB"/>
    <w:rsid w:val="00266C6C"/>
    <w:rsid w:val="00293DC6"/>
    <w:rsid w:val="002F44E1"/>
    <w:rsid w:val="0043641D"/>
    <w:rsid w:val="00481643"/>
    <w:rsid w:val="00537F85"/>
    <w:rsid w:val="00583DD4"/>
    <w:rsid w:val="00632046"/>
    <w:rsid w:val="00704D31"/>
    <w:rsid w:val="007908C8"/>
    <w:rsid w:val="008A0B2A"/>
    <w:rsid w:val="00914647"/>
    <w:rsid w:val="00A16793"/>
    <w:rsid w:val="00A877D7"/>
    <w:rsid w:val="00AC4204"/>
    <w:rsid w:val="00C06D5E"/>
    <w:rsid w:val="00D971BC"/>
    <w:rsid w:val="00DA55D2"/>
    <w:rsid w:val="00EB2F93"/>
    <w:rsid w:val="00F251FF"/>
    <w:rsid w:val="00F64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03E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251FF"/>
    <w:pPr>
      <w:spacing w:beforeLines="1" w:afterLines="1"/>
    </w:pPr>
    <w:rPr>
      <w:rFonts w:ascii="Times" w:hAnsi="Times" w:cs="Times New Roman"/>
      <w:sz w:val="20"/>
      <w:szCs w:val="20"/>
    </w:rPr>
  </w:style>
  <w:style w:type="table" w:styleId="TableGrid">
    <w:name w:val="Table Grid"/>
    <w:basedOn w:val="TableNormal"/>
    <w:rsid w:val="000C02D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0B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B2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251FF"/>
    <w:pPr>
      <w:spacing w:beforeLines="1" w:afterLines="1"/>
    </w:pPr>
    <w:rPr>
      <w:rFonts w:ascii="Times" w:hAnsi="Times" w:cs="Times New Roman"/>
      <w:sz w:val="20"/>
      <w:szCs w:val="20"/>
    </w:rPr>
  </w:style>
  <w:style w:type="table" w:styleId="TableGrid">
    <w:name w:val="Table Grid"/>
    <w:basedOn w:val="TableNormal"/>
    <w:rsid w:val="000C02D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0B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B2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940</Words>
  <Characters>5362</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vijieditor@yahoo.com</dc:creator>
  <cp:lastModifiedBy>Cindy Jablonowski</cp:lastModifiedBy>
  <cp:revision>2</cp:revision>
  <dcterms:created xsi:type="dcterms:W3CDTF">2017-04-26T21:38:00Z</dcterms:created>
  <dcterms:modified xsi:type="dcterms:W3CDTF">2017-04-26T21:38:00Z</dcterms:modified>
</cp:coreProperties>
</file>