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</w:pPr>
      <w:r w:rsidRPr="00E2228A">
        <w:rPr>
          <w:rFonts w:cstheme="minorHAnsi"/>
          <w:b/>
        </w:rPr>
        <w:t>Supporting information</w:t>
      </w:r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</w:pPr>
      <w:bookmarkStart w:id="0" w:name="_GoBack"/>
      <w:bookmarkEnd w:id="0"/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</w:pPr>
      <w:r w:rsidRPr="00E2228A">
        <w:rPr>
          <w:rFonts w:cstheme="minorHAnsi"/>
          <w:b/>
        </w:rPr>
        <w:t>Supplemental congress searches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>American Association for the Study of Liver Disease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 xml:space="preserve">European Association for the Study of the Liver 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>Digestive Disease Week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 xml:space="preserve">International Society for </w:t>
      </w:r>
      <w:proofErr w:type="spellStart"/>
      <w:r w:rsidRPr="00E2228A">
        <w:rPr>
          <w:sz w:val="22"/>
          <w:szCs w:val="22"/>
          <w:lang w:val="en-GB"/>
        </w:rPr>
        <w:t>Pharmacoeconomics</w:t>
      </w:r>
      <w:proofErr w:type="spellEnd"/>
      <w:r w:rsidRPr="00E2228A">
        <w:rPr>
          <w:sz w:val="22"/>
          <w:szCs w:val="22"/>
          <w:lang w:val="en-GB"/>
        </w:rPr>
        <w:t xml:space="preserve"> and Outcomes Research (ISPOR) US congress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>ISPOR European congress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 xml:space="preserve">North American Society for </w:t>
      </w:r>
      <w:proofErr w:type="spellStart"/>
      <w:r w:rsidRPr="00E2228A">
        <w:rPr>
          <w:sz w:val="22"/>
          <w:szCs w:val="22"/>
          <w:lang w:val="en-GB"/>
        </w:rPr>
        <w:t>Pediatric</w:t>
      </w:r>
      <w:proofErr w:type="spellEnd"/>
      <w:r w:rsidRPr="00E2228A">
        <w:rPr>
          <w:sz w:val="22"/>
          <w:szCs w:val="22"/>
          <w:lang w:val="en-GB"/>
        </w:rPr>
        <w:t xml:space="preserve"> Gastroenterology, Hepatology and Nutrition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>European Society for Paediatric Gastroenterology, Hepatology and Nutrition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 xml:space="preserve">World Congress of </w:t>
      </w:r>
      <w:proofErr w:type="spellStart"/>
      <w:r w:rsidRPr="00E2228A">
        <w:rPr>
          <w:sz w:val="22"/>
          <w:szCs w:val="22"/>
          <w:lang w:val="en-GB"/>
        </w:rPr>
        <w:t>Pediatric</w:t>
      </w:r>
      <w:proofErr w:type="spellEnd"/>
      <w:r w:rsidRPr="00E2228A">
        <w:rPr>
          <w:sz w:val="22"/>
          <w:szCs w:val="22"/>
          <w:lang w:val="en-GB"/>
        </w:rPr>
        <w:t xml:space="preserve"> Gastroenterology, Hepatology and Nutrition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 xml:space="preserve">Studies of </w:t>
      </w:r>
      <w:proofErr w:type="spellStart"/>
      <w:r w:rsidRPr="00E2228A">
        <w:rPr>
          <w:sz w:val="22"/>
          <w:szCs w:val="22"/>
          <w:lang w:val="en-GB"/>
        </w:rPr>
        <w:t>Pediatric</w:t>
      </w:r>
      <w:proofErr w:type="spellEnd"/>
      <w:r w:rsidRPr="00E2228A">
        <w:rPr>
          <w:sz w:val="22"/>
          <w:szCs w:val="22"/>
          <w:lang w:val="en-GB"/>
        </w:rPr>
        <w:t xml:space="preserve"> Liver Transplantation (SPLIT) Annual Meeting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>American Transplant Congress</w:t>
      </w:r>
    </w:p>
    <w:p w:rsidR="00286211" w:rsidRPr="00E2228A" w:rsidRDefault="00286211" w:rsidP="00286211">
      <w:pPr>
        <w:pStyle w:val="bullet"/>
        <w:numPr>
          <w:ilvl w:val="1"/>
          <w:numId w:val="1"/>
        </w:numPr>
        <w:spacing w:line="480" w:lineRule="auto"/>
        <w:rPr>
          <w:sz w:val="22"/>
          <w:szCs w:val="22"/>
          <w:lang w:val="en-GB"/>
        </w:rPr>
      </w:pPr>
      <w:r w:rsidRPr="00E2228A">
        <w:rPr>
          <w:sz w:val="22"/>
          <w:szCs w:val="22"/>
          <w:lang w:val="en-GB"/>
        </w:rPr>
        <w:t xml:space="preserve">International </w:t>
      </w:r>
      <w:proofErr w:type="spellStart"/>
      <w:r w:rsidRPr="00E2228A">
        <w:rPr>
          <w:sz w:val="22"/>
          <w:szCs w:val="22"/>
          <w:lang w:val="en-GB"/>
        </w:rPr>
        <w:t>Pediatric</w:t>
      </w:r>
      <w:proofErr w:type="spellEnd"/>
      <w:r w:rsidRPr="00E2228A">
        <w:rPr>
          <w:sz w:val="22"/>
          <w:szCs w:val="22"/>
          <w:lang w:val="en-GB"/>
        </w:rPr>
        <w:t xml:space="preserve"> Transplant Association</w:t>
      </w:r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  <w:sectPr w:rsidR="00286211" w:rsidRPr="00E2228A" w:rsidSect="00A446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</w:pPr>
      <w:r w:rsidRPr="00E2228A">
        <w:rPr>
          <w:rFonts w:cstheme="minorHAnsi"/>
          <w:b/>
        </w:rPr>
        <w:lastRenderedPageBreak/>
        <w:t>Supplementary methods</w:t>
      </w:r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</w:pPr>
      <w:r w:rsidRPr="00E2228A">
        <w:rPr>
          <w:rFonts w:cstheme="minorHAnsi"/>
          <w:b/>
        </w:rPr>
        <w:t>Table 1</w:t>
      </w:r>
    </w:p>
    <w:p w:rsidR="00286211" w:rsidRPr="00E2228A" w:rsidRDefault="00286211" w:rsidP="00286211">
      <w:pPr>
        <w:pStyle w:val="ListParagraph"/>
        <w:spacing w:line="480" w:lineRule="auto"/>
        <w:rPr>
          <w:rFonts w:cstheme="minorHAnsi"/>
          <w:b/>
        </w:rPr>
      </w:pPr>
      <w:r w:rsidRPr="00E2228A">
        <w:rPr>
          <w:rFonts w:cstheme="minorHAnsi"/>
          <w:b/>
        </w:rPr>
        <w:t xml:space="preserve">a) Eligibility criteria for epidemiological SR. </w:t>
      </w:r>
    </w:p>
    <w:tbl>
      <w:tblPr>
        <w:tblStyle w:val="TableGrid"/>
        <w:tblW w:w="4737" w:type="pct"/>
        <w:tblLook w:val="04A0" w:firstRow="1" w:lastRow="0" w:firstColumn="1" w:lastColumn="0" w:noHBand="0" w:noVBand="1"/>
      </w:tblPr>
      <w:tblGrid>
        <w:gridCol w:w="1877"/>
        <w:gridCol w:w="3620"/>
        <w:gridCol w:w="3259"/>
      </w:tblGrid>
      <w:tr w:rsidR="00286211" w:rsidRPr="00E2228A" w:rsidTr="00D25311">
        <w:tc>
          <w:tcPr>
            <w:tcW w:w="1072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cs="Arial"/>
                <w:b/>
              </w:rPr>
            </w:pPr>
          </w:p>
        </w:tc>
        <w:tc>
          <w:tcPr>
            <w:tcW w:w="2067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jc w:val="center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  <w:b/>
              </w:rPr>
              <w:t>Inclusion criteria</w:t>
            </w:r>
          </w:p>
        </w:tc>
        <w:tc>
          <w:tcPr>
            <w:tcW w:w="1861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jc w:val="center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  <w:b/>
              </w:rPr>
              <w:t>Exclusion criteria</w:t>
            </w:r>
          </w:p>
        </w:tc>
      </w:tr>
      <w:tr w:rsidR="00286211" w:rsidRPr="00E2228A" w:rsidTr="00D25311">
        <w:trPr>
          <w:trHeight w:val="590"/>
        </w:trPr>
        <w:tc>
          <w:tcPr>
            <w:tcW w:w="1072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Population</w:t>
            </w:r>
          </w:p>
        </w:tc>
        <w:tc>
          <w:tcPr>
            <w:tcW w:w="2067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Patients with ALGS (adults or children)</w:t>
            </w:r>
          </w:p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Carriers of ALGS (adults or children)</w:t>
            </w:r>
          </w:p>
        </w:tc>
        <w:tc>
          <w:tcPr>
            <w:tcW w:w="1861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Animal/</w:t>
            </w:r>
            <w:r w:rsidRPr="00E2228A">
              <w:rPr>
                <w:rFonts w:cs="Arial"/>
                <w:i/>
              </w:rPr>
              <w:t>in vitro</w:t>
            </w:r>
          </w:p>
        </w:tc>
      </w:tr>
      <w:tr w:rsidR="00286211" w:rsidRPr="00E2228A" w:rsidTr="00D25311">
        <w:tc>
          <w:tcPr>
            <w:tcW w:w="1072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Interventions</w:t>
            </w:r>
          </w:p>
        </w:tc>
        <w:tc>
          <w:tcPr>
            <w:tcW w:w="2067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Not considered</w:t>
            </w:r>
          </w:p>
        </w:tc>
        <w:tc>
          <w:tcPr>
            <w:tcW w:w="1861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N/A</w:t>
            </w:r>
          </w:p>
        </w:tc>
      </w:tr>
      <w:tr w:rsidR="00286211" w:rsidRPr="00E2228A" w:rsidTr="00D25311">
        <w:trPr>
          <w:trHeight w:val="292"/>
        </w:trPr>
        <w:tc>
          <w:tcPr>
            <w:tcW w:w="1072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Study design</w:t>
            </w:r>
          </w:p>
        </w:tc>
        <w:tc>
          <w:tcPr>
            <w:tcW w:w="2067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 xml:space="preserve">Epidemiological study, retrospective medical case reports, studies reporting clinical features of ALGS </w:t>
            </w:r>
          </w:p>
        </w:tc>
        <w:tc>
          <w:tcPr>
            <w:tcW w:w="1861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>
              <w:rPr>
                <w:rFonts w:cs="Arial"/>
              </w:rPr>
              <w:t>Studies enrolling &lt;</w:t>
            </w:r>
            <w:r w:rsidRPr="00E2228A">
              <w:rPr>
                <w:rFonts w:cs="Arial"/>
              </w:rPr>
              <w:t>15 patients with ALGS</w:t>
            </w:r>
          </w:p>
        </w:tc>
      </w:tr>
      <w:tr w:rsidR="00286211" w:rsidRPr="00E2228A" w:rsidTr="00D25311">
        <w:tc>
          <w:tcPr>
            <w:tcW w:w="1072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Outcomes</w:t>
            </w:r>
          </w:p>
        </w:tc>
        <w:tc>
          <w:tcPr>
            <w:tcW w:w="2067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Prevalence (any time frame)</w:t>
            </w:r>
          </w:p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Incidence (any time frame)</w:t>
            </w:r>
          </w:p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Disease natural history</w:t>
            </w:r>
          </w:p>
        </w:tc>
        <w:tc>
          <w:tcPr>
            <w:tcW w:w="1861" w:type="pct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contextualSpacing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All other outcomes including: clinical outcomes, treatment preferences, risk factors</w:t>
            </w:r>
          </w:p>
        </w:tc>
      </w:tr>
      <w:tr w:rsidR="00286211" w:rsidRPr="00E2228A" w:rsidTr="00D25311">
        <w:tc>
          <w:tcPr>
            <w:tcW w:w="1072" w:type="pct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Publication type</w:t>
            </w:r>
          </w:p>
        </w:tc>
        <w:tc>
          <w:tcPr>
            <w:tcW w:w="2067" w:type="pct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 xml:space="preserve">Primary data </w:t>
            </w: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 xml:space="preserve">Editorial, letter, systematic </w:t>
            </w:r>
            <w:proofErr w:type="spellStart"/>
            <w:r w:rsidRPr="00E2228A">
              <w:rPr>
                <w:rFonts w:cs="Arial"/>
              </w:rPr>
              <w:t>review</w:t>
            </w:r>
            <w:r w:rsidRPr="00E2228A">
              <w:rPr>
                <w:rFonts w:cs="Arial"/>
                <w:vertAlign w:val="superscript"/>
              </w:rPr>
              <w:t>a</w:t>
            </w:r>
            <w:proofErr w:type="spellEnd"/>
            <w:r w:rsidRPr="00E2228A">
              <w:rPr>
                <w:rFonts w:cs="Arial"/>
              </w:rPr>
              <w:t>, meta-</w:t>
            </w:r>
            <w:proofErr w:type="spellStart"/>
            <w:r w:rsidRPr="00E2228A">
              <w:rPr>
                <w:rFonts w:cs="Arial"/>
              </w:rPr>
              <w:t>analysis</w:t>
            </w:r>
            <w:r w:rsidRPr="00E2228A">
              <w:rPr>
                <w:rFonts w:cs="Arial"/>
                <w:vertAlign w:val="superscript"/>
              </w:rPr>
              <w:t>a</w:t>
            </w:r>
            <w:proofErr w:type="spellEnd"/>
            <w:r w:rsidRPr="00E2228A">
              <w:rPr>
                <w:rFonts w:cs="Arial"/>
              </w:rPr>
              <w:t xml:space="preserve">, </w:t>
            </w:r>
            <w:proofErr w:type="spellStart"/>
            <w:r w:rsidRPr="00E2228A">
              <w:rPr>
                <w:rFonts w:cs="Arial"/>
              </w:rPr>
              <w:t>review</w:t>
            </w:r>
            <w:r w:rsidRPr="00E2228A">
              <w:rPr>
                <w:rFonts w:cs="Arial"/>
                <w:vertAlign w:val="superscript"/>
              </w:rPr>
              <w:t>a</w:t>
            </w:r>
            <w:proofErr w:type="spellEnd"/>
          </w:p>
        </w:tc>
      </w:tr>
      <w:tr w:rsidR="00286211" w:rsidRPr="00E2228A" w:rsidTr="00D25311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286211" w:rsidRPr="00E2228A" w:rsidRDefault="00286211" w:rsidP="00D25311">
            <w:pPr>
              <w:pStyle w:val="Quote"/>
              <w:spacing w:line="480" w:lineRule="auto"/>
              <w:rPr>
                <w:rFonts w:eastAsiaTheme="majorEastAsia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2228A">
              <w:rPr>
                <w:rFonts w:cs="Arial"/>
                <w:sz w:val="20"/>
                <w:szCs w:val="20"/>
                <w:vertAlign w:val="superscript"/>
              </w:rPr>
              <w:t>a</w:t>
            </w:r>
            <w:r w:rsidRPr="00E2228A">
              <w:rPr>
                <w:rFonts w:cs="Arial"/>
                <w:sz w:val="20"/>
                <w:szCs w:val="20"/>
              </w:rPr>
              <w:t>Relevant</w:t>
            </w:r>
            <w:proofErr w:type="spellEnd"/>
            <w:proofErr w:type="gramEnd"/>
            <w:r w:rsidRPr="00E2228A">
              <w:rPr>
                <w:rFonts w:cs="Arial"/>
                <w:sz w:val="20"/>
                <w:szCs w:val="20"/>
              </w:rPr>
              <w:t xml:space="preserve"> reviews and meta-analyses were ordered and bibliographic references were reviewed for additional relevant studies. </w:t>
            </w:r>
          </w:p>
          <w:p w:rsidR="00286211" w:rsidRPr="00E2228A" w:rsidRDefault="00286211" w:rsidP="00D25311">
            <w:pPr>
              <w:pStyle w:val="Quote"/>
              <w:spacing w:line="480" w:lineRule="auto"/>
              <w:rPr>
                <w:rFonts w:eastAsiaTheme="majorEastAsia" w:cs="Arial"/>
                <w:b/>
                <w:bCs/>
                <w:sz w:val="22"/>
              </w:rPr>
            </w:pPr>
            <w:r w:rsidRPr="00E2228A">
              <w:rPr>
                <w:rFonts w:cs="Arial"/>
                <w:sz w:val="20"/>
                <w:szCs w:val="20"/>
              </w:rPr>
              <w:t xml:space="preserve">ALGS, </w:t>
            </w:r>
            <w:proofErr w:type="spellStart"/>
            <w:r w:rsidRPr="00E2228A">
              <w:rPr>
                <w:rFonts w:cs="Arial"/>
                <w:sz w:val="20"/>
                <w:szCs w:val="20"/>
              </w:rPr>
              <w:t>Alagille</w:t>
            </w:r>
            <w:proofErr w:type="spellEnd"/>
            <w:r w:rsidRPr="00E2228A">
              <w:rPr>
                <w:rFonts w:cs="Arial"/>
                <w:sz w:val="20"/>
                <w:szCs w:val="20"/>
              </w:rPr>
              <w:t xml:space="preserve"> syndrome, N/A, not applicable; SR, systematic review.</w:t>
            </w:r>
          </w:p>
        </w:tc>
      </w:tr>
    </w:tbl>
    <w:p w:rsidR="00286211" w:rsidRPr="00E2228A" w:rsidRDefault="00286211" w:rsidP="00286211">
      <w:pPr>
        <w:pStyle w:val="ListParagraph"/>
        <w:spacing w:line="480" w:lineRule="auto"/>
        <w:ind w:left="1080"/>
        <w:rPr>
          <w:rFonts w:cstheme="minorHAnsi"/>
          <w:b/>
        </w:rPr>
      </w:pPr>
      <w:r w:rsidRPr="00E2228A">
        <w:rPr>
          <w:rFonts w:cstheme="minorHAnsi"/>
          <w:b/>
        </w:rPr>
        <w:br w:type="page"/>
      </w:r>
      <w:r w:rsidRPr="00E2228A">
        <w:rPr>
          <w:rFonts w:cstheme="minorHAnsi"/>
          <w:b/>
        </w:rPr>
        <w:lastRenderedPageBreak/>
        <w:t xml:space="preserve">b) Eligibility criteria for </w:t>
      </w:r>
      <w:proofErr w:type="spellStart"/>
      <w:r w:rsidRPr="00E2228A">
        <w:rPr>
          <w:rFonts w:cstheme="minorHAnsi"/>
          <w:b/>
        </w:rPr>
        <w:t>HRQoL</w:t>
      </w:r>
      <w:proofErr w:type="spellEnd"/>
      <w:r w:rsidRPr="00E2228A">
        <w:rPr>
          <w:rFonts w:cstheme="minorHAnsi"/>
          <w:b/>
        </w:rPr>
        <w:t xml:space="preserve">. </w:t>
      </w:r>
    </w:p>
    <w:tbl>
      <w:tblPr>
        <w:tblStyle w:val="TableGrid"/>
        <w:tblW w:w="4737" w:type="pct"/>
        <w:tblLook w:val="04A0" w:firstRow="1" w:lastRow="0" w:firstColumn="1" w:lastColumn="0" w:noHBand="0" w:noVBand="1"/>
      </w:tblPr>
      <w:tblGrid>
        <w:gridCol w:w="1809"/>
        <w:gridCol w:w="3686"/>
        <w:gridCol w:w="3261"/>
      </w:tblGrid>
      <w:tr w:rsidR="00286211" w:rsidRPr="00E2228A" w:rsidTr="00D25311">
        <w:tc>
          <w:tcPr>
            <w:tcW w:w="1033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cs="Arial"/>
              </w:rPr>
            </w:pPr>
          </w:p>
        </w:tc>
        <w:tc>
          <w:tcPr>
            <w:tcW w:w="2105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jc w:val="center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  <w:b/>
              </w:rPr>
              <w:t>Inclusion criteria</w:t>
            </w:r>
          </w:p>
        </w:tc>
        <w:tc>
          <w:tcPr>
            <w:tcW w:w="1862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jc w:val="center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  <w:b/>
              </w:rPr>
              <w:t>Exclusion criteria</w:t>
            </w:r>
          </w:p>
        </w:tc>
      </w:tr>
      <w:tr w:rsidR="00286211" w:rsidRPr="00E2228A" w:rsidTr="00D25311">
        <w:tc>
          <w:tcPr>
            <w:tcW w:w="1033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Population</w:t>
            </w:r>
          </w:p>
        </w:tc>
        <w:tc>
          <w:tcPr>
            <w:tcW w:w="2105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Patients with ALGS (adults or children)</w:t>
            </w:r>
          </w:p>
        </w:tc>
        <w:tc>
          <w:tcPr>
            <w:tcW w:w="1862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cstheme="minorHAnsi"/>
              </w:rPr>
            </w:pPr>
            <w:r w:rsidRPr="00E2228A">
              <w:rPr>
                <w:rFonts w:cstheme="minorHAnsi"/>
              </w:rPr>
              <w:t>Animal/</w:t>
            </w:r>
            <w:r w:rsidRPr="00E2228A">
              <w:rPr>
                <w:rFonts w:cstheme="minorHAnsi"/>
                <w:i/>
              </w:rPr>
              <w:t>in vitro</w:t>
            </w:r>
          </w:p>
        </w:tc>
      </w:tr>
      <w:tr w:rsidR="00286211" w:rsidRPr="00E2228A" w:rsidTr="00D25311">
        <w:tc>
          <w:tcPr>
            <w:tcW w:w="1033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Interventions</w:t>
            </w:r>
          </w:p>
        </w:tc>
        <w:tc>
          <w:tcPr>
            <w:tcW w:w="2105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Any approved or experimental therapy or no treatment</w:t>
            </w:r>
          </w:p>
        </w:tc>
        <w:tc>
          <w:tcPr>
            <w:tcW w:w="1862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N/A</w:t>
            </w:r>
          </w:p>
        </w:tc>
      </w:tr>
      <w:tr w:rsidR="00286211" w:rsidRPr="00E2228A" w:rsidTr="00D25311">
        <w:tc>
          <w:tcPr>
            <w:tcW w:w="1033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Study design</w:t>
            </w:r>
          </w:p>
        </w:tc>
        <w:tc>
          <w:tcPr>
            <w:tcW w:w="2105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Prospective or retrospective trial</w:t>
            </w:r>
          </w:p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Observational study</w:t>
            </w:r>
          </w:p>
        </w:tc>
        <w:tc>
          <w:tcPr>
            <w:tcW w:w="1862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Case study</w:t>
            </w:r>
          </w:p>
        </w:tc>
      </w:tr>
      <w:tr w:rsidR="00286211" w:rsidRPr="00E2228A" w:rsidTr="00D25311">
        <w:tc>
          <w:tcPr>
            <w:tcW w:w="1033" w:type="pct"/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Outcomes</w:t>
            </w:r>
          </w:p>
        </w:tc>
        <w:tc>
          <w:tcPr>
            <w:tcW w:w="2105" w:type="pct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contextualSpacing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Utilities (using any elicitation method) or preference weight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Including disutility associated with adverse events</w:t>
            </w:r>
          </w:p>
          <w:p w:rsidR="00286211" w:rsidRPr="00E2228A" w:rsidRDefault="00286211" w:rsidP="00D25311">
            <w:pPr>
              <w:keepNext/>
              <w:widowControl w:val="0"/>
              <w:spacing w:line="480" w:lineRule="auto"/>
              <w:contextualSpacing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Mapping studies</w:t>
            </w:r>
          </w:p>
          <w:p w:rsidR="00286211" w:rsidRPr="00E2228A" w:rsidRDefault="00286211" w:rsidP="00D25311">
            <w:pPr>
              <w:keepNext/>
              <w:widowControl w:val="0"/>
              <w:spacing w:line="480" w:lineRule="auto"/>
              <w:contextualSpacing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 xml:space="preserve">Generic and disease-specific </w:t>
            </w:r>
            <w:proofErr w:type="spellStart"/>
            <w:r w:rsidRPr="00E2228A">
              <w:rPr>
                <w:rFonts w:cs="Arial"/>
              </w:rPr>
              <w:t>HRQoL</w:t>
            </w:r>
            <w:proofErr w:type="spellEnd"/>
            <w:r w:rsidRPr="00E2228A">
              <w:rPr>
                <w:rFonts w:cs="Arial"/>
              </w:rPr>
              <w:t xml:space="preserve"> questionnaires, for example, </w:t>
            </w:r>
            <w:r w:rsidRPr="00E2228A">
              <w:rPr>
                <w:rFonts w:cs="Arial"/>
                <w:color w:val="0A0905"/>
              </w:rPr>
              <w:t xml:space="preserve">EQ-5D, </w:t>
            </w:r>
            <w:r w:rsidRPr="00E2228A">
              <w:rPr>
                <w:rFonts w:cs="Arial"/>
              </w:rPr>
              <w:t xml:space="preserve">SF-6D, SF-12, SF-36, VAS, </w:t>
            </w:r>
            <w:proofErr w:type="spellStart"/>
            <w:r w:rsidRPr="00E2228A">
              <w:rPr>
                <w:rFonts w:cs="Arial"/>
              </w:rPr>
              <w:t>PedsQL</w:t>
            </w:r>
            <w:proofErr w:type="spellEnd"/>
            <w:r w:rsidRPr="00E2228A">
              <w:rPr>
                <w:rFonts w:cs="Arial"/>
              </w:rPr>
              <w:t xml:space="preserve">, itching severity scales </w:t>
            </w:r>
          </w:p>
        </w:tc>
        <w:tc>
          <w:tcPr>
            <w:tcW w:w="1862" w:type="pct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contextualSpacing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All other outcomes including: clinical outcomes, treatment preferences, risk factors</w:t>
            </w:r>
          </w:p>
        </w:tc>
      </w:tr>
      <w:tr w:rsidR="00286211" w:rsidRPr="00E2228A" w:rsidTr="00D25311">
        <w:tc>
          <w:tcPr>
            <w:tcW w:w="1033" w:type="pct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Publication type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Primary data</w:t>
            </w: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keepNext/>
              <w:widowControl w:val="0"/>
              <w:spacing w:after="40"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 xml:space="preserve">Editorial, letter, systematic </w:t>
            </w:r>
            <w:proofErr w:type="spellStart"/>
            <w:r w:rsidRPr="00E2228A">
              <w:rPr>
                <w:rFonts w:cstheme="minorHAnsi"/>
              </w:rPr>
              <w:t>review</w:t>
            </w:r>
            <w:r w:rsidRPr="00E2228A">
              <w:rPr>
                <w:rFonts w:cstheme="minorHAnsi"/>
                <w:vertAlign w:val="superscript"/>
              </w:rPr>
              <w:t>a</w:t>
            </w:r>
            <w:proofErr w:type="spellEnd"/>
            <w:r w:rsidRPr="00E2228A">
              <w:rPr>
                <w:rFonts w:cstheme="minorHAnsi"/>
              </w:rPr>
              <w:t>, meta-</w:t>
            </w:r>
            <w:proofErr w:type="spellStart"/>
            <w:r w:rsidRPr="00E2228A">
              <w:rPr>
                <w:rFonts w:cstheme="minorHAnsi"/>
              </w:rPr>
              <w:t>analysis</w:t>
            </w:r>
            <w:r w:rsidRPr="00E2228A">
              <w:rPr>
                <w:rFonts w:cstheme="minorHAnsi"/>
                <w:vertAlign w:val="superscript"/>
              </w:rPr>
              <w:t>a</w:t>
            </w:r>
            <w:proofErr w:type="spellEnd"/>
            <w:r w:rsidRPr="00E2228A">
              <w:rPr>
                <w:rFonts w:cstheme="minorHAnsi"/>
              </w:rPr>
              <w:t xml:space="preserve">, </w:t>
            </w:r>
            <w:proofErr w:type="spellStart"/>
            <w:r w:rsidRPr="00E2228A">
              <w:rPr>
                <w:rFonts w:cstheme="minorHAnsi"/>
              </w:rPr>
              <w:t>review</w:t>
            </w:r>
            <w:r w:rsidRPr="00E2228A">
              <w:rPr>
                <w:rFonts w:cstheme="minorHAnsi"/>
                <w:vertAlign w:val="superscript"/>
              </w:rPr>
              <w:t>a</w:t>
            </w:r>
            <w:proofErr w:type="spellEnd"/>
          </w:p>
        </w:tc>
      </w:tr>
      <w:tr w:rsidR="00286211" w:rsidRPr="00E2228A" w:rsidTr="00D25311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286211" w:rsidRPr="00E2228A" w:rsidRDefault="00286211" w:rsidP="00D25311">
            <w:pPr>
              <w:pStyle w:val="Quote"/>
              <w:spacing w:line="480" w:lineRule="auto"/>
              <w:rPr>
                <w:rFonts w:eastAsiaTheme="majorEastAsia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2228A">
              <w:rPr>
                <w:rFonts w:cs="Arial"/>
                <w:sz w:val="20"/>
                <w:szCs w:val="20"/>
                <w:vertAlign w:val="superscript"/>
              </w:rPr>
              <w:t>a</w:t>
            </w:r>
            <w:r w:rsidRPr="00E2228A">
              <w:rPr>
                <w:rFonts w:cs="Arial"/>
                <w:sz w:val="20"/>
                <w:szCs w:val="20"/>
              </w:rPr>
              <w:t>Relevant</w:t>
            </w:r>
            <w:proofErr w:type="spellEnd"/>
            <w:proofErr w:type="gramEnd"/>
            <w:r w:rsidRPr="00E2228A">
              <w:rPr>
                <w:rFonts w:cs="Arial"/>
                <w:sz w:val="20"/>
                <w:szCs w:val="20"/>
              </w:rPr>
              <w:t xml:space="preserve"> reviews and meta-analyses were ordered and bibliographic references were reviewed for additional relevant studies. </w:t>
            </w:r>
          </w:p>
          <w:p w:rsidR="00286211" w:rsidRPr="00E2228A" w:rsidRDefault="00286211" w:rsidP="00D25311">
            <w:pPr>
              <w:pStyle w:val="Quote"/>
              <w:spacing w:line="480" w:lineRule="auto"/>
              <w:rPr>
                <w:rFonts w:eastAsiaTheme="majorEastAsia" w:cs="Arial"/>
                <w:b/>
                <w:bCs/>
                <w:sz w:val="22"/>
              </w:rPr>
            </w:pPr>
            <w:r w:rsidRPr="00E2228A">
              <w:rPr>
                <w:rFonts w:cs="Arial"/>
                <w:sz w:val="20"/>
                <w:szCs w:val="20"/>
              </w:rPr>
              <w:t xml:space="preserve">ALGS, </w:t>
            </w:r>
            <w:proofErr w:type="spellStart"/>
            <w:r w:rsidRPr="00E2228A">
              <w:rPr>
                <w:rFonts w:cs="Arial"/>
                <w:sz w:val="20"/>
                <w:szCs w:val="20"/>
              </w:rPr>
              <w:t>Alagille</w:t>
            </w:r>
            <w:proofErr w:type="spellEnd"/>
            <w:r w:rsidRPr="00E2228A">
              <w:rPr>
                <w:rFonts w:cs="Arial"/>
                <w:sz w:val="20"/>
                <w:szCs w:val="20"/>
              </w:rPr>
              <w:t xml:space="preserve"> syndrome; EQ-5D, 5- dimension </w:t>
            </w:r>
            <w:proofErr w:type="spellStart"/>
            <w:r w:rsidRPr="00E2228A">
              <w:rPr>
                <w:rFonts w:cs="Arial"/>
                <w:sz w:val="20"/>
                <w:szCs w:val="20"/>
              </w:rPr>
              <w:t>EuroQol</w:t>
            </w:r>
            <w:proofErr w:type="spellEnd"/>
            <w:r w:rsidRPr="00E2228A">
              <w:rPr>
                <w:rFonts w:cs="Arial"/>
                <w:sz w:val="20"/>
                <w:szCs w:val="20"/>
              </w:rPr>
              <w:t xml:space="preserve"> questionnaire; </w:t>
            </w:r>
            <w:proofErr w:type="spellStart"/>
            <w:r w:rsidRPr="00E2228A">
              <w:rPr>
                <w:rFonts w:cs="Arial"/>
                <w:sz w:val="20"/>
                <w:szCs w:val="20"/>
              </w:rPr>
              <w:t>HRQoL</w:t>
            </w:r>
            <w:proofErr w:type="spellEnd"/>
            <w:r w:rsidRPr="00E2228A">
              <w:rPr>
                <w:rFonts w:cs="Arial"/>
                <w:sz w:val="20"/>
                <w:szCs w:val="20"/>
              </w:rPr>
              <w:t xml:space="preserve">, health-related quality of life; N/A, not applicable; </w:t>
            </w:r>
            <w:proofErr w:type="spellStart"/>
            <w:r w:rsidRPr="00E2228A">
              <w:rPr>
                <w:rFonts w:cs="Arial"/>
                <w:sz w:val="20"/>
                <w:szCs w:val="20"/>
              </w:rPr>
              <w:t>PedsQL</w:t>
            </w:r>
            <w:proofErr w:type="spellEnd"/>
            <w:r w:rsidRPr="00E222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2228A">
              <w:rPr>
                <w:rStyle w:val="st"/>
                <w:rFonts w:cs="Arial"/>
                <w:sz w:val="20"/>
                <w:szCs w:val="20"/>
              </w:rPr>
              <w:t>Pediatric</w:t>
            </w:r>
            <w:proofErr w:type="spellEnd"/>
            <w:r w:rsidRPr="00E2228A">
              <w:rPr>
                <w:rStyle w:val="st"/>
                <w:rFonts w:cs="Arial"/>
                <w:sz w:val="20"/>
                <w:szCs w:val="20"/>
              </w:rPr>
              <w:t xml:space="preserve"> Quality of Life Inventory; </w:t>
            </w:r>
            <w:r w:rsidRPr="00E2228A">
              <w:rPr>
                <w:rFonts w:cs="Arial"/>
                <w:sz w:val="20"/>
                <w:szCs w:val="20"/>
              </w:rPr>
              <w:t>SF-6D, 6-</w:t>
            </w:r>
            <w:r w:rsidRPr="00E2228A">
              <w:rPr>
                <w:rFonts w:cs="Arial"/>
                <w:sz w:val="20"/>
                <w:szCs w:val="20"/>
              </w:rPr>
              <w:lastRenderedPageBreak/>
              <w:t>dimension Short-Form Health Survey; SF-12, 12-item Short-Form Health Survey; SF-36, 36-item Short-Form Health Survey; VAS, visual analog</w:t>
            </w:r>
            <w:r>
              <w:rPr>
                <w:rFonts w:cs="Arial"/>
                <w:sz w:val="20"/>
                <w:szCs w:val="20"/>
              </w:rPr>
              <w:t>ue</w:t>
            </w:r>
            <w:r w:rsidRPr="00E2228A">
              <w:rPr>
                <w:rFonts w:cs="Arial"/>
                <w:sz w:val="20"/>
                <w:szCs w:val="20"/>
              </w:rPr>
              <w:t xml:space="preserve"> scale. </w:t>
            </w:r>
          </w:p>
        </w:tc>
      </w:tr>
    </w:tbl>
    <w:p w:rsidR="00286211" w:rsidRPr="00E2228A" w:rsidRDefault="00286211" w:rsidP="00286211">
      <w:pPr>
        <w:pStyle w:val="ListParagraph"/>
        <w:spacing w:line="480" w:lineRule="auto"/>
        <w:ind w:left="1080"/>
        <w:rPr>
          <w:rFonts w:cstheme="minorHAnsi"/>
          <w:b/>
        </w:rPr>
      </w:pPr>
      <w:r w:rsidRPr="00E2228A">
        <w:rPr>
          <w:rFonts w:cstheme="minorHAnsi"/>
          <w:b/>
        </w:rPr>
        <w:lastRenderedPageBreak/>
        <w:br w:type="page"/>
      </w:r>
    </w:p>
    <w:p w:rsidR="00286211" w:rsidRPr="00E2228A" w:rsidRDefault="00286211" w:rsidP="00286211">
      <w:pPr>
        <w:pStyle w:val="ListParagraph"/>
        <w:spacing w:line="480" w:lineRule="auto"/>
        <w:ind w:left="1080"/>
        <w:rPr>
          <w:rFonts w:cstheme="minorHAnsi"/>
          <w:b/>
        </w:rPr>
      </w:pPr>
      <w:r w:rsidRPr="00E2228A">
        <w:rPr>
          <w:rFonts w:cstheme="minorHAnsi"/>
          <w:b/>
        </w:rPr>
        <w:lastRenderedPageBreak/>
        <w:t xml:space="preserve">c) Eligibility criteria for economic evaluation and resource use studies. </w:t>
      </w:r>
    </w:p>
    <w:tbl>
      <w:tblPr>
        <w:tblStyle w:val="TableGrid"/>
        <w:tblW w:w="4737" w:type="pct"/>
        <w:tblLook w:val="04A0" w:firstRow="1" w:lastRow="0" w:firstColumn="1" w:lastColumn="0" w:noHBand="0" w:noVBand="1"/>
      </w:tblPr>
      <w:tblGrid>
        <w:gridCol w:w="1809"/>
        <w:gridCol w:w="3686"/>
        <w:gridCol w:w="3261"/>
      </w:tblGrid>
      <w:tr w:rsidR="00286211" w:rsidRPr="00E2228A" w:rsidTr="00D25311">
        <w:trPr>
          <w:trHeight w:val="367"/>
        </w:trPr>
        <w:tc>
          <w:tcPr>
            <w:tcW w:w="1809" w:type="dxa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rPr>
                <w:rFonts w:cs="Arial"/>
              </w:rPr>
            </w:pPr>
          </w:p>
        </w:tc>
        <w:tc>
          <w:tcPr>
            <w:tcW w:w="3686" w:type="dxa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jc w:val="center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  <w:b/>
              </w:rPr>
              <w:t>Inclusion criteria</w:t>
            </w:r>
          </w:p>
        </w:tc>
        <w:tc>
          <w:tcPr>
            <w:tcW w:w="3261" w:type="dxa"/>
          </w:tcPr>
          <w:p w:rsidR="00286211" w:rsidRPr="00E2228A" w:rsidRDefault="00286211" w:rsidP="00D25311">
            <w:pPr>
              <w:keepNext/>
              <w:widowControl w:val="0"/>
              <w:spacing w:before="40" w:after="40" w:line="480" w:lineRule="auto"/>
              <w:jc w:val="center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  <w:b/>
              </w:rPr>
              <w:t>Exclusion criteria</w:t>
            </w:r>
          </w:p>
        </w:tc>
      </w:tr>
      <w:tr w:rsidR="00286211" w:rsidRPr="00E2228A" w:rsidTr="00D25311">
        <w:trPr>
          <w:trHeight w:val="404"/>
        </w:trPr>
        <w:tc>
          <w:tcPr>
            <w:tcW w:w="1809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Population</w:t>
            </w:r>
          </w:p>
        </w:tc>
        <w:tc>
          <w:tcPr>
            <w:tcW w:w="3686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Patients with ALGS (adults or children)</w:t>
            </w:r>
          </w:p>
        </w:tc>
        <w:tc>
          <w:tcPr>
            <w:tcW w:w="3261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Animal/</w:t>
            </w:r>
            <w:r w:rsidRPr="00E2228A">
              <w:rPr>
                <w:rFonts w:cstheme="minorHAnsi"/>
                <w:i/>
              </w:rPr>
              <w:t>in vitro</w:t>
            </w:r>
          </w:p>
        </w:tc>
      </w:tr>
      <w:tr w:rsidR="00286211" w:rsidRPr="00E2228A" w:rsidTr="00D25311">
        <w:tc>
          <w:tcPr>
            <w:tcW w:w="1809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Interventions</w:t>
            </w:r>
          </w:p>
        </w:tc>
        <w:tc>
          <w:tcPr>
            <w:tcW w:w="3686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Any approved or experimental therapy or no treatment</w:t>
            </w:r>
          </w:p>
        </w:tc>
        <w:tc>
          <w:tcPr>
            <w:tcW w:w="3261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N/A</w:t>
            </w:r>
          </w:p>
        </w:tc>
      </w:tr>
      <w:tr w:rsidR="00286211" w:rsidRPr="00E2228A" w:rsidTr="00D25311">
        <w:tc>
          <w:tcPr>
            <w:tcW w:w="1809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Study design</w:t>
            </w:r>
          </w:p>
        </w:tc>
        <w:tc>
          <w:tcPr>
            <w:tcW w:w="3686" w:type="dxa"/>
          </w:tcPr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Prospective or retrospective study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Observational study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Economic evaluation</w:t>
            </w:r>
          </w:p>
        </w:tc>
        <w:tc>
          <w:tcPr>
            <w:tcW w:w="3261" w:type="dxa"/>
          </w:tcPr>
          <w:p w:rsidR="00286211" w:rsidRPr="00E2228A" w:rsidRDefault="00286211" w:rsidP="00D25311">
            <w:pPr>
              <w:keepNext/>
              <w:widowControl w:val="0"/>
              <w:spacing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Case study</w:t>
            </w:r>
          </w:p>
        </w:tc>
      </w:tr>
      <w:tr w:rsidR="00286211" w:rsidRPr="00E2228A" w:rsidTr="00D25311">
        <w:tc>
          <w:tcPr>
            <w:tcW w:w="1809" w:type="dxa"/>
          </w:tcPr>
          <w:p w:rsidR="00286211" w:rsidRPr="00E2228A" w:rsidRDefault="00286211" w:rsidP="00D25311">
            <w:pPr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Outcomes</w:t>
            </w:r>
          </w:p>
        </w:tc>
        <w:tc>
          <w:tcPr>
            <w:tcW w:w="3686" w:type="dxa"/>
          </w:tcPr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ICERs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QALYs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Direct costs (total or disaggregated costs) associated with ALGS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1"/>
                <w:numId w:val="5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 xml:space="preserve">Individual costs to include hospitalization, pharmaceutical and </w:t>
            </w:r>
            <w:proofErr w:type="spellStart"/>
            <w:r w:rsidRPr="00E2228A">
              <w:rPr>
                <w:rFonts w:cs="Arial"/>
              </w:rPr>
              <w:t>labor</w:t>
            </w:r>
            <w:proofErr w:type="spellEnd"/>
            <w:r w:rsidRPr="00E2228A">
              <w:rPr>
                <w:rFonts w:cs="Arial"/>
              </w:rPr>
              <w:t xml:space="preserve"> costs</w:t>
            </w:r>
          </w:p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line="480" w:lineRule="auto"/>
              <w:ind w:left="0" w:hanging="284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Indirect costs associated with sick leave, disability, etc.</w:t>
            </w:r>
          </w:p>
        </w:tc>
        <w:tc>
          <w:tcPr>
            <w:tcW w:w="3261" w:type="dxa"/>
          </w:tcPr>
          <w:p w:rsidR="00286211" w:rsidRPr="00E2228A" w:rsidRDefault="00286211" w:rsidP="00286211">
            <w:pPr>
              <w:pStyle w:val="ListParagraph"/>
              <w:keepNext/>
              <w:widowControl w:val="0"/>
              <w:numPr>
                <w:ilvl w:val="1"/>
                <w:numId w:val="4"/>
              </w:numPr>
              <w:spacing w:line="480" w:lineRule="auto"/>
              <w:ind w:left="0" w:hanging="284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>All other outcomes including: clinical outcomes, treatment preferences, risk factors</w:t>
            </w:r>
          </w:p>
        </w:tc>
      </w:tr>
      <w:tr w:rsidR="00286211" w:rsidRPr="00E2228A" w:rsidTr="00D25311">
        <w:tc>
          <w:tcPr>
            <w:tcW w:w="1809" w:type="dxa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spacing w:line="480" w:lineRule="auto"/>
              <w:rPr>
                <w:rFonts w:eastAsiaTheme="majorEastAsia" w:cs="Arial"/>
                <w:b/>
                <w:bCs/>
                <w:sz w:val="24"/>
                <w:lang w:eastAsia="ja-JP"/>
              </w:rPr>
            </w:pPr>
            <w:r w:rsidRPr="00E2228A">
              <w:rPr>
                <w:rFonts w:cs="Arial"/>
              </w:rPr>
              <w:t xml:space="preserve">Publication </w:t>
            </w:r>
            <w:r w:rsidRPr="00E2228A">
              <w:rPr>
                <w:rFonts w:cs="Arial"/>
                <w:lang w:eastAsia="ja-JP"/>
              </w:rPr>
              <w:t>type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spacing w:line="480" w:lineRule="auto"/>
              <w:rPr>
                <w:rFonts w:eastAsiaTheme="majorEastAsia" w:cs="Arial"/>
                <w:b/>
                <w:bCs/>
                <w:sz w:val="24"/>
              </w:rPr>
            </w:pPr>
            <w:r w:rsidRPr="00E2228A">
              <w:rPr>
                <w:rFonts w:cs="Arial"/>
              </w:rPr>
              <w:t>Primary data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86211" w:rsidRPr="00E2228A" w:rsidRDefault="00286211" w:rsidP="00D25311">
            <w:pPr>
              <w:spacing w:line="480" w:lineRule="auto"/>
              <w:rPr>
                <w:rFonts w:eastAsiaTheme="majorEastAsia" w:cstheme="minorHAnsi"/>
                <w:b/>
                <w:bCs/>
                <w:sz w:val="24"/>
              </w:rPr>
            </w:pPr>
            <w:r w:rsidRPr="00E2228A">
              <w:rPr>
                <w:rFonts w:cstheme="minorHAnsi"/>
              </w:rPr>
              <w:t xml:space="preserve">Editorial, letter, systematic </w:t>
            </w:r>
            <w:proofErr w:type="spellStart"/>
            <w:r w:rsidRPr="00E2228A">
              <w:rPr>
                <w:rFonts w:cstheme="minorHAnsi"/>
              </w:rPr>
              <w:t>review</w:t>
            </w:r>
            <w:r w:rsidRPr="00E2228A">
              <w:rPr>
                <w:rFonts w:cstheme="minorHAnsi"/>
                <w:vertAlign w:val="superscript"/>
              </w:rPr>
              <w:t>a</w:t>
            </w:r>
            <w:proofErr w:type="spellEnd"/>
            <w:r w:rsidRPr="00E2228A">
              <w:rPr>
                <w:rFonts w:cstheme="minorHAnsi"/>
              </w:rPr>
              <w:t>, meta-</w:t>
            </w:r>
            <w:proofErr w:type="spellStart"/>
            <w:r w:rsidRPr="00E2228A">
              <w:rPr>
                <w:rFonts w:cstheme="minorHAnsi"/>
              </w:rPr>
              <w:t>analysis</w:t>
            </w:r>
            <w:r w:rsidRPr="00E2228A">
              <w:rPr>
                <w:rFonts w:cstheme="minorHAnsi"/>
                <w:vertAlign w:val="superscript"/>
              </w:rPr>
              <w:t>a</w:t>
            </w:r>
            <w:proofErr w:type="spellEnd"/>
            <w:r w:rsidRPr="00E2228A">
              <w:rPr>
                <w:rFonts w:cstheme="minorHAnsi"/>
              </w:rPr>
              <w:t xml:space="preserve">, </w:t>
            </w:r>
            <w:proofErr w:type="spellStart"/>
            <w:r w:rsidRPr="00E2228A">
              <w:rPr>
                <w:rFonts w:cstheme="minorHAnsi"/>
              </w:rPr>
              <w:t>review</w:t>
            </w:r>
            <w:r w:rsidRPr="00E2228A">
              <w:rPr>
                <w:rFonts w:cstheme="minorHAnsi"/>
                <w:vertAlign w:val="superscript"/>
              </w:rPr>
              <w:t>a</w:t>
            </w:r>
            <w:proofErr w:type="spellEnd"/>
          </w:p>
        </w:tc>
      </w:tr>
      <w:tr w:rsidR="00286211" w:rsidRPr="00E2228A" w:rsidTr="00D25311">
        <w:tc>
          <w:tcPr>
            <w:tcW w:w="8756" w:type="dxa"/>
            <w:gridSpan w:val="3"/>
            <w:tcBorders>
              <w:left w:val="nil"/>
              <w:bottom w:val="nil"/>
              <w:right w:val="nil"/>
            </w:tcBorders>
          </w:tcPr>
          <w:p w:rsidR="00286211" w:rsidRPr="00E2228A" w:rsidRDefault="00286211" w:rsidP="00D25311">
            <w:pPr>
              <w:spacing w:line="480" w:lineRule="auto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E2228A">
              <w:rPr>
                <w:rFonts w:cs="Arial"/>
                <w:sz w:val="20"/>
                <w:szCs w:val="20"/>
                <w:vertAlign w:val="superscript"/>
              </w:rPr>
              <w:t>a</w:t>
            </w:r>
            <w:r w:rsidRPr="00E2228A">
              <w:rPr>
                <w:rFonts w:cs="Arial"/>
                <w:sz w:val="20"/>
                <w:szCs w:val="20"/>
              </w:rPr>
              <w:t>Relevant</w:t>
            </w:r>
            <w:proofErr w:type="spellEnd"/>
            <w:proofErr w:type="gramEnd"/>
            <w:r w:rsidRPr="00E2228A">
              <w:rPr>
                <w:rFonts w:cs="Arial"/>
                <w:sz w:val="20"/>
                <w:szCs w:val="20"/>
              </w:rPr>
              <w:t xml:space="preserve"> reviews and meta-analyses were ordered and bibliographic references were reviewed for additional relevant studies.</w:t>
            </w:r>
          </w:p>
          <w:p w:rsidR="00286211" w:rsidRPr="00E2228A" w:rsidRDefault="00286211" w:rsidP="00D25311">
            <w:pPr>
              <w:spacing w:line="480" w:lineRule="auto"/>
              <w:rPr>
                <w:rFonts w:cs="Arial"/>
              </w:rPr>
            </w:pPr>
            <w:r w:rsidRPr="00E2228A">
              <w:rPr>
                <w:rFonts w:cs="Arial"/>
                <w:sz w:val="20"/>
                <w:szCs w:val="20"/>
              </w:rPr>
              <w:t xml:space="preserve">ALGS, </w:t>
            </w:r>
            <w:proofErr w:type="spellStart"/>
            <w:r w:rsidRPr="00E2228A">
              <w:rPr>
                <w:rFonts w:cs="Arial"/>
                <w:sz w:val="20"/>
                <w:szCs w:val="20"/>
              </w:rPr>
              <w:t>Alagille</w:t>
            </w:r>
            <w:proofErr w:type="spellEnd"/>
            <w:r w:rsidRPr="00E2228A">
              <w:rPr>
                <w:rFonts w:cs="Arial"/>
                <w:sz w:val="20"/>
                <w:szCs w:val="20"/>
              </w:rPr>
              <w:t xml:space="preserve"> syndrome; ICER, incremental cost-effectiveness ratio; N/A, not applicable; QALY, quality-adjusted life-year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86211" w:rsidRPr="00E2228A" w:rsidRDefault="00286211" w:rsidP="00286211">
      <w:pPr>
        <w:spacing w:line="480" w:lineRule="auto"/>
      </w:pPr>
      <w:r w:rsidRPr="00E2228A">
        <w:br w:type="page"/>
      </w:r>
    </w:p>
    <w:p w:rsidR="00286211" w:rsidRPr="00E2228A" w:rsidRDefault="00286211" w:rsidP="00286211">
      <w:pPr>
        <w:pStyle w:val="EndNoteBibliographyTitle"/>
        <w:spacing w:line="480" w:lineRule="auto"/>
        <w:jc w:val="left"/>
        <w:rPr>
          <w:lang w:val="en-GB"/>
        </w:rPr>
        <w:sectPr w:rsidR="00286211" w:rsidRPr="00E2228A" w:rsidSect="00A446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  <w:b/>
        </w:rPr>
      </w:pPr>
      <w:r w:rsidRPr="00E2228A">
        <w:rPr>
          <w:rFonts w:cstheme="minorHAnsi"/>
          <w:b/>
        </w:rPr>
        <w:lastRenderedPageBreak/>
        <w:t>Epidemiology/clinical features search strategies</w:t>
      </w:r>
    </w:p>
    <w:p w:rsidR="00286211" w:rsidRPr="00E2228A" w:rsidRDefault="00286211" w:rsidP="00286211">
      <w:pPr>
        <w:pStyle w:val="ListParagraph"/>
        <w:spacing w:line="480" w:lineRule="auto"/>
        <w:ind w:left="0"/>
        <w:rPr>
          <w:rFonts w:cstheme="minorHAnsi"/>
        </w:rPr>
      </w:pPr>
      <w:proofErr w:type="spellStart"/>
      <w:r w:rsidRPr="00E2228A">
        <w:rPr>
          <w:rFonts w:cstheme="minorHAnsi"/>
        </w:rPr>
        <w:t>Embase</w:t>
      </w:r>
      <w:proofErr w:type="spellEnd"/>
      <w:r w:rsidRPr="00E2228A">
        <w:rPr>
          <w:rFonts w:cstheme="minorHAnsi"/>
        </w:rPr>
        <w:t>, date assessed: 13 May 2015</w:t>
      </w:r>
    </w:p>
    <w:tbl>
      <w:tblPr>
        <w:tblW w:w="9080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672"/>
        <w:gridCol w:w="1559"/>
      </w:tblGrid>
      <w:tr w:rsidR="00286211" w:rsidRPr="00E2228A" w:rsidTr="00D2531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  <w:hideMark/>
          </w:tcPr>
          <w:p w:rsidR="00286211" w:rsidRPr="00E2228A" w:rsidRDefault="00286211" w:rsidP="00D25311">
            <w:pPr>
              <w:spacing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hyperlink r:id="rId14" w:history="1">
              <w:r w:rsidRPr="00E2228A">
                <w:rPr>
                  <w:rFonts w:eastAsia="Times New Roman" w:cstheme="minorHAnsi"/>
                  <w:b/>
                  <w:bCs/>
                  <w:color w:val="0768A9"/>
                  <w:sz w:val="20"/>
                  <w:szCs w:val="20"/>
                  <w:lang w:eastAsia="en-GB"/>
                </w:rPr>
                <w:t xml:space="preserve"># </w:t>
              </w:r>
              <w:r w:rsidRPr="00E2228A">
                <w:rPr>
                  <w:rFonts w:eastAsia="Times New Roman" w:cs="Arial"/>
                  <w:b/>
                  <w:bCs/>
                  <w:color w:val="0768A9"/>
                  <w:sz w:val="20"/>
                  <w:szCs w:val="20"/>
                  <w:lang w:eastAsia="en-GB"/>
                </w:rPr>
                <w:t>▲</w:t>
              </w:r>
            </w:hyperlink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211" w:rsidRPr="00E2228A" w:rsidRDefault="00286211" w:rsidP="00D25311">
            <w:pPr>
              <w:spacing w:line="480" w:lineRule="auto"/>
              <w:ind w:left="45" w:right="45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Searches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  <w:hideMark/>
          </w:tcPr>
          <w:p w:rsidR="00286211" w:rsidRPr="00E2228A" w:rsidRDefault="00286211" w:rsidP="00D25311">
            <w:pPr>
              <w:spacing w:before="45" w:after="45"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Results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exp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syndrome/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1214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adj2 syndrome$).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1309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algs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66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Arteriohepatic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dysplasia.mp.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127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 or 2 or 3 or 4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1355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epidemiology/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genetic epidemiology/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2208938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epidemiolog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557908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Prevalence.mp.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prevalence/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669581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familial incidence/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incidence/ or incidence.mp.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828104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history/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324659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natural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disease).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6451232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 and 11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41684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natural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history.mp.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49298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 or 7 or 8 or 9 or 12 or 13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3028965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 and 14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217</w:t>
            </w:r>
          </w:p>
        </w:tc>
      </w:tr>
      <w:tr w:rsidR="00286211" w:rsidRPr="00E2228A" w:rsidTr="00D25311">
        <w:tc>
          <w:tcPr>
            <w:tcW w:w="84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667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limit 15 to human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200</w:t>
            </w:r>
          </w:p>
        </w:tc>
      </w:tr>
    </w:tbl>
    <w:p w:rsidR="00286211" w:rsidRPr="00E2228A" w:rsidRDefault="00286211" w:rsidP="00286211">
      <w:pPr>
        <w:pStyle w:val="ListParagraph"/>
        <w:spacing w:line="480" w:lineRule="auto"/>
        <w:ind w:left="1080"/>
        <w:rPr>
          <w:rFonts w:cstheme="minorHAnsi"/>
        </w:rPr>
      </w:pPr>
    </w:p>
    <w:p w:rsidR="00286211" w:rsidRPr="00E2228A" w:rsidRDefault="00286211" w:rsidP="00286211">
      <w:pPr>
        <w:pStyle w:val="ListParagraph"/>
        <w:spacing w:line="480" w:lineRule="auto"/>
        <w:ind w:left="1080"/>
        <w:rPr>
          <w:rFonts w:cstheme="minorHAnsi"/>
          <w:b/>
        </w:rPr>
      </w:pPr>
      <w:r w:rsidRPr="00E2228A">
        <w:rPr>
          <w:rFonts w:cstheme="minorHAnsi"/>
          <w:b/>
        </w:rPr>
        <w:br w:type="page"/>
      </w:r>
    </w:p>
    <w:p w:rsidR="00286211" w:rsidRPr="00E2228A" w:rsidRDefault="00286211" w:rsidP="00286211">
      <w:pPr>
        <w:pStyle w:val="ListParagraph"/>
        <w:spacing w:line="480" w:lineRule="auto"/>
        <w:ind w:left="1080"/>
        <w:rPr>
          <w:rFonts w:cstheme="minorHAnsi"/>
          <w:b/>
        </w:rPr>
      </w:pPr>
    </w:p>
    <w:p w:rsidR="00286211" w:rsidRPr="00E2228A" w:rsidRDefault="00286211" w:rsidP="00286211">
      <w:pPr>
        <w:pStyle w:val="ListParagraph"/>
        <w:spacing w:line="480" w:lineRule="auto"/>
        <w:ind w:left="0"/>
        <w:jc w:val="both"/>
        <w:rPr>
          <w:rFonts w:cstheme="minorHAnsi"/>
        </w:rPr>
      </w:pPr>
      <w:r w:rsidRPr="00E2228A">
        <w:rPr>
          <w:rFonts w:cstheme="minorHAnsi"/>
        </w:rPr>
        <w:t>MEDLINE</w:t>
      </w:r>
      <w:r w:rsidRPr="00E2228A">
        <w:rPr>
          <w:rFonts w:cs="Arial"/>
          <w:vertAlign w:val="superscript"/>
        </w:rPr>
        <w:t>®</w:t>
      </w:r>
      <w:r w:rsidRPr="00E2228A">
        <w:rPr>
          <w:rFonts w:cstheme="minorHAnsi"/>
        </w:rPr>
        <w:t xml:space="preserve"> date assessed: 13 May 2015</w:t>
      </w:r>
    </w:p>
    <w:tbl>
      <w:tblPr>
        <w:tblW w:w="9080" w:type="dxa"/>
        <w:tblInd w:w="37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662"/>
        <w:gridCol w:w="1559"/>
      </w:tblGrid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6211" w:rsidRPr="00E2228A" w:rsidRDefault="00286211" w:rsidP="00D25311">
            <w:pPr>
              <w:spacing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hyperlink r:id="rId15" w:history="1"/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</w:tcPr>
          <w:p w:rsidR="00286211" w:rsidRPr="00E2228A" w:rsidRDefault="00286211" w:rsidP="00D25311">
            <w:pPr>
              <w:spacing w:line="480" w:lineRule="auto"/>
              <w:ind w:left="45" w:right="45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Searches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</w:tcPr>
          <w:p w:rsidR="00286211" w:rsidRPr="00E2228A" w:rsidRDefault="00286211" w:rsidP="00D25311">
            <w:pPr>
              <w:spacing w:before="45" w:after="45"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Results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exp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Syndrome/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513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adj2 syndrome$).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764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algs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50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Arteriohepatic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dysplasia.mp.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108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 or 2 or 3 or 4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828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Epidemiology/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22302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genetic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epidemiology.mp.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1635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epidemiolog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355123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Prevalence.mp.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Prevalence/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482392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incidence.mp.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Incidence/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629610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familial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incidence.mp.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574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Natural History/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648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natural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history.mp.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38542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 or 7 or 8 or 9 or 10 or 11 or 12 or 13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1334748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 and 14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50</w:t>
            </w:r>
          </w:p>
        </w:tc>
      </w:tr>
      <w:tr w:rsidR="00286211" w:rsidRPr="00E2228A" w:rsidTr="00D25311">
        <w:tc>
          <w:tcPr>
            <w:tcW w:w="8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limit 15 to humans</w:t>
            </w:r>
          </w:p>
        </w:tc>
        <w:tc>
          <w:tcPr>
            <w:tcW w:w="1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47</w:t>
            </w:r>
          </w:p>
        </w:tc>
      </w:tr>
    </w:tbl>
    <w:p w:rsidR="00286211" w:rsidRPr="00E2228A" w:rsidRDefault="00286211" w:rsidP="00286211">
      <w:pPr>
        <w:pStyle w:val="ListParagraph"/>
        <w:spacing w:line="480" w:lineRule="auto"/>
        <w:ind w:left="1080"/>
        <w:jc w:val="both"/>
        <w:rPr>
          <w:rFonts w:cstheme="minorHAnsi"/>
        </w:rPr>
      </w:pPr>
      <w:r w:rsidRPr="00E2228A">
        <w:rPr>
          <w:rFonts w:cstheme="minorHAnsi"/>
        </w:rPr>
        <w:br w:type="page"/>
      </w:r>
    </w:p>
    <w:p w:rsidR="00286211" w:rsidRPr="00E2228A" w:rsidRDefault="00286211" w:rsidP="00286211">
      <w:pPr>
        <w:pStyle w:val="ListParagraph"/>
        <w:spacing w:line="480" w:lineRule="auto"/>
        <w:ind w:left="0"/>
        <w:jc w:val="both"/>
        <w:rPr>
          <w:rFonts w:cstheme="minorHAnsi"/>
        </w:rPr>
      </w:pPr>
      <w:r w:rsidRPr="00E2228A">
        <w:rPr>
          <w:rFonts w:cstheme="minorHAnsi"/>
        </w:rPr>
        <w:lastRenderedPageBreak/>
        <w:t xml:space="preserve">Burden of illness </w:t>
      </w:r>
      <w:r w:rsidRPr="00E2228A">
        <w:rPr>
          <w:rFonts w:cstheme="minorHAnsi"/>
          <w:noProof/>
        </w:rPr>
        <w:t>search</w:t>
      </w:r>
      <w:r w:rsidRPr="00E2228A">
        <w:rPr>
          <w:rFonts w:cstheme="minorHAnsi"/>
        </w:rPr>
        <w:t xml:space="preserve"> strategies</w:t>
      </w:r>
    </w:p>
    <w:p w:rsidR="00286211" w:rsidRPr="00E2228A" w:rsidRDefault="00286211" w:rsidP="00286211">
      <w:pPr>
        <w:pStyle w:val="ListParagraph"/>
        <w:spacing w:line="480" w:lineRule="auto"/>
        <w:ind w:left="0"/>
        <w:jc w:val="both"/>
        <w:rPr>
          <w:rFonts w:cstheme="minorHAnsi"/>
        </w:rPr>
      </w:pPr>
      <w:proofErr w:type="spellStart"/>
      <w:r w:rsidRPr="00E2228A">
        <w:rPr>
          <w:rFonts w:cstheme="minorHAnsi"/>
        </w:rPr>
        <w:t>Embase</w:t>
      </w:r>
      <w:proofErr w:type="spellEnd"/>
      <w:r w:rsidRPr="00E2228A">
        <w:rPr>
          <w:rFonts w:cstheme="minorHAnsi"/>
        </w:rPr>
        <w:t>, date assessed: 13 May 2015</w:t>
      </w:r>
    </w:p>
    <w:tbl>
      <w:tblPr>
        <w:tblW w:w="5000" w:type="pct"/>
        <w:tblInd w:w="37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798"/>
        <w:gridCol w:w="1422"/>
      </w:tblGrid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6211" w:rsidRPr="00E2228A" w:rsidRDefault="00286211" w:rsidP="00D25311">
            <w:pPr>
              <w:spacing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</w:tcPr>
          <w:p w:rsidR="00286211" w:rsidRPr="00E2228A" w:rsidRDefault="00286211" w:rsidP="00D25311">
            <w:pPr>
              <w:spacing w:line="480" w:lineRule="auto"/>
              <w:ind w:left="45" w:right="45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Searches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</w:tcPr>
          <w:p w:rsidR="00286211" w:rsidRPr="00E2228A" w:rsidRDefault="00286211" w:rsidP="00D25311">
            <w:pPr>
              <w:spacing w:before="45" w:after="45"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Results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exp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syndrome/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1214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adj2 syndrome$).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1309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algs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Arteriohepatic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dysplasia.mp.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 or 2 or 3 or 4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1355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"quality of life"/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299346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qol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HRQoL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HRQL).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53685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quality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of life.mp.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344337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(Humanistic adj2 burden).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110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status.mp.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exp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Health Status/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174469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disutilit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177742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(EQ5D or EQ 5D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EuroQoL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8543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state* or HSUV).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6494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patient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preference.mp.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Patient Preference/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9778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utility index or health utility index or HUI2 or HUI3 or HUI 2 or HUI 3).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631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medical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outcome study or short-form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shortform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mos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-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sf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sf12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sf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12 or sf36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sf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36 or sf6d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sf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6d or RAND36 or RAND12 or RAND 36 or RAND 12).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45046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((quality of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well being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quality of wellbeing or QWB) and (question* or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utilit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or survey)).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290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(Time </w:t>
            </w: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Trade Off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Standard Gamble or rating$ scale).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137960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((mapping or crosswalk*) and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3368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Health Assessment Questionnaire/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questionnaire/ or questionnaire.mp.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556874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patient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report* outcome$.mp.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8989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PedsQL.mp.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1363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visual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analog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scale/ or VAS.mp. 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or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visual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analog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scale$.mp.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81808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Pruritus.mp.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pruritus/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67837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Itch*.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16952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Medication compliance/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8024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(Medication adj2 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adher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complian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17529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body image/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16005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exp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personal appearance/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512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(((personal or physical)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adj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appearance) and (feeling$ or perception or opinion$)).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 [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=title, abstract, subject headings, heading word, drug 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trade name, original title, device manufacturer, drug manufacturer, device trade name, keyword]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485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 or 7 or 8 or 9 or 10 or 11 or 12 or 13 or 14 or 15 or 16 or 17 or 18 or 19 or 20 or 21 or 22 or 23 or 24 or 25 or 26 or 27 or 28 or 29 or 30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1367525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Hospital/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Nursing/ or economics.mp.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Medical/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789244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noProof/>
                <w:color w:val="0A0905"/>
                <w:sz w:val="20"/>
                <w:szCs w:val="20"/>
                <w:lang w:eastAsia="en-GB"/>
              </w:rPr>
              <w:t>exp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"Costs and Cost Analysis"/ or (Costs and Cost Analysis).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271588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of illness.mp.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"Cost of Illness"/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16248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control.mp.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"Cost Control"/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52708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drug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costs.mp.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Drug Costs/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61751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$.mp.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720060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hospital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charges.mp.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Hospital Charges/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5325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care costs.mp.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Health Care Costs/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221289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resource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adj2 (use*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allocat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38188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Cost-Benefit Analysis.mp.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Cost-Benefit Analysis/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69463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economic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518517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minimi?ation.mp.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3236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economic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evaluation.mp.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14931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utility.mp.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7414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46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Pharmaceutical/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173356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Models, Statistical/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Markov Chains/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168890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Markov model.mp.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8178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decision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trees.mp.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Decision Trees/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7409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Models, Theoretical/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68886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Quality-Adjusted Life Years.mp.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Quality-Adjusted Life Years/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15071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QALY.mp.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8424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(Life Years Gained or LYG).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1446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incremental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cost effectiveness ratio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icer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6200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effective* or cost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or CEA or CUA).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192087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budget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impact.mp.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1466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economic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adj2 burden).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8232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health insurance/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195184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Medical claims.mp.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1337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Medicare/ or medicare.mp.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63824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Medicaid/ or medicaid.mp.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36507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32 or 33 or 34 or 35 or 36 or 37 or 38 or 39 or 40 or 41 or 42 or 43 or 44 or 45 or 46 or 47 or 48 or 49 or 50 or 51 or 52 or 53 or 54 or 55 or 56 or 57 or 58 or 59 or 60 or 61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1531855</w:t>
            </w:r>
          </w:p>
        </w:tc>
      </w:tr>
      <w:tr w:rsidR="00286211" w:rsidRPr="00E2228A" w:rsidTr="00D25311">
        <w:tc>
          <w:tcPr>
            <w:tcW w:w="47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lastRenderedPageBreak/>
              <w:t>63</w:t>
            </w:r>
          </w:p>
        </w:tc>
        <w:tc>
          <w:tcPr>
            <w:tcW w:w="374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5 and (31 or 62)</w:t>
            </w:r>
          </w:p>
        </w:tc>
        <w:tc>
          <w:tcPr>
            <w:tcW w:w="783" w:type="pc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177</w:t>
            </w:r>
          </w:p>
        </w:tc>
      </w:tr>
    </w:tbl>
    <w:p w:rsidR="00286211" w:rsidRPr="00E2228A" w:rsidRDefault="00286211" w:rsidP="00286211">
      <w:pPr>
        <w:pStyle w:val="ListParagraph"/>
        <w:spacing w:line="480" w:lineRule="auto"/>
        <w:ind w:left="1080"/>
        <w:jc w:val="both"/>
        <w:rPr>
          <w:rFonts w:cstheme="minorHAnsi"/>
        </w:rPr>
      </w:pPr>
      <w:r w:rsidRPr="00E2228A">
        <w:rPr>
          <w:rFonts w:cstheme="minorHAnsi"/>
        </w:rPr>
        <w:br w:type="page"/>
      </w:r>
    </w:p>
    <w:p w:rsidR="00286211" w:rsidRPr="00E2228A" w:rsidRDefault="00286211" w:rsidP="00286211">
      <w:pPr>
        <w:pStyle w:val="ListParagraph"/>
        <w:spacing w:line="480" w:lineRule="auto"/>
        <w:ind w:left="0"/>
        <w:jc w:val="both"/>
        <w:rPr>
          <w:rFonts w:cstheme="minorHAnsi"/>
        </w:rPr>
      </w:pPr>
      <w:r w:rsidRPr="00E2228A">
        <w:rPr>
          <w:rFonts w:cstheme="minorHAnsi"/>
        </w:rPr>
        <w:lastRenderedPageBreak/>
        <w:t>MEDLINE</w:t>
      </w:r>
      <w:r w:rsidRPr="00E2228A">
        <w:rPr>
          <w:rFonts w:cs="Arial"/>
          <w:vertAlign w:val="superscript"/>
        </w:rPr>
        <w:t>®</w:t>
      </w:r>
      <w:r w:rsidRPr="00E2228A">
        <w:rPr>
          <w:rFonts w:cstheme="minorHAnsi"/>
        </w:rPr>
        <w:t>, date assessed: 13 May 2015</w:t>
      </w:r>
    </w:p>
    <w:tbl>
      <w:tblPr>
        <w:tblW w:w="5000" w:type="pct"/>
        <w:tblInd w:w="37" w:type="dxa"/>
        <w:tblBorders>
          <w:top w:val="single" w:sz="12" w:space="0" w:color="757575"/>
          <w:left w:val="single" w:sz="12" w:space="0" w:color="757575"/>
          <w:bottom w:val="single" w:sz="12" w:space="0" w:color="757575"/>
          <w:right w:val="single" w:sz="12" w:space="0" w:color="757575"/>
        </w:tblBorders>
        <w:shd w:val="clear" w:color="auto" w:fill="ABCC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723"/>
        <w:gridCol w:w="1428"/>
      </w:tblGrid>
      <w:tr w:rsidR="00286211" w:rsidRPr="00E2228A" w:rsidTr="00D2531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bookmarkStart w:id="1" w:name="Number"/>
          <w:p w:rsidR="00286211" w:rsidRPr="00E2228A" w:rsidRDefault="00286211" w:rsidP="00D25311">
            <w:pPr>
              <w:spacing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fldChar w:fldCharType="begin"/>
            </w: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instrText xml:space="preserve"> HYPERLINK "https://ovidsp.tx.ovid.com/sp-3.15.1b/ovidweb.cgi?&amp;S=HGADFPCONIDDMKPENCKKOHOBJGCGAA00&amp;Sort+Sets=descending" </w:instrText>
            </w: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fldChar w:fldCharType="separate"/>
            </w:r>
            <w:r w:rsidRPr="00E2228A">
              <w:rPr>
                <w:rFonts w:eastAsia="Times New Roman" w:cstheme="minorHAnsi"/>
                <w:b/>
                <w:bCs/>
                <w:color w:val="0768A9"/>
                <w:sz w:val="20"/>
                <w:szCs w:val="20"/>
                <w:lang w:eastAsia="en-GB"/>
              </w:rPr>
              <w:t xml:space="preserve"># </w:t>
            </w:r>
            <w:r w:rsidRPr="00E2228A">
              <w:rPr>
                <w:rFonts w:eastAsia="Times New Roman" w:cs="Arial"/>
                <w:b/>
                <w:bCs/>
                <w:color w:val="0768A9"/>
                <w:sz w:val="20"/>
                <w:szCs w:val="20"/>
                <w:lang w:eastAsia="en-GB"/>
              </w:rPr>
              <w:t>▲</w:t>
            </w: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</w:tcPr>
          <w:p w:rsidR="00286211" w:rsidRPr="00E2228A" w:rsidRDefault="00286211" w:rsidP="00D25311">
            <w:pPr>
              <w:spacing w:line="480" w:lineRule="auto"/>
              <w:ind w:left="45" w:right="45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vAlign w:val="center"/>
          </w:tcPr>
          <w:p w:rsidR="00286211" w:rsidRPr="00E2228A" w:rsidRDefault="00286211" w:rsidP="00D25311">
            <w:pPr>
              <w:spacing w:before="45" w:after="45" w:line="480" w:lineRule="auto"/>
              <w:ind w:left="45" w:right="45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Results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syndrome/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513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Alagille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adj2 syndrome$).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764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algs.mp.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Arteriohepatic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dysplasia.mp.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 or 2 or 3 or 4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828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Quality of life.mp.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"Quality of Life"/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213430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qol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HRQOL or HRQL).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32118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humanistic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adj2 burden).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49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status.mp.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Health Status/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151541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disutilit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133755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(EQ5D or EQ 5D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EuroQoL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4852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state* or HSUV).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4154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patient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preference.mp.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Patient Preference/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6011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utility index or HUI2 or HUI3 or HUI 2 or HUI 3).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451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medical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outcome study or short-form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shortform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mos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-sf or sf12 or sf 12 or sf36 or sf 36 or sf6d or sf 6d or RAND36 or RAND12 or RAND 36 or RAND 12).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29400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((quality of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well being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or quality of wellbeing or QWB) and (question*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or survey)).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247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(Time Trade Off or Standard Gamble or rating$ scale).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35049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((mapping or crosswalk*) and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3532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Questionnaires/ or Health Assessment Questionnaire.mp.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331150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patient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report* outcome$.mp.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5090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PedsQL.mp.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767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visual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analog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scale/ or VAS.mp. 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or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visual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analog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scale$.mp.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49635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Pruritus.mp.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pruritus/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18081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Itch*.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9964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Medication adherence/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9058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(Medication adj2 (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adher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complian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14491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body image/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13447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(((personal or physical)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adj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appearance) and (feeling$ or perception or opinion$)).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 [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=title, abstract, original title, name of substance word, subject heading word, keyword heading word, protocol supplementary concept word, rare disease supplementary concept word, unique identifier]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309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 or 7 or 8 or 9 or 10 or 11 or 12 or 13 or 14 or 15 or 16 or 17 or 18 or 19 or 20 or 21 or 22 or 23 or 24 or 25 or 26 or 27 or 28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858183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Hospital/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Nursing/ </w:t>
            </w: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 xml:space="preserve">or economics.mp.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Medical/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512387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"Costs and Cost Analysis"/ or (Costs and Cost Analysis).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188263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of illness.mp.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"Cost of Illness"/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19461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control.mp.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"Cost Control"/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30186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drug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costs.mp.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Drug Costs/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14055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$.mp.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474509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hospital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charges.mp.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Hospital Charges/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4008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health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care costs.mp.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Health Care Costs/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55168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resource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adj2 (use*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allocat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*)).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24298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Cost-Benefit Analysis.mp.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Cost-Benefit Analysis/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63549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economic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229421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minimi?ation.mp.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915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economic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evaluation.mp.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5820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utility.mp.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2811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Economics, Pharmaceutical/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2572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Markov Chains/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Models, Statistical/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Models, Theoretical/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1355458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markov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model.mp.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4684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decision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trees.mp.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Decision Trees/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9724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lastRenderedPageBreak/>
              <w:t>48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Quality-Adjusted Life Years.mp.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Quality-Adjusted Life Years/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9441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QALY.mp.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4842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(Life Years Gained or LYG).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877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incremental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cost effectiveness ratio or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icer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3513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cost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effective* or cost 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utilit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* or CEA or CUA).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103885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budget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impact.mp.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490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(</w:t>
            </w:r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economic</w:t>
            </w:r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adj2 burden).</w:t>
            </w: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5203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Insurance, Health/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125876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Medical claims.mp.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738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Medicare/ or medicare.mp.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52911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exp</w:t>
            </w:r>
            <w:proofErr w:type="spellEnd"/>
            <w:proofErr w:type="gramEnd"/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 xml:space="preserve"> Medicaid/ or medicaid.mp.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36498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30 or 31 or 32 or 33 or 34 or 35 or 36 or 37 or 38 or 39 or 40 or 41 or 42 or 43 or 44 or 45 or 46 or 47 or 48 or 49 or 50 or 51 or 52 or 53 or 54 or 55 or 56 or 57 or 58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color w:val="0A0905"/>
                <w:sz w:val="20"/>
                <w:szCs w:val="20"/>
                <w:lang w:eastAsia="en-GB"/>
              </w:rPr>
              <w:t>2224981</w:t>
            </w:r>
          </w:p>
        </w:tc>
      </w:tr>
      <w:tr w:rsidR="00286211" w:rsidRPr="00E2228A" w:rsidTr="00D25311">
        <w:tc>
          <w:tcPr>
            <w:tcW w:w="9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0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5 and (29 or 59)</w:t>
            </w:r>
          </w:p>
        </w:tc>
        <w:tc>
          <w:tcPr>
            <w:tcW w:w="146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CEA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11" w:rsidRPr="00E2228A" w:rsidRDefault="00286211" w:rsidP="00D25311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</w:pPr>
            <w:r w:rsidRPr="00E2228A">
              <w:rPr>
                <w:rFonts w:eastAsia="Times New Roman" w:cstheme="minorHAnsi"/>
                <w:b/>
                <w:bCs/>
                <w:color w:val="0A0905"/>
                <w:sz w:val="20"/>
                <w:szCs w:val="20"/>
                <w:lang w:eastAsia="en-GB"/>
              </w:rPr>
              <w:t>101</w:t>
            </w:r>
          </w:p>
        </w:tc>
      </w:tr>
    </w:tbl>
    <w:p w:rsidR="00200242" w:rsidRDefault="00200242"/>
    <w:sectPr w:rsidR="0020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01" w:rsidRDefault="00542801" w:rsidP="00542801">
      <w:pPr>
        <w:spacing w:after="0" w:line="240" w:lineRule="auto"/>
      </w:pPr>
      <w:r>
        <w:separator/>
      </w:r>
    </w:p>
  </w:endnote>
  <w:endnote w:type="continuationSeparator" w:id="0">
    <w:p w:rsidR="00542801" w:rsidRDefault="00542801" w:rsidP="0054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1" w:rsidRDefault="005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1" w:rsidRDefault="00542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1" w:rsidRDefault="005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01" w:rsidRDefault="00542801" w:rsidP="00542801">
      <w:pPr>
        <w:spacing w:after="0" w:line="240" w:lineRule="auto"/>
      </w:pPr>
      <w:r>
        <w:separator/>
      </w:r>
    </w:p>
  </w:footnote>
  <w:footnote w:type="continuationSeparator" w:id="0">
    <w:p w:rsidR="00542801" w:rsidRDefault="00542801" w:rsidP="0054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1" w:rsidRDefault="005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1" w:rsidRDefault="005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1" w:rsidRDefault="005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8FA"/>
    <w:multiLevelType w:val="hybridMultilevel"/>
    <w:tmpl w:val="E354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1943"/>
    <w:multiLevelType w:val="hybridMultilevel"/>
    <w:tmpl w:val="B128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B04AD"/>
    <w:multiLevelType w:val="hybridMultilevel"/>
    <w:tmpl w:val="33AC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44DD9"/>
    <w:multiLevelType w:val="hybridMultilevel"/>
    <w:tmpl w:val="C1B6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48BB"/>
    <w:multiLevelType w:val="hybridMultilevel"/>
    <w:tmpl w:val="87E83408"/>
    <w:lvl w:ilvl="0" w:tplc="87903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16B75"/>
    <w:multiLevelType w:val="hybridMultilevel"/>
    <w:tmpl w:val="FE44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1"/>
    <w:rsid w:val="00200242"/>
    <w:rsid w:val="00286211"/>
    <w:rsid w:val="005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86211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6211"/>
    <w:pPr>
      <w:ind w:left="720"/>
      <w:contextualSpacing/>
    </w:pPr>
  </w:style>
  <w:style w:type="paragraph" w:styleId="Quote">
    <w:name w:val="Quote"/>
    <w:aliases w:val="Footnote"/>
    <w:basedOn w:val="Normal"/>
    <w:next w:val="Normal"/>
    <w:link w:val="QuoteChar"/>
    <w:qFormat/>
    <w:rsid w:val="00286211"/>
    <w:rPr>
      <w:iCs/>
      <w:color w:val="000000" w:themeColor="text1"/>
      <w:sz w:val="16"/>
    </w:rPr>
  </w:style>
  <w:style w:type="character" w:customStyle="1" w:styleId="QuoteChar">
    <w:name w:val="Quote Char"/>
    <w:aliases w:val="Footnote Char"/>
    <w:basedOn w:val="DefaultParagraphFont"/>
    <w:link w:val="Quote"/>
    <w:rsid w:val="00286211"/>
    <w:rPr>
      <w:rFonts w:ascii="Arial" w:hAnsi="Arial"/>
      <w:iCs/>
      <w:color w:val="000000" w:themeColor="text1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6211"/>
    <w:rPr>
      <w:rFonts w:ascii="Arial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286211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6211"/>
    <w:rPr>
      <w:rFonts w:ascii="Arial" w:hAnsi="Arial" w:cs="Arial"/>
      <w:noProof/>
      <w:lang w:val="en-US"/>
    </w:rPr>
  </w:style>
  <w:style w:type="table" w:styleId="TableGrid">
    <w:name w:val="Table Grid"/>
    <w:basedOn w:val="TableNormal"/>
    <w:uiPriority w:val="59"/>
    <w:rsid w:val="0028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286211"/>
    <w:pPr>
      <w:numPr>
        <w:numId w:val="2"/>
      </w:numPr>
      <w:spacing w:after="0"/>
      <w:ind w:left="714" w:hanging="357"/>
    </w:pPr>
    <w:rPr>
      <w:rFonts w:eastAsia="Times New Roman" w:cs="Arial"/>
      <w:sz w:val="20"/>
      <w:szCs w:val="20"/>
      <w:lang w:val="en-US"/>
    </w:rPr>
  </w:style>
  <w:style w:type="character" w:customStyle="1" w:styleId="bulletChar">
    <w:name w:val="bullet Char"/>
    <w:basedOn w:val="DefaultParagraphFont"/>
    <w:link w:val="bullet"/>
    <w:rsid w:val="00286211"/>
    <w:rPr>
      <w:rFonts w:ascii="Arial" w:eastAsia="Times New Roman" w:hAnsi="Arial" w:cs="Arial"/>
      <w:sz w:val="20"/>
      <w:szCs w:val="20"/>
      <w:lang w:val="en-US"/>
    </w:rPr>
  </w:style>
  <w:style w:type="character" w:customStyle="1" w:styleId="st">
    <w:name w:val="st"/>
    <w:basedOn w:val="DefaultParagraphFont"/>
    <w:rsid w:val="00286211"/>
  </w:style>
  <w:style w:type="paragraph" w:styleId="Header">
    <w:name w:val="header"/>
    <w:basedOn w:val="Normal"/>
    <w:link w:val="HeaderChar"/>
    <w:uiPriority w:val="99"/>
    <w:unhideWhenUsed/>
    <w:rsid w:val="0054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4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0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86211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6211"/>
    <w:pPr>
      <w:ind w:left="720"/>
      <w:contextualSpacing/>
    </w:pPr>
  </w:style>
  <w:style w:type="paragraph" w:styleId="Quote">
    <w:name w:val="Quote"/>
    <w:aliases w:val="Footnote"/>
    <w:basedOn w:val="Normal"/>
    <w:next w:val="Normal"/>
    <w:link w:val="QuoteChar"/>
    <w:qFormat/>
    <w:rsid w:val="00286211"/>
    <w:rPr>
      <w:iCs/>
      <w:color w:val="000000" w:themeColor="text1"/>
      <w:sz w:val="16"/>
    </w:rPr>
  </w:style>
  <w:style w:type="character" w:customStyle="1" w:styleId="QuoteChar">
    <w:name w:val="Quote Char"/>
    <w:aliases w:val="Footnote Char"/>
    <w:basedOn w:val="DefaultParagraphFont"/>
    <w:link w:val="Quote"/>
    <w:rsid w:val="00286211"/>
    <w:rPr>
      <w:rFonts w:ascii="Arial" w:hAnsi="Arial"/>
      <w:iCs/>
      <w:color w:val="000000" w:themeColor="text1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6211"/>
    <w:rPr>
      <w:rFonts w:ascii="Arial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286211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6211"/>
    <w:rPr>
      <w:rFonts w:ascii="Arial" w:hAnsi="Arial" w:cs="Arial"/>
      <w:noProof/>
      <w:lang w:val="en-US"/>
    </w:rPr>
  </w:style>
  <w:style w:type="table" w:styleId="TableGrid">
    <w:name w:val="Table Grid"/>
    <w:basedOn w:val="TableNormal"/>
    <w:uiPriority w:val="59"/>
    <w:rsid w:val="0028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286211"/>
    <w:pPr>
      <w:numPr>
        <w:numId w:val="2"/>
      </w:numPr>
      <w:spacing w:after="0"/>
      <w:ind w:left="714" w:hanging="357"/>
    </w:pPr>
    <w:rPr>
      <w:rFonts w:eastAsia="Times New Roman" w:cs="Arial"/>
      <w:sz w:val="20"/>
      <w:szCs w:val="20"/>
      <w:lang w:val="en-US"/>
    </w:rPr>
  </w:style>
  <w:style w:type="character" w:customStyle="1" w:styleId="bulletChar">
    <w:name w:val="bullet Char"/>
    <w:basedOn w:val="DefaultParagraphFont"/>
    <w:link w:val="bullet"/>
    <w:rsid w:val="00286211"/>
    <w:rPr>
      <w:rFonts w:ascii="Arial" w:eastAsia="Times New Roman" w:hAnsi="Arial" w:cs="Arial"/>
      <w:sz w:val="20"/>
      <w:szCs w:val="20"/>
      <w:lang w:val="en-US"/>
    </w:rPr>
  </w:style>
  <w:style w:type="character" w:customStyle="1" w:styleId="st">
    <w:name w:val="st"/>
    <w:basedOn w:val="DefaultParagraphFont"/>
    <w:rsid w:val="00286211"/>
  </w:style>
  <w:style w:type="paragraph" w:styleId="Header">
    <w:name w:val="header"/>
    <w:basedOn w:val="Normal"/>
    <w:link w:val="HeaderChar"/>
    <w:uiPriority w:val="99"/>
    <w:unhideWhenUsed/>
    <w:rsid w:val="0054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4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vidsp.tx.ovid.com/sp-3.15.1b/ovidweb.cgi?&amp;S=NMDCFPMOIMDDMKHKNCKKCDOBINJFAA00&amp;Sort+Sets=descendi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vidsp.tx.ovid.com/sp-3.15.1b/ovidweb.cgi?&amp;S=NMDCFPMOIMDDMKHKNCKKCDOBINJFAA00&amp;Sort+Sets=de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Danielle Emery</cp:lastModifiedBy>
  <cp:revision>2</cp:revision>
  <dcterms:created xsi:type="dcterms:W3CDTF">2017-01-20T11:27:00Z</dcterms:created>
  <dcterms:modified xsi:type="dcterms:W3CDTF">2017-01-20T11:27:00Z</dcterms:modified>
</cp:coreProperties>
</file>