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3B" w:rsidRPr="00885D76" w:rsidRDefault="00E93C45" w:rsidP="00885D76">
      <w:pPr>
        <w:rPr>
          <w:lang w:val="en-CA"/>
        </w:rPr>
      </w:pPr>
      <w:r>
        <w:rPr>
          <w:b/>
          <w:lang w:val="en-CA"/>
        </w:rPr>
        <w:t xml:space="preserve">TEXT, </w:t>
      </w:r>
      <w:r w:rsidR="001D713B" w:rsidRPr="00454EA0">
        <w:rPr>
          <w:b/>
          <w:lang w:val="en-CA"/>
        </w:rPr>
        <w:t xml:space="preserve">SUPPLEMENTAL </w:t>
      </w:r>
      <w:r>
        <w:rPr>
          <w:b/>
          <w:lang w:val="en-CA"/>
        </w:rPr>
        <w:t>DIGITAL CONTENT 1</w:t>
      </w:r>
    </w:p>
    <w:p w:rsidR="001D713B" w:rsidRDefault="001D713B" w:rsidP="001D713B">
      <w:pPr>
        <w:pStyle w:val="NoSpacing"/>
        <w:spacing w:line="480" w:lineRule="auto"/>
        <w:rPr>
          <w:lang w:val="en-CA"/>
        </w:rPr>
      </w:pPr>
    </w:p>
    <w:p w:rsidR="001D713B" w:rsidRPr="00454EA0" w:rsidRDefault="001D713B" w:rsidP="001D713B">
      <w:pPr>
        <w:pStyle w:val="NoSpacing"/>
        <w:spacing w:line="480" w:lineRule="auto"/>
        <w:rPr>
          <w:b/>
          <w:lang w:val="en-CA"/>
        </w:rPr>
      </w:pPr>
      <w:r w:rsidRPr="00454EA0">
        <w:rPr>
          <w:b/>
          <w:lang w:val="en-CA"/>
        </w:rPr>
        <w:t>Methods</w:t>
      </w:r>
    </w:p>
    <w:p w:rsidR="0014396E" w:rsidRPr="0014396E" w:rsidRDefault="00735A31" w:rsidP="001D713B">
      <w:pPr>
        <w:pStyle w:val="NoSpacing"/>
        <w:spacing w:line="480" w:lineRule="auto"/>
        <w:rPr>
          <w:b/>
          <w:lang w:val="en-CA"/>
        </w:rPr>
      </w:pPr>
      <w:r w:rsidRPr="0014396E">
        <w:rPr>
          <w:b/>
          <w:lang w:val="en-CA"/>
        </w:rPr>
        <w:t>Ultra-deep</w:t>
      </w:r>
      <w:r w:rsidR="0014396E" w:rsidRPr="0014396E">
        <w:rPr>
          <w:b/>
          <w:lang w:val="en-CA"/>
        </w:rPr>
        <w:t xml:space="preserve"> s</w:t>
      </w:r>
      <w:r w:rsidR="00BF631C">
        <w:rPr>
          <w:b/>
          <w:lang w:val="en-CA"/>
        </w:rPr>
        <w:t>equencing</w:t>
      </w:r>
    </w:p>
    <w:p w:rsidR="00173960" w:rsidRDefault="0014396E" w:rsidP="00BF787E">
      <w:pPr>
        <w:pStyle w:val="NoSpacing"/>
        <w:spacing w:line="480" w:lineRule="auto"/>
        <w:rPr>
          <w:lang w:val="en-CA"/>
        </w:rPr>
      </w:pPr>
      <w:r>
        <w:rPr>
          <w:lang w:val="en-CA"/>
        </w:rPr>
        <w:t>Amplification and sequencing p</w:t>
      </w:r>
      <w:r w:rsidR="001D713B">
        <w:rPr>
          <w:lang w:val="en-CA"/>
        </w:rPr>
        <w:t xml:space="preserve">rimers were designed to capture conserved regions of the </w:t>
      </w:r>
      <w:r>
        <w:rPr>
          <w:lang w:val="en-CA"/>
        </w:rPr>
        <w:t xml:space="preserve">hepatitis B virus (HBV) </w:t>
      </w:r>
      <w:r w:rsidR="001D713B">
        <w:rPr>
          <w:lang w:val="en-CA"/>
        </w:rPr>
        <w:t>genome associated with variable levels of evolutionary pressure due to</w:t>
      </w:r>
      <w:r>
        <w:rPr>
          <w:lang w:val="en-CA"/>
        </w:rPr>
        <w:t>, for example,</w:t>
      </w:r>
      <w:r w:rsidR="001D713B">
        <w:rPr>
          <w:lang w:val="en-CA"/>
        </w:rPr>
        <w:t xml:space="preserve"> the presence </w:t>
      </w:r>
      <w:r w:rsidR="009B374A">
        <w:rPr>
          <w:lang w:val="en-CA"/>
        </w:rPr>
        <w:t xml:space="preserve">or absence </w:t>
      </w:r>
      <w:r w:rsidR="001D713B">
        <w:rPr>
          <w:lang w:val="en-CA"/>
        </w:rPr>
        <w:t>of an overlapping open reading frame</w:t>
      </w:r>
      <w:r w:rsidR="009B374A">
        <w:rPr>
          <w:lang w:val="en-CA"/>
        </w:rPr>
        <w:t xml:space="preserve"> or </w:t>
      </w:r>
      <w:r>
        <w:rPr>
          <w:lang w:val="en-CA"/>
        </w:rPr>
        <w:t xml:space="preserve">immune </w:t>
      </w:r>
      <w:r w:rsidR="009B374A">
        <w:rPr>
          <w:lang w:val="en-CA"/>
        </w:rPr>
        <w:t>epitope</w:t>
      </w:r>
      <w:r w:rsidR="001D713B">
        <w:rPr>
          <w:lang w:val="en-CA"/>
        </w:rPr>
        <w:t xml:space="preserve"> (</w:t>
      </w:r>
      <w:r w:rsidR="00A566E6">
        <w:rPr>
          <w:lang w:val="en-CA"/>
        </w:rPr>
        <w:t xml:space="preserve">Table 1, </w:t>
      </w:r>
      <w:r w:rsidR="00C73661">
        <w:rPr>
          <w:lang w:val="en-CA"/>
        </w:rPr>
        <w:t xml:space="preserve">Supplemental </w:t>
      </w:r>
      <w:r w:rsidR="00A566E6">
        <w:rPr>
          <w:lang w:val="en-CA"/>
        </w:rPr>
        <w:t>Digital Content 2</w:t>
      </w:r>
      <w:r w:rsidR="00735A31">
        <w:rPr>
          <w:lang w:val="en-CA"/>
        </w:rPr>
        <w:t xml:space="preserve">; </w:t>
      </w:r>
      <w:r w:rsidR="00D25182">
        <w:rPr>
          <w:lang w:val="en-CA"/>
        </w:rPr>
        <w:fldChar w:fldCharType="begin"/>
      </w:r>
      <w:r w:rsidR="00D25182">
        <w:rPr>
          <w:lang w:val="en-CA"/>
        </w:rPr>
        <w:instrText>ADDIN RW.CITE{{761 Cowie,B.C. 2006; 1164 van de Klundert,M.A. 2012}}</w:instrText>
      </w:r>
      <w:r w:rsidR="00D25182">
        <w:rPr>
          <w:lang w:val="en-CA"/>
        </w:rPr>
        <w:fldChar w:fldCharType="separate"/>
      </w:r>
      <w:r w:rsidR="00D25182">
        <w:rPr>
          <w:lang w:val="en-CA"/>
        </w:rPr>
        <w:t>[1,2]</w:t>
      </w:r>
      <w:r w:rsidR="00D25182">
        <w:rPr>
          <w:lang w:val="en-CA"/>
        </w:rPr>
        <w:fldChar w:fldCharType="end"/>
      </w:r>
      <w:r w:rsidR="001D713B">
        <w:rPr>
          <w:lang w:val="en-CA"/>
        </w:rPr>
        <w:t>).</w:t>
      </w:r>
      <w:r w:rsidR="00735A31">
        <w:rPr>
          <w:lang w:val="en-CA"/>
        </w:rPr>
        <w:t xml:space="preserve"> </w:t>
      </w:r>
      <w:r w:rsidR="00847C4A">
        <w:rPr>
          <w:lang w:val="en-CA"/>
        </w:rPr>
        <w:t xml:space="preserve">Extracted DNA from each clinical sample was quantified using the </w:t>
      </w:r>
      <w:proofErr w:type="spellStart"/>
      <w:r w:rsidR="00847C4A">
        <w:rPr>
          <w:lang w:val="en-CA"/>
        </w:rPr>
        <w:t>RealStar</w:t>
      </w:r>
      <w:proofErr w:type="spellEnd"/>
      <w:r w:rsidR="00847C4A">
        <w:rPr>
          <w:lang w:val="en-CA"/>
        </w:rPr>
        <w:t xml:space="preserve"> HBV PCR kit 1.0 (Altona Diagnostics Canada, Toronto, ON</w:t>
      </w:r>
      <w:r w:rsidR="00252A8C">
        <w:rPr>
          <w:lang w:val="en-CA"/>
        </w:rPr>
        <w:t>, Canada</w:t>
      </w:r>
      <w:r w:rsidR="00847C4A">
        <w:rPr>
          <w:lang w:val="en-CA"/>
        </w:rPr>
        <w:t>)</w:t>
      </w:r>
      <w:r w:rsidR="00BB18E6">
        <w:rPr>
          <w:lang w:val="en-CA"/>
        </w:rPr>
        <w:t>. A</w:t>
      </w:r>
      <w:r w:rsidR="00252A8C">
        <w:rPr>
          <w:lang w:val="en-CA"/>
        </w:rPr>
        <w:t>pproximately equivalent quantities</w:t>
      </w:r>
      <w:r w:rsidR="00173960">
        <w:rPr>
          <w:lang w:val="en-CA"/>
        </w:rPr>
        <w:t xml:space="preserve"> (IU/mL)</w:t>
      </w:r>
      <w:r w:rsidR="00252A8C">
        <w:rPr>
          <w:lang w:val="en-CA"/>
        </w:rPr>
        <w:t xml:space="preserve"> of clinical HBV DNA and plasmid control HBV DNA</w:t>
      </w:r>
      <w:r w:rsidR="00BB18E6">
        <w:rPr>
          <w:lang w:val="en-CA"/>
        </w:rPr>
        <w:t>, quantified using a conversion of 5 copies/IU,</w:t>
      </w:r>
      <w:r w:rsidR="00252A8C">
        <w:rPr>
          <w:lang w:val="en-CA"/>
        </w:rPr>
        <w:t xml:space="preserve"> were amplified </w:t>
      </w:r>
      <w:r w:rsidR="00B433D2">
        <w:rPr>
          <w:lang w:val="en-CA"/>
        </w:rPr>
        <w:t>after</w:t>
      </w:r>
      <w:r w:rsidR="00173960">
        <w:rPr>
          <w:lang w:val="en-CA"/>
        </w:rPr>
        <w:t xml:space="preserve"> diluting the extracted </w:t>
      </w:r>
      <w:r w:rsidR="00FD1169">
        <w:rPr>
          <w:lang w:val="en-CA"/>
        </w:rPr>
        <w:t xml:space="preserve">and plasmid </w:t>
      </w:r>
      <w:r w:rsidR="00173960">
        <w:rPr>
          <w:lang w:val="en-CA"/>
        </w:rPr>
        <w:t xml:space="preserve">DNA. First stage amplification was </w:t>
      </w:r>
      <w:r w:rsidR="00C329B8">
        <w:rPr>
          <w:lang w:val="en-CA"/>
        </w:rPr>
        <w:t xml:space="preserve">performed using 5 </w:t>
      </w:r>
      <w:proofErr w:type="spellStart"/>
      <w:r w:rsidR="00C329B8">
        <w:rPr>
          <w:rFonts w:cs="Calibri"/>
          <w:lang w:val="en-CA"/>
        </w:rPr>
        <w:t>μ</w:t>
      </w:r>
      <w:r w:rsidR="00C329B8">
        <w:rPr>
          <w:lang w:val="en-CA"/>
        </w:rPr>
        <w:t>L</w:t>
      </w:r>
      <w:proofErr w:type="spellEnd"/>
      <w:r w:rsidR="00C329B8">
        <w:rPr>
          <w:lang w:val="en-CA"/>
        </w:rPr>
        <w:t xml:space="preserve"> of template DNA, HBV-specific primers and </w:t>
      </w:r>
      <w:proofErr w:type="spellStart"/>
      <w:r w:rsidR="00C329B8">
        <w:rPr>
          <w:lang w:val="en-CA"/>
        </w:rPr>
        <w:t>HotStarTaq</w:t>
      </w:r>
      <w:proofErr w:type="spellEnd"/>
      <w:r w:rsidR="00C329B8">
        <w:rPr>
          <w:lang w:val="en-CA"/>
        </w:rPr>
        <w:t xml:space="preserve"> polymerase (</w:t>
      </w:r>
      <w:proofErr w:type="spellStart"/>
      <w:r w:rsidR="00C329B8">
        <w:rPr>
          <w:lang w:val="en-CA"/>
        </w:rPr>
        <w:t>Qiagen</w:t>
      </w:r>
      <w:proofErr w:type="spellEnd"/>
      <w:r w:rsidR="00C329B8">
        <w:rPr>
          <w:lang w:val="en-CA"/>
        </w:rPr>
        <w:t xml:space="preserve"> Inc., Toronto, ON, Canada). First stage PCR consisted of 30 cycles of standard </w:t>
      </w:r>
      <w:proofErr w:type="spellStart"/>
      <w:r w:rsidR="00C329B8">
        <w:rPr>
          <w:lang w:val="en-CA"/>
        </w:rPr>
        <w:t>thermocycling</w:t>
      </w:r>
      <w:proofErr w:type="spellEnd"/>
      <w:r w:rsidR="00C329B8">
        <w:rPr>
          <w:lang w:val="en-CA"/>
        </w:rPr>
        <w:t xml:space="preserve"> conditions which included an annealing temperature of 55°C for the core and surface primer sets and 50</w:t>
      </w:r>
      <w:r w:rsidR="00C329B8">
        <w:rPr>
          <w:rFonts w:cs="Calibri"/>
          <w:lang w:val="en-CA"/>
        </w:rPr>
        <w:t>°</w:t>
      </w:r>
      <w:r w:rsidR="00C329B8">
        <w:rPr>
          <w:lang w:val="en-CA"/>
        </w:rPr>
        <w:t xml:space="preserve">C for the polymerase primer set. </w:t>
      </w:r>
      <w:r w:rsidR="00C329B8" w:rsidRPr="00BF787E">
        <w:rPr>
          <w:lang w:val="en-CA"/>
        </w:rPr>
        <w:t>Illumina adapter</w:t>
      </w:r>
      <w:r w:rsidR="00C329B8">
        <w:rPr>
          <w:lang w:val="en-CA"/>
        </w:rPr>
        <w:t xml:space="preserve"> </w:t>
      </w:r>
      <w:r w:rsidR="00C329B8" w:rsidRPr="00BF787E">
        <w:rPr>
          <w:lang w:val="en-CA"/>
        </w:rPr>
        <w:t xml:space="preserve">overhang nucleotide sequences </w:t>
      </w:r>
      <w:r w:rsidR="00C329B8">
        <w:rPr>
          <w:lang w:val="en-CA"/>
        </w:rPr>
        <w:t>were</w:t>
      </w:r>
      <w:r w:rsidR="00C329B8" w:rsidRPr="00BF787E">
        <w:rPr>
          <w:lang w:val="en-CA"/>
        </w:rPr>
        <w:t xml:space="preserve"> added to the </w:t>
      </w:r>
      <w:r w:rsidR="00C329B8">
        <w:rPr>
          <w:lang w:val="en-CA"/>
        </w:rPr>
        <w:t>second stage HBV</w:t>
      </w:r>
      <w:r w:rsidR="00C329B8" w:rsidRPr="00BF787E">
        <w:rPr>
          <w:lang w:val="en-CA"/>
        </w:rPr>
        <w:t xml:space="preserve">‐specific </w:t>
      </w:r>
      <w:r w:rsidR="00C329B8">
        <w:rPr>
          <w:lang w:val="en-CA"/>
        </w:rPr>
        <w:t xml:space="preserve">primer </w:t>
      </w:r>
      <w:r w:rsidR="00C329B8" w:rsidRPr="00BF787E">
        <w:rPr>
          <w:lang w:val="en-CA"/>
        </w:rPr>
        <w:t>sequences</w:t>
      </w:r>
      <w:r w:rsidR="00C329B8">
        <w:rPr>
          <w:lang w:val="en-CA"/>
        </w:rPr>
        <w:t xml:space="preserve"> (Table 1</w:t>
      </w:r>
      <w:r w:rsidR="00F471C2">
        <w:rPr>
          <w:lang w:val="en-CA"/>
        </w:rPr>
        <w:t>, Supplemental Digital Content 2</w:t>
      </w:r>
      <w:r w:rsidR="00C329B8">
        <w:rPr>
          <w:lang w:val="en-CA"/>
        </w:rPr>
        <w:t xml:space="preserve">; Illumina </w:t>
      </w:r>
      <w:r w:rsidR="00C329B8" w:rsidRPr="00BF787E">
        <w:rPr>
          <w:lang w:val="en-CA"/>
        </w:rPr>
        <w:t xml:space="preserve">16S </w:t>
      </w:r>
      <w:proofErr w:type="spellStart"/>
      <w:r w:rsidR="00C329B8" w:rsidRPr="00BF787E">
        <w:rPr>
          <w:lang w:val="en-CA"/>
        </w:rPr>
        <w:t>Metagenomic</w:t>
      </w:r>
      <w:proofErr w:type="spellEnd"/>
      <w:r w:rsidR="00C329B8" w:rsidRPr="00BF787E">
        <w:rPr>
          <w:lang w:val="en-CA"/>
        </w:rPr>
        <w:t xml:space="preserve"> Sequencing Library</w:t>
      </w:r>
      <w:r w:rsidR="00C329B8">
        <w:rPr>
          <w:lang w:val="en-CA"/>
        </w:rPr>
        <w:t xml:space="preserve"> </w:t>
      </w:r>
      <w:r w:rsidR="00C329B8" w:rsidRPr="00BF787E">
        <w:rPr>
          <w:lang w:val="en-CA"/>
        </w:rPr>
        <w:t>Preparation</w:t>
      </w:r>
      <w:r w:rsidR="00C329B8">
        <w:rPr>
          <w:lang w:val="en-CA"/>
        </w:rPr>
        <w:t xml:space="preserve">) and 2 </w:t>
      </w:r>
      <w:proofErr w:type="spellStart"/>
      <w:r w:rsidR="00C329B8">
        <w:rPr>
          <w:lang w:val="en-CA"/>
        </w:rPr>
        <w:t>μL</w:t>
      </w:r>
      <w:proofErr w:type="spellEnd"/>
      <w:r w:rsidR="00C329B8">
        <w:rPr>
          <w:lang w:val="en-CA"/>
        </w:rPr>
        <w:t xml:space="preserve"> of first stage amplification product was amplified using Roche Expand High Fidelity Polymerase </w:t>
      </w:r>
      <w:r w:rsidR="00BC6C28">
        <w:rPr>
          <w:lang w:val="en-CA"/>
        </w:rPr>
        <w:t>(Sigma-Aldrich Canada, Oakville, ON, Canada)</w:t>
      </w:r>
      <w:r w:rsidR="00C329B8">
        <w:rPr>
          <w:lang w:val="en-CA"/>
        </w:rPr>
        <w:t xml:space="preserve"> with 25 cycles of standard </w:t>
      </w:r>
      <w:proofErr w:type="spellStart"/>
      <w:r w:rsidR="00C329B8">
        <w:rPr>
          <w:lang w:val="en-CA"/>
        </w:rPr>
        <w:t>thermocycling</w:t>
      </w:r>
      <w:proofErr w:type="spellEnd"/>
      <w:r w:rsidR="00C329B8">
        <w:rPr>
          <w:lang w:val="en-CA"/>
        </w:rPr>
        <w:t xml:space="preserve"> conditions including an annealing temperature of 55°C for all primer sets. Amplicons were purified (</w:t>
      </w:r>
      <w:proofErr w:type="spellStart"/>
      <w:r w:rsidR="00C329B8">
        <w:rPr>
          <w:lang w:val="en-CA"/>
        </w:rPr>
        <w:t>PCRClean</w:t>
      </w:r>
      <w:proofErr w:type="spellEnd"/>
      <w:r w:rsidR="00C329B8">
        <w:rPr>
          <w:lang w:val="en-CA"/>
        </w:rPr>
        <w:t xml:space="preserve"> DX beads, Aline Biosciences</w:t>
      </w:r>
      <w:r w:rsidR="00BC6C28">
        <w:rPr>
          <w:lang w:val="en-CA"/>
        </w:rPr>
        <w:t>, Woburn, MA, USA</w:t>
      </w:r>
      <w:r w:rsidR="00C329B8">
        <w:rPr>
          <w:lang w:val="en-CA"/>
        </w:rPr>
        <w:t xml:space="preserve">) and assessed by </w:t>
      </w:r>
      <w:proofErr w:type="spellStart"/>
      <w:r w:rsidR="00C329B8">
        <w:rPr>
          <w:lang w:val="en-CA"/>
        </w:rPr>
        <w:t>fluorometric</w:t>
      </w:r>
      <w:proofErr w:type="spellEnd"/>
      <w:r w:rsidR="00C329B8">
        <w:rPr>
          <w:lang w:val="en-CA"/>
        </w:rPr>
        <w:t xml:space="preserve"> detection (</w:t>
      </w:r>
      <w:proofErr w:type="spellStart"/>
      <w:r w:rsidR="00C329B8" w:rsidRPr="0077337E">
        <w:rPr>
          <w:lang w:val="en-CA"/>
        </w:rPr>
        <w:t>PicoGreen</w:t>
      </w:r>
      <w:proofErr w:type="spellEnd"/>
      <w:r w:rsidR="00C329B8" w:rsidRPr="0077337E">
        <w:rPr>
          <w:lang w:val="en-CA"/>
        </w:rPr>
        <w:t xml:space="preserve">™ dsDNA </w:t>
      </w:r>
      <w:r w:rsidR="00C329B8" w:rsidRPr="0077337E">
        <w:rPr>
          <w:lang w:val="en-CA"/>
        </w:rPr>
        <w:lastRenderedPageBreak/>
        <w:t>Assay Kit</w:t>
      </w:r>
      <w:r w:rsidR="00C329B8">
        <w:rPr>
          <w:lang w:val="en-CA"/>
        </w:rPr>
        <w:t xml:space="preserve">, </w:t>
      </w:r>
      <w:proofErr w:type="spellStart"/>
      <w:r w:rsidR="00C329B8">
        <w:rPr>
          <w:lang w:val="en-CA"/>
        </w:rPr>
        <w:t>Thermo</w:t>
      </w:r>
      <w:proofErr w:type="spellEnd"/>
      <w:r w:rsidR="00C329B8">
        <w:rPr>
          <w:lang w:val="en-CA"/>
        </w:rPr>
        <w:t xml:space="preserve"> Fisher Scientific</w:t>
      </w:r>
      <w:r w:rsidR="00BC6C28">
        <w:rPr>
          <w:lang w:val="en-CA"/>
        </w:rPr>
        <w:t>, Mississauga, ON, Canada</w:t>
      </w:r>
      <w:r w:rsidR="00C329B8">
        <w:rPr>
          <w:lang w:val="en-CA"/>
        </w:rPr>
        <w:t>).</w:t>
      </w:r>
      <w:r w:rsidR="00BC6C28">
        <w:rPr>
          <w:lang w:val="en-CA"/>
        </w:rPr>
        <w:t xml:space="preserve"> </w:t>
      </w:r>
      <w:r w:rsidR="00AE2B42">
        <w:rPr>
          <w:lang w:val="en-CA"/>
        </w:rPr>
        <w:t xml:space="preserve">Approximately 10 </w:t>
      </w:r>
      <w:proofErr w:type="spellStart"/>
      <w:r w:rsidR="00AE2B42">
        <w:rPr>
          <w:lang w:val="en-CA"/>
        </w:rPr>
        <w:t>nM</w:t>
      </w:r>
      <w:proofErr w:type="spellEnd"/>
      <w:r w:rsidR="00AE2B42">
        <w:rPr>
          <w:lang w:val="en-CA"/>
        </w:rPr>
        <w:t xml:space="preserve"> puri</w:t>
      </w:r>
      <w:r w:rsidR="00BF631C">
        <w:rPr>
          <w:lang w:val="en-CA"/>
        </w:rPr>
        <w:t>fied adaptor-tagged amplicon from</w:t>
      </w:r>
      <w:r w:rsidR="00C329B8">
        <w:rPr>
          <w:lang w:val="en-CA"/>
        </w:rPr>
        <w:t xml:space="preserve"> the</w:t>
      </w:r>
      <w:r w:rsidR="00AE2B42">
        <w:rPr>
          <w:lang w:val="en-CA"/>
        </w:rPr>
        <w:t xml:space="preserve"> clinical specimens and plasmid control were sequenced </w:t>
      </w:r>
      <w:r w:rsidR="00BF631C">
        <w:rPr>
          <w:lang w:val="en-CA"/>
        </w:rPr>
        <w:t xml:space="preserve">by synthesis </w:t>
      </w:r>
      <w:r w:rsidR="00AE2B42">
        <w:rPr>
          <w:lang w:val="en-CA"/>
        </w:rPr>
        <w:t xml:space="preserve">using the Illumina </w:t>
      </w:r>
      <w:proofErr w:type="spellStart"/>
      <w:r w:rsidR="00AE2B42">
        <w:rPr>
          <w:lang w:val="en-CA"/>
        </w:rPr>
        <w:t>MiSeq</w:t>
      </w:r>
      <w:proofErr w:type="spellEnd"/>
      <w:r w:rsidR="00AE2B42">
        <w:rPr>
          <w:lang w:val="en-CA"/>
        </w:rPr>
        <w:t xml:space="preserve"> system (Reagent Nano kit v2, Illumina Canada, Victoria, BC, Canada)</w:t>
      </w:r>
      <w:r w:rsidR="00BF631C">
        <w:rPr>
          <w:lang w:val="en-CA"/>
        </w:rPr>
        <w:t>.</w:t>
      </w:r>
    </w:p>
    <w:p w:rsidR="001931C3" w:rsidRDefault="001931C3" w:rsidP="00BF787E">
      <w:pPr>
        <w:pStyle w:val="NoSpacing"/>
        <w:spacing w:line="480" w:lineRule="auto"/>
        <w:rPr>
          <w:b/>
          <w:lang w:val="en-CA"/>
        </w:rPr>
      </w:pPr>
    </w:p>
    <w:p w:rsidR="00BF631C" w:rsidRPr="00BF631C" w:rsidRDefault="00BF631C" w:rsidP="00BF787E">
      <w:pPr>
        <w:pStyle w:val="NoSpacing"/>
        <w:spacing w:line="480" w:lineRule="auto"/>
        <w:rPr>
          <w:b/>
          <w:lang w:val="en-CA"/>
        </w:rPr>
      </w:pPr>
      <w:r>
        <w:rPr>
          <w:b/>
          <w:lang w:val="en-CA"/>
        </w:rPr>
        <w:t>Sequence analysis</w:t>
      </w:r>
    </w:p>
    <w:p w:rsidR="00BF631C" w:rsidRDefault="006763A6" w:rsidP="00BF631C">
      <w:pPr>
        <w:pStyle w:val="NoSpacing"/>
        <w:spacing w:line="480" w:lineRule="auto"/>
        <w:rPr>
          <w:lang w:val="en-CA"/>
        </w:rPr>
      </w:pPr>
      <w:r>
        <w:rPr>
          <w:lang w:val="en-CA"/>
        </w:rPr>
        <w:t>Raw sequence reads were processed</w:t>
      </w:r>
      <w:r w:rsidR="008E019A">
        <w:rPr>
          <w:lang w:val="en-CA"/>
        </w:rPr>
        <w:t xml:space="preserve"> using bioinformatics tools within the Galaxy platform (</w:t>
      </w:r>
      <w:r w:rsidR="008E019A" w:rsidRPr="008E019A">
        <w:rPr>
          <w:lang w:val="en-CA"/>
        </w:rPr>
        <w:t>https://usegalaxy.org/</w:t>
      </w:r>
      <w:r w:rsidR="008E019A">
        <w:rPr>
          <w:lang w:val="en-CA"/>
        </w:rPr>
        <w:t xml:space="preserve">) in order to merge and filter paired-end reads to generate clusters of homologous sequences grouped using a threshold of 99% similarity, represented by a single haplotype sequence. </w:t>
      </w:r>
      <w:r w:rsidR="00AB52E4">
        <w:rPr>
          <w:lang w:val="en-CA"/>
        </w:rPr>
        <w:t xml:space="preserve">The average number of reads was 6,184 for the surface antigen region, 5,079 for the core region and 5,347 for the polymerase region, with a range of 4,289 to 6,674 reads for all regions. </w:t>
      </w:r>
      <w:r w:rsidR="00BF631C">
        <w:rPr>
          <w:lang w:val="en-CA"/>
        </w:rPr>
        <w:t xml:space="preserve">Representative sequences were aligned </w:t>
      </w:r>
      <w:r w:rsidR="008E019A">
        <w:rPr>
          <w:lang w:val="en-CA"/>
        </w:rPr>
        <w:t>using MAFFT (</w:t>
      </w:r>
      <w:r w:rsidR="008E019A" w:rsidRPr="008E019A">
        <w:rPr>
          <w:lang w:val="en-CA"/>
        </w:rPr>
        <w:t>https://mafft.cbrc.jp/alignment/server/index.html</w:t>
      </w:r>
      <w:r w:rsidR="008E019A">
        <w:rPr>
          <w:lang w:val="en-CA"/>
        </w:rPr>
        <w:t>),</w:t>
      </w:r>
      <w:r w:rsidR="00BF631C">
        <w:rPr>
          <w:lang w:val="en-CA"/>
        </w:rPr>
        <w:t xml:space="preserve"> trimmed to remove primer sequences</w:t>
      </w:r>
      <w:r w:rsidR="008E019A">
        <w:rPr>
          <w:lang w:val="en-CA"/>
        </w:rPr>
        <w:t>,</w:t>
      </w:r>
      <w:r w:rsidR="00BF631C">
        <w:rPr>
          <w:lang w:val="en-CA"/>
        </w:rPr>
        <w:t xml:space="preserve"> and filtered to exclude sequences having non-in-frame insertions or deletions (approximately 7% sequences on average). </w:t>
      </w:r>
      <w:r w:rsidR="00AB52E4">
        <w:rPr>
          <w:lang w:val="en-CA"/>
        </w:rPr>
        <w:t xml:space="preserve">The number of representative sequences (haplotypes) per sample is shown </w:t>
      </w:r>
      <w:r w:rsidR="00F471C2">
        <w:rPr>
          <w:lang w:val="en-CA"/>
        </w:rPr>
        <w:t xml:space="preserve">in </w:t>
      </w:r>
      <w:r w:rsidR="00AB52E4">
        <w:rPr>
          <w:lang w:val="en-CA"/>
        </w:rPr>
        <w:t xml:space="preserve">Table </w:t>
      </w:r>
      <w:r w:rsidR="00C73661">
        <w:rPr>
          <w:lang w:val="en-CA"/>
        </w:rPr>
        <w:t>2</w:t>
      </w:r>
      <w:r w:rsidR="00F471C2">
        <w:rPr>
          <w:lang w:val="en-CA"/>
        </w:rPr>
        <w:t>, Supplemental Digital Content 2</w:t>
      </w:r>
      <w:r w:rsidR="00AB52E4">
        <w:rPr>
          <w:lang w:val="en-CA"/>
        </w:rPr>
        <w:t xml:space="preserve">. </w:t>
      </w:r>
      <w:r w:rsidR="00BF631C">
        <w:rPr>
          <w:lang w:val="en-CA"/>
        </w:rPr>
        <w:t>All haplotypes, including those having a frequency of 1, were considered during analysis.</w:t>
      </w:r>
    </w:p>
    <w:p w:rsidR="001D713B" w:rsidRDefault="001D713B" w:rsidP="001D713B">
      <w:pPr>
        <w:pStyle w:val="NoSpacing"/>
        <w:spacing w:line="480" w:lineRule="auto"/>
        <w:rPr>
          <w:lang w:val="en-CA"/>
        </w:rPr>
      </w:pPr>
    </w:p>
    <w:p w:rsidR="001D713B" w:rsidRPr="00BF631C" w:rsidRDefault="00BF631C" w:rsidP="001D713B">
      <w:pPr>
        <w:pStyle w:val="NoSpacing"/>
        <w:spacing w:line="480" w:lineRule="auto"/>
        <w:rPr>
          <w:b/>
          <w:lang w:val="en-CA"/>
        </w:rPr>
      </w:pPr>
      <w:r>
        <w:rPr>
          <w:b/>
          <w:lang w:val="en-CA"/>
        </w:rPr>
        <w:t>Experimental error estimation</w:t>
      </w:r>
    </w:p>
    <w:p w:rsidR="001D713B" w:rsidRDefault="001D713B" w:rsidP="001D713B">
      <w:pPr>
        <w:pStyle w:val="NoSpacing"/>
        <w:spacing w:line="480" w:lineRule="auto"/>
        <w:rPr>
          <w:lang w:val="en-CA"/>
        </w:rPr>
      </w:pPr>
      <w:r>
        <w:rPr>
          <w:lang w:val="en-CA"/>
        </w:rPr>
        <w:t xml:space="preserve">Experimental error was determined by amplification and processing of </w:t>
      </w:r>
      <w:r w:rsidR="00B433D2">
        <w:rPr>
          <w:lang w:val="en-CA"/>
        </w:rPr>
        <w:t xml:space="preserve">a genotype </w:t>
      </w:r>
      <w:proofErr w:type="gramStart"/>
      <w:r w:rsidR="00B433D2">
        <w:rPr>
          <w:lang w:val="en-CA"/>
        </w:rPr>
        <w:t>A</w:t>
      </w:r>
      <w:proofErr w:type="gramEnd"/>
      <w:r w:rsidR="00B433D2">
        <w:rPr>
          <w:lang w:val="en-CA"/>
        </w:rPr>
        <w:t xml:space="preserve"> full genome plasmid</w:t>
      </w:r>
      <w:r>
        <w:rPr>
          <w:lang w:val="en-CA"/>
        </w:rPr>
        <w:t xml:space="preserve"> (</w:t>
      </w:r>
      <w:r w:rsidR="00C04142">
        <w:rPr>
          <w:lang w:val="en-CA"/>
        </w:rPr>
        <w:t xml:space="preserve">pEco63 plasmid </w:t>
      </w:r>
      <w:proofErr w:type="spellStart"/>
      <w:r w:rsidR="00C04142">
        <w:rPr>
          <w:lang w:val="en-CA"/>
        </w:rPr>
        <w:t>ATCC</w:t>
      </w:r>
      <w:proofErr w:type="spellEnd"/>
      <w:r w:rsidR="00C04142">
        <w:rPr>
          <w:lang w:val="en-CA"/>
        </w:rPr>
        <w:t xml:space="preserve"> 31518; </w:t>
      </w:r>
      <w:proofErr w:type="spellStart"/>
      <w:r w:rsidR="0032017D">
        <w:rPr>
          <w:lang w:val="en-CA"/>
        </w:rPr>
        <w:t>GenBank</w:t>
      </w:r>
      <w:proofErr w:type="spellEnd"/>
      <w:r w:rsidR="0032017D">
        <w:rPr>
          <w:lang w:val="en-CA"/>
        </w:rPr>
        <w:t xml:space="preserve"> accession </w:t>
      </w:r>
      <w:r w:rsidRPr="00042539">
        <w:rPr>
          <w:lang w:val="en-CA"/>
        </w:rPr>
        <w:t>AY128092</w:t>
      </w:r>
      <w:r>
        <w:rPr>
          <w:lang w:val="en-CA"/>
        </w:rPr>
        <w:t xml:space="preserve">) in parallel </w:t>
      </w:r>
      <w:r w:rsidR="00B433D2">
        <w:rPr>
          <w:lang w:val="en-CA"/>
        </w:rPr>
        <w:t>with</w:t>
      </w:r>
      <w:r>
        <w:rPr>
          <w:lang w:val="en-CA"/>
        </w:rPr>
        <w:t xml:space="preserve"> clinical specimens at a</w:t>
      </w:r>
      <w:r w:rsidR="0032017D">
        <w:rPr>
          <w:lang w:val="en-CA"/>
        </w:rPr>
        <w:t>n</w:t>
      </w:r>
      <w:r>
        <w:rPr>
          <w:lang w:val="en-CA"/>
        </w:rPr>
        <w:t xml:space="preserve"> approximately equivalent</w:t>
      </w:r>
      <w:r w:rsidR="0032017D">
        <w:rPr>
          <w:lang w:val="en-CA"/>
        </w:rPr>
        <w:t xml:space="preserve"> </w:t>
      </w:r>
      <w:r>
        <w:rPr>
          <w:lang w:val="en-CA"/>
        </w:rPr>
        <w:t>IU/mL</w:t>
      </w:r>
      <w:r w:rsidR="0032017D">
        <w:rPr>
          <w:lang w:val="en-CA"/>
        </w:rPr>
        <w:t xml:space="preserve"> quantity</w:t>
      </w:r>
      <w:r>
        <w:rPr>
          <w:lang w:val="en-CA"/>
        </w:rPr>
        <w:t xml:space="preserve">, to account for </w:t>
      </w:r>
      <w:r w:rsidR="00B11191">
        <w:rPr>
          <w:lang w:val="en-CA"/>
        </w:rPr>
        <w:t>differences in</w:t>
      </w:r>
      <w:r>
        <w:rPr>
          <w:lang w:val="en-CA"/>
        </w:rPr>
        <w:t xml:space="preserve"> </w:t>
      </w:r>
      <w:r>
        <w:rPr>
          <w:lang w:val="en-CA"/>
        </w:rPr>
        <w:lastRenderedPageBreak/>
        <w:t xml:space="preserve">viral load. The amplicon sequence generated for each sub-genome region of the plasmid </w:t>
      </w:r>
      <w:r w:rsidR="00B11191">
        <w:rPr>
          <w:lang w:val="en-CA"/>
        </w:rPr>
        <w:t>by first stage PCR</w:t>
      </w:r>
      <w:r>
        <w:rPr>
          <w:lang w:val="en-CA"/>
        </w:rPr>
        <w:t xml:space="preserve"> was cycle sequenced using an ABI 3730XL DNA analyzer (Applied Biosystems, USA) and the sequence used as the reference to map plasmid template </w:t>
      </w:r>
      <w:r w:rsidR="0032017D">
        <w:rPr>
          <w:lang w:val="en-CA"/>
        </w:rPr>
        <w:t xml:space="preserve">Illumina </w:t>
      </w:r>
      <w:proofErr w:type="spellStart"/>
      <w:r w:rsidR="0032017D">
        <w:rPr>
          <w:lang w:val="en-CA"/>
        </w:rPr>
        <w:t>MiSeq</w:t>
      </w:r>
      <w:proofErr w:type="spellEnd"/>
      <w:r>
        <w:rPr>
          <w:lang w:val="en-CA"/>
        </w:rPr>
        <w:t xml:space="preserve"> reads. Nucleotide statistics at each site were used to determine the mean and standard deviation (SD) single-nucleotide polymorphism (SNP) rate, or </w:t>
      </w:r>
      <w:r w:rsidR="00B11191">
        <w:rPr>
          <w:lang w:val="en-CA"/>
        </w:rPr>
        <w:t xml:space="preserve">inherent </w:t>
      </w:r>
      <w:r>
        <w:rPr>
          <w:lang w:val="en-CA"/>
        </w:rPr>
        <w:t xml:space="preserve">error, within the experiment. The mean SNP rate per base was 0.195% (±0.135% SD). Base call variation among the amplicon sequence, including the highest SNP peak </w:t>
      </w:r>
      <w:r w:rsidR="00B11191">
        <w:rPr>
          <w:lang w:val="en-CA"/>
        </w:rPr>
        <w:t xml:space="preserve">rate </w:t>
      </w:r>
      <w:r>
        <w:rPr>
          <w:lang w:val="en-CA"/>
        </w:rPr>
        <w:t>among all nucleotides, was considered when determining the final error rate (mean plus 3 SD), such that</w:t>
      </w:r>
      <w:r w:rsidR="00B11191">
        <w:rPr>
          <w:lang w:val="en-CA"/>
        </w:rPr>
        <w:t xml:space="preserve"> all SNP</w:t>
      </w:r>
      <w:r>
        <w:rPr>
          <w:lang w:val="en-CA"/>
        </w:rPr>
        <w:t xml:space="preserve"> peaks fell below the final error rate</w:t>
      </w:r>
      <w:r w:rsidR="00B11191">
        <w:rPr>
          <w:lang w:val="en-CA"/>
        </w:rPr>
        <w:t xml:space="preserve"> which</w:t>
      </w:r>
      <w:r>
        <w:rPr>
          <w:lang w:val="en-CA"/>
        </w:rPr>
        <w:t xml:space="preserve"> equalled 0.6%</w:t>
      </w:r>
      <w:r w:rsidR="00C329B8">
        <w:rPr>
          <w:lang w:val="en-CA"/>
        </w:rPr>
        <w:t>.</w:t>
      </w:r>
    </w:p>
    <w:p w:rsidR="00245F8D" w:rsidRDefault="00245F8D" w:rsidP="001D713B">
      <w:pPr>
        <w:pStyle w:val="NoSpacing"/>
        <w:spacing w:line="480" w:lineRule="auto"/>
        <w:rPr>
          <w:b/>
          <w:lang w:val="en-CA"/>
        </w:rPr>
      </w:pPr>
    </w:p>
    <w:p w:rsidR="00245F8D" w:rsidRDefault="00245F8D" w:rsidP="001D713B">
      <w:pPr>
        <w:pStyle w:val="NoSpacing"/>
        <w:spacing w:line="480" w:lineRule="auto"/>
        <w:rPr>
          <w:b/>
          <w:lang w:val="en-CA"/>
        </w:rPr>
      </w:pPr>
      <w:proofErr w:type="spellStart"/>
      <w:r>
        <w:rPr>
          <w:b/>
          <w:lang w:val="en-CA"/>
        </w:rPr>
        <w:t>Quasispecies</w:t>
      </w:r>
      <w:proofErr w:type="spellEnd"/>
      <w:r>
        <w:rPr>
          <w:b/>
          <w:lang w:val="en-CA"/>
        </w:rPr>
        <w:t xml:space="preserve"> complexity analysis</w:t>
      </w:r>
    </w:p>
    <w:p w:rsidR="001931C3" w:rsidRDefault="001D713B" w:rsidP="00A566E6">
      <w:pPr>
        <w:pStyle w:val="NoSpacing"/>
        <w:spacing w:line="480" w:lineRule="auto"/>
      </w:pPr>
      <w:r>
        <w:rPr>
          <w:lang w:val="en-CA"/>
        </w:rPr>
        <w:t>The complexity</w:t>
      </w:r>
      <w:r w:rsidR="00AB52E4">
        <w:rPr>
          <w:lang w:val="en-CA"/>
        </w:rPr>
        <w:t xml:space="preserve"> of intra-host </w:t>
      </w:r>
      <w:proofErr w:type="spellStart"/>
      <w:r w:rsidR="00AB52E4">
        <w:rPr>
          <w:lang w:val="en-CA"/>
        </w:rPr>
        <w:t>quasispecies</w:t>
      </w:r>
      <w:proofErr w:type="spellEnd"/>
      <w:r w:rsidR="00AB52E4">
        <w:rPr>
          <w:lang w:val="en-CA"/>
        </w:rPr>
        <w:t xml:space="preserve"> </w:t>
      </w:r>
      <w:r>
        <w:rPr>
          <w:lang w:val="en-CA"/>
        </w:rPr>
        <w:t xml:space="preserve">was examined by calculating measures of </w:t>
      </w:r>
      <w:r w:rsidR="00704A43">
        <w:rPr>
          <w:lang w:val="en-CA"/>
        </w:rPr>
        <w:t xml:space="preserve">incidence, such as the number of haplotypes, polymorphic sites and unique mutations, as well as measures of </w:t>
      </w:r>
      <w:r>
        <w:rPr>
          <w:lang w:val="en-CA"/>
        </w:rPr>
        <w:t>abundance, such as the maximum mutation frequency (</w:t>
      </w:r>
      <w:proofErr w:type="spellStart"/>
      <w:r>
        <w:rPr>
          <w:lang w:val="en-CA"/>
        </w:rPr>
        <w:t>Mfm</w:t>
      </w:r>
      <w:proofErr w:type="spellEnd"/>
      <w:r>
        <w:rPr>
          <w:lang w:val="en-CA"/>
        </w:rPr>
        <w:t>), the population nucleotide diversity (</w:t>
      </w:r>
      <w:r>
        <w:rPr>
          <w:lang w:val="en-CA"/>
        </w:rPr>
        <w:sym w:font="Symbol" w:char="F070"/>
      </w:r>
      <w:r>
        <w:rPr>
          <w:lang w:val="en-CA"/>
        </w:rPr>
        <w:t>) and Simpson index (</w:t>
      </w:r>
      <w:proofErr w:type="spellStart"/>
      <w:r>
        <w:rPr>
          <w:lang w:val="en-CA"/>
        </w:rPr>
        <w:t>H</w:t>
      </w:r>
      <w:r w:rsidR="006C4578" w:rsidRPr="006C4578">
        <w:rPr>
          <w:vertAlign w:val="subscript"/>
          <w:lang w:val="en-CA"/>
        </w:rPr>
        <w:t>S</w:t>
      </w:r>
      <w:r w:rsidRPr="006C4578">
        <w:rPr>
          <w:vertAlign w:val="subscript"/>
          <w:lang w:val="en-CA"/>
        </w:rPr>
        <w:t>i</w:t>
      </w:r>
      <w:proofErr w:type="spellEnd"/>
      <w:r>
        <w:rPr>
          <w:lang w:val="en-CA"/>
        </w:rPr>
        <w:t xml:space="preserve">), </w:t>
      </w:r>
      <w:r w:rsidR="001931C3">
        <w:rPr>
          <w:lang w:val="en-CA"/>
        </w:rPr>
        <w:t xml:space="preserve">as described by </w:t>
      </w:r>
      <w:proofErr w:type="spellStart"/>
      <w:r w:rsidR="001931C3">
        <w:rPr>
          <w:lang w:val="en-CA"/>
        </w:rPr>
        <w:t>Gregori</w:t>
      </w:r>
      <w:proofErr w:type="spellEnd"/>
      <w:r w:rsidR="001931C3">
        <w:rPr>
          <w:lang w:val="en-CA"/>
        </w:rPr>
        <w:t xml:space="preserve">, et al </w:t>
      </w:r>
      <w:r w:rsidR="00D25182">
        <w:rPr>
          <w:lang w:val="en-CA"/>
        </w:rPr>
        <w:fldChar w:fldCharType="begin"/>
      </w:r>
      <w:r w:rsidR="00D25182">
        <w:rPr>
          <w:lang w:val="en-CA"/>
        </w:rPr>
        <w:instrText>ADDIN RW.CITE{{1165 Gregori,J. 2016}}</w:instrText>
      </w:r>
      <w:r w:rsidR="00D25182">
        <w:rPr>
          <w:lang w:val="en-CA"/>
        </w:rPr>
        <w:fldChar w:fldCharType="separate"/>
      </w:r>
      <w:r w:rsidR="00D25182">
        <w:rPr>
          <w:lang w:val="en-CA"/>
        </w:rPr>
        <w:t>[3]</w:t>
      </w:r>
      <w:r w:rsidR="00D25182">
        <w:rPr>
          <w:lang w:val="en-CA"/>
        </w:rPr>
        <w:fldChar w:fldCharType="end"/>
      </w:r>
      <w:r w:rsidR="003B4CCD" w:rsidRPr="003B4CCD" w:rsidDel="00C67CFF">
        <w:rPr>
          <w:bCs/>
          <w:lang w:val="en-US"/>
        </w:rPr>
        <w:t xml:space="preserve"> </w:t>
      </w:r>
      <w:r>
        <w:rPr>
          <w:lang w:val="en-CA"/>
        </w:rPr>
        <w:t>.</w:t>
      </w:r>
      <w:r w:rsidR="00CB0358">
        <w:rPr>
          <w:lang w:val="en-CA"/>
        </w:rPr>
        <w:t xml:space="preserve"> </w:t>
      </w:r>
      <w:r w:rsidR="008F0413" w:rsidRPr="00E10A66">
        <w:rPr>
          <w:highlight w:val="yellow"/>
          <w:lang w:val="en-CA"/>
        </w:rPr>
        <w:t>The mutation rate is defined as the incident frequency of mutation</w:t>
      </w:r>
      <w:r w:rsidR="003D40F7" w:rsidRPr="00E10A66">
        <w:rPr>
          <w:highlight w:val="yellow"/>
          <w:lang w:val="en-CA"/>
        </w:rPr>
        <w:t xml:space="preserve"> during genome replication </w:t>
      </w:r>
      <w:r w:rsidR="00D25182" w:rsidRPr="00E10A66">
        <w:rPr>
          <w:highlight w:val="yellow"/>
          <w:lang w:val="en-CA"/>
        </w:rPr>
        <w:fldChar w:fldCharType="begin"/>
      </w:r>
      <w:r w:rsidR="00D25182" w:rsidRPr="00E10A66">
        <w:rPr>
          <w:highlight w:val="yellow"/>
          <w:lang w:val="en-CA"/>
        </w:rPr>
        <w:instrText>ADDIN RW.CITE{{1169 Domingo,E. 2012}}</w:instrText>
      </w:r>
      <w:r w:rsidR="00D25182" w:rsidRPr="00E10A66">
        <w:rPr>
          <w:highlight w:val="yellow"/>
          <w:lang w:val="en-CA"/>
        </w:rPr>
        <w:fldChar w:fldCharType="separate"/>
      </w:r>
      <w:r w:rsidR="00D25182" w:rsidRPr="00E10A66">
        <w:rPr>
          <w:highlight w:val="yellow"/>
          <w:lang w:val="en-CA"/>
        </w:rPr>
        <w:t>[4]</w:t>
      </w:r>
      <w:r w:rsidR="00D25182" w:rsidRPr="00E10A66">
        <w:rPr>
          <w:highlight w:val="yellow"/>
          <w:lang w:val="en-CA"/>
        </w:rPr>
        <w:fldChar w:fldCharType="end"/>
      </w:r>
      <w:r w:rsidR="008F0413" w:rsidRPr="00E10A66">
        <w:rPr>
          <w:highlight w:val="yellow"/>
          <w:lang w:val="en-CA"/>
        </w:rPr>
        <w:t xml:space="preserve">. </w:t>
      </w:r>
      <w:proofErr w:type="spellStart"/>
      <w:r w:rsidR="007E1ADE" w:rsidRPr="00E10A66">
        <w:rPr>
          <w:highlight w:val="yellow"/>
          <w:lang w:val="en-CA"/>
        </w:rPr>
        <w:t>Mfm</w:t>
      </w:r>
      <w:proofErr w:type="spellEnd"/>
      <w:r w:rsidR="007E1ADE" w:rsidRPr="00E10A66">
        <w:rPr>
          <w:highlight w:val="yellow"/>
          <w:lang w:val="en-CA"/>
        </w:rPr>
        <w:t xml:space="preserve"> is </w:t>
      </w:r>
      <w:r w:rsidR="00156937" w:rsidRPr="00E10A66">
        <w:rPr>
          <w:highlight w:val="yellow"/>
          <w:lang w:val="en-CA"/>
        </w:rPr>
        <w:t>expressed</w:t>
      </w:r>
      <w:r w:rsidR="007E1ADE" w:rsidRPr="00E10A66">
        <w:rPr>
          <w:highlight w:val="yellow"/>
          <w:lang w:val="en-CA"/>
        </w:rPr>
        <w:t xml:space="preserve"> as the </w:t>
      </w:r>
      <w:r w:rsidR="008F0413" w:rsidRPr="00E10A66">
        <w:rPr>
          <w:highlight w:val="yellow"/>
          <w:lang w:val="en-CA"/>
        </w:rPr>
        <w:t xml:space="preserve">mean substitutions per nucleotide </w:t>
      </w:r>
      <w:r w:rsidR="003D40F7" w:rsidRPr="00E10A66">
        <w:rPr>
          <w:highlight w:val="yellow"/>
          <w:lang w:val="en-CA"/>
        </w:rPr>
        <w:t xml:space="preserve">for a set of </w:t>
      </w:r>
      <w:proofErr w:type="spellStart"/>
      <w:r w:rsidR="003D40F7" w:rsidRPr="00E10A66">
        <w:rPr>
          <w:highlight w:val="yellow"/>
          <w:lang w:val="en-CA"/>
        </w:rPr>
        <w:t>quasispecies</w:t>
      </w:r>
      <w:proofErr w:type="spellEnd"/>
      <w:r w:rsidR="003D40F7" w:rsidRPr="00E10A66">
        <w:rPr>
          <w:highlight w:val="yellow"/>
          <w:lang w:val="en-CA"/>
        </w:rPr>
        <w:t xml:space="preserve"> genomes </w:t>
      </w:r>
      <w:r w:rsidR="003B71B9" w:rsidRPr="00E10A66">
        <w:rPr>
          <w:highlight w:val="yellow"/>
          <w:lang w:val="en-CA"/>
        </w:rPr>
        <w:t xml:space="preserve">in comparison to a determined </w:t>
      </w:r>
      <w:r w:rsidR="002E14BB" w:rsidRPr="00E10A66">
        <w:rPr>
          <w:highlight w:val="yellow"/>
          <w:lang w:val="en-CA"/>
        </w:rPr>
        <w:t>consensus sequence for</w:t>
      </w:r>
      <w:r w:rsidR="00526CF1" w:rsidRPr="00E10A66">
        <w:rPr>
          <w:highlight w:val="yellow"/>
          <w:lang w:val="en-CA"/>
        </w:rPr>
        <w:t xml:space="preserve"> that set and therefore </w:t>
      </w:r>
      <w:r w:rsidR="009D1CB2" w:rsidRPr="009D1CB2">
        <w:rPr>
          <w:highlight w:val="yellow"/>
          <w:lang w:val="en-CA"/>
        </w:rPr>
        <w:t>is a measurement of the proportion of nucleotides that are mutations within the set of sequences</w:t>
      </w:r>
      <w:r w:rsidR="00924F39" w:rsidRPr="00E10A66">
        <w:rPr>
          <w:highlight w:val="yellow"/>
          <w:lang w:val="en-CA"/>
        </w:rPr>
        <w:t>. The population nucleotide diversity (</w:t>
      </w:r>
      <w:r w:rsidR="00924F39" w:rsidRPr="00E10A66">
        <w:rPr>
          <w:highlight w:val="yellow"/>
          <w:lang w:val="en-CA"/>
        </w:rPr>
        <w:sym w:font="Symbol" w:char="F070"/>
      </w:r>
      <w:r w:rsidR="00924F39" w:rsidRPr="00E10A66">
        <w:rPr>
          <w:highlight w:val="yellow"/>
          <w:lang w:val="en-CA"/>
        </w:rPr>
        <w:t xml:space="preserve">) </w:t>
      </w:r>
      <w:r w:rsidR="00F50B4F" w:rsidRPr="00E10A66">
        <w:rPr>
          <w:highlight w:val="yellow"/>
          <w:lang w:val="en-CA"/>
        </w:rPr>
        <w:t xml:space="preserve">measures the </w:t>
      </w:r>
      <w:r w:rsidR="009D1CB2">
        <w:rPr>
          <w:highlight w:val="yellow"/>
          <w:lang w:val="en-CA"/>
        </w:rPr>
        <w:t>expected fraction</w:t>
      </w:r>
      <w:r w:rsidR="00F50B4F" w:rsidRPr="00E10A66">
        <w:rPr>
          <w:highlight w:val="yellow"/>
          <w:lang w:val="en-CA"/>
        </w:rPr>
        <w:t xml:space="preserve"> of nucleotide differences between any two genomes of a </w:t>
      </w:r>
      <w:proofErr w:type="spellStart"/>
      <w:r w:rsidR="00F50B4F" w:rsidRPr="00E10A66">
        <w:rPr>
          <w:highlight w:val="yellow"/>
          <w:lang w:val="en-CA"/>
        </w:rPr>
        <w:t>quasispecies</w:t>
      </w:r>
      <w:proofErr w:type="spellEnd"/>
      <w:r w:rsidR="00F50B4F" w:rsidRPr="00E10A66">
        <w:rPr>
          <w:highlight w:val="yellow"/>
          <w:lang w:val="en-CA"/>
        </w:rPr>
        <w:t xml:space="preserve"> set </w:t>
      </w:r>
      <w:r w:rsidR="00D25182" w:rsidRPr="00E10A66">
        <w:rPr>
          <w:highlight w:val="yellow"/>
          <w:lang w:val="en-CA"/>
        </w:rPr>
        <w:fldChar w:fldCharType="begin"/>
      </w:r>
      <w:r w:rsidR="00D25182" w:rsidRPr="00E10A66">
        <w:rPr>
          <w:highlight w:val="yellow"/>
          <w:lang w:val="en-CA"/>
        </w:rPr>
        <w:instrText>ADDIN RW.CITE{{1165 Gregori,J. 2016}}</w:instrText>
      </w:r>
      <w:r w:rsidR="00D25182" w:rsidRPr="00E10A66">
        <w:rPr>
          <w:highlight w:val="yellow"/>
          <w:lang w:val="en-CA"/>
        </w:rPr>
        <w:fldChar w:fldCharType="separate"/>
      </w:r>
      <w:r w:rsidR="00D25182" w:rsidRPr="00E10A66">
        <w:rPr>
          <w:highlight w:val="yellow"/>
          <w:lang w:val="en-CA"/>
        </w:rPr>
        <w:t>[3]</w:t>
      </w:r>
      <w:r w:rsidR="00D25182" w:rsidRPr="00E10A66">
        <w:rPr>
          <w:highlight w:val="yellow"/>
          <w:lang w:val="en-CA"/>
        </w:rPr>
        <w:fldChar w:fldCharType="end"/>
      </w:r>
      <w:r w:rsidR="00F50B4F" w:rsidRPr="00E10A66">
        <w:rPr>
          <w:highlight w:val="yellow"/>
          <w:lang w:val="en-CA"/>
        </w:rPr>
        <w:t xml:space="preserve">, thus </w:t>
      </w:r>
      <w:r w:rsidR="00F50B4F" w:rsidRPr="00E10A66">
        <w:rPr>
          <w:highlight w:val="yellow"/>
          <w:lang w:val="en-CA"/>
        </w:rPr>
        <w:sym w:font="Symbol" w:char="F070"/>
      </w:r>
      <w:r w:rsidR="00F50B4F" w:rsidRPr="00E10A66">
        <w:rPr>
          <w:highlight w:val="yellow"/>
          <w:lang w:val="en-CA"/>
        </w:rPr>
        <w:t xml:space="preserve"> </w:t>
      </w:r>
      <w:bookmarkStart w:id="0" w:name="_GoBack"/>
      <w:bookmarkEnd w:id="0"/>
      <w:r w:rsidR="009D1CB2" w:rsidRPr="009D1CB2">
        <w:rPr>
          <w:highlight w:val="yellow"/>
          <w:lang w:val="en-CA"/>
        </w:rPr>
        <w:t>captures differences between genomes in the population, rather than differences between genomes and the consensus sequence</w:t>
      </w:r>
      <w:r w:rsidR="00F50B4F" w:rsidRPr="00E10A66">
        <w:rPr>
          <w:highlight w:val="yellow"/>
          <w:lang w:val="en-CA"/>
        </w:rPr>
        <w:t>.</w:t>
      </w:r>
      <w:r w:rsidR="00041838" w:rsidRPr="00E10A66">
        <w:rPr>
          <w:highlight w:val="yellow"/>
          <w:lang w:val="en-CA"/>
        </w:rPr>
        <w:t xml:space="preserve"> </w:t>
      </w:r>
      <w:proofErr w:type="spellStart"/>
      <w:r w:rsidR="00041838" w:rsidRPr="00E10A66">
        <w:rPr>
          <w:highlight w:val="yellow"/>
          <w:lang w:val="en-CA"/>
        </w:rPr>
        <w:t>H</w:t>
      </w:r>
      <w:r w:rsidR="00041838" w:rsidRPr="00E10A66">
        <w:rPr>
          <w:highlight w:val="yellow"/>
          <w:vertAlign w:val="subscript"/>
          <w:lang w:val="en-CA"/>
        </w:rPr>
        <w:t>Si</w:t>
      </w:r>
      <w:proofErr w:type="spellEnd"/>
      <w:r w:rsidR="00526CF1" w:rsidRPr="00E10A66">
        <w:rPr>
          <w:highlight w:val="yellow"/>
          <w:lang w:val="en-CA"/>
        </w:rPr>
        <w:t xml:space="preserve"> </w:t>
      </w:r>
      <w:r w:rsidR="00B36175" w:rsidRPr="00E10A66">
        <w:rPr>
          <w:highlight w:val="yellow"/>
          <w:lang w:val="en-CA"/>
        </w:rPr>
        <w:t xml:space="preserve">is </w:t>
      </w:r>
      <w:r w:rsidR="00B36175" w:rsidRPr="00E10A66">
        <w:rPr>
          <w:highlight w:val="yellow"/>
          <w:lang w:val="en-CA"/>
        </w:rPr>
        <w:lastRenderedPageBreak/>
        <w:t xml:space="preserve">defined as the probability that two genomes from a viral </w:t>
      </w:r>
      <w:proofErr w:type="spellStart"/>
      <w:r w:rsidR="00B36175" w:rsidRPr="00E10A66">
        <w:rPr>
          <w:highlight w:val="yellow"/>
          <w:lang w:val="en-CA"/>
        </w:rPr>
        <w:t>quasispecies</w:t>
      </w:r>
      <w:proofErr w:type="spellEnd"/>
      <w:r w:rsidR="00B36175" w:rsidRPr="00E10A66">
        <w:rPr>
          <w:highlight w:val="yellow"/>
          <w:lang w:val="en-CA"/>
        </w:rPr>
        <w:t xml:space="preserve"> population </w:t>
      </w:r>
      <w:r w:rsidR="003D40F7" w:rsidRPr="00E10A66">
        <w:rPr>
          <w:highlight w:val="yellow"/>
          <w:lang w:val="en-CA"/>
        </w:rPr>
        <w:t>selected</w:t>
      </w:r>
      <w:r w:rsidR="00B36175" w:rsidRPr="00E10A66">
        <w:rPr>
          <w:highlight w:val="yellow"/>
          <w:lang w:val="en-CA"/>
        </w:rPr>
        <w:t xml:space="preserve"> at random belong to the same haplotype</w:t>
      </w:r>
      <w:r w:rsidR="003D40F7" w:rsidRPr="00E10A66">
        <w:rPr>
          <w:highlight w:val="yellow"/>
          <w:lang w:val="en-CA"/>
        </w:rPr>
        <w:t xml:space="preserve"> and thus is a measure of diversity within a population</w:t>
      </w:r>
      <w:r w:rsidR="00B36175" w:rsidRPr="00E10A66">
        <w:rPr>
          <w:highlight w:val="yellow"/>
          <w:lang w:val="en-CA"/>
        </w:rPr>
        <w:t>.</w:t>
      </w:r>
      <w:r w:rsidR="003D40F7" w:rsidRPr="00E10A66">
        <w:rPr>
          <w:highlight w:val="yellow"/>
          <w:lang w:val="en-CA"/>
        </w:rPr>
        <w:t xml:space="preserve"> The calculated value range</w:t>
      </w:r>
      <w:r w:rsidR="002E14BB" w:rsidRPr="00E10A66">
        <w:rPr>
          <w:highlight w:val="yellow"/>
          <w:lang w:val="en-CA"/>
        </w:rPr>
        <w:t>s</w:t>
      </w:r>
      <w:r w:rsidR="003D40F7" w:rsidRPr="00E10A66">
        <w:rPr>
          <w:highlight w:val="yellow"/>
          <w:lang w:val="en-CA"/>
        </w:rPr>
        <w:t xml:space="preserve"> from 0 (representing infinite diversity) to 1 (representing complete homogeneity with no diversity).</w:t>
      </w:r>
      <w:r w:rsidR="00B36175">
        <w:rPr>
          <w:lang w:val="en-CA"/>
        </w:rPr>
        <w:t xml:space="preserve"> </w:t>
      </w:r>
      <w:r w:rsidR="00F50B4F">
        <w:rPr>
          <w:lang w:val="en-CA"/>
        </w:rPr>
        <w:t xml:space="preserve"> </w:t>
      </w:r>
      <w:r w:rsidR="00BB3CA1">
        <w:rPr>
          <w:lang w:val="en-CA"/>
        </w:rPr>
        <w:t xml:space="preserve">Input data for calculating complexity measures consisted of MAFFT aligned, trimmed and filtered representative haplotype sequences. </w:t>
      </w:r>
      <w:r w:rsidR="00AA642C">
        <w:rPr>
          <w:lang w:val="en-CA"/>
        </w:rPr>
        <w:t>Incidence or entity level measures distinguish the frequency of haplotype</w:t>
      </w:r>
      <w:r w:rsidR="00B11191">
        <w:rPr>
          <w:lang w:val="en-CA"/>
        </w:rPr>
        <w:t>s</w:t>
      </w:r>
      <w:r w:rsidR="00AA642C">
        <w:rPr>
          <w:lang w:val="en-CA"/>
        </w:rPr>
        <w:t xml:space="preserve"> within a viral </w:t>
      </w:r>
      <w:proofErr w:type="spellStart"/>
      <w:r w:rsidR="00AA642C">
        <w:rPr>
          <w:lang w:val="en-CA"/>
        </w:rPr>
        <w:t>quasispecies</w:t>
      </w:r>
      <w:proofErr w:type="spellEnd"/>
      <w:r w:rsidR="00BB3CA1">
        <w:rPr>
          <w:lang w:val="en-CA"/>
        </w:rPr>
        <w:t>,</w:t>
      </w:r>
      <w:r w:rsidR="00AA642C">
        <w:rPr>
          <w:lang w:val="en-CA"/>
        </w:rPr>
        <w:t xml:space="preserve"> while</w:t>
      </w:r>
      <w:r w:rsidR="00AA642C" w:rsidRPr="00AA642C">
        <w:rPr>
          <w:lang w:val="en-CA"/>
        </w:rPr>
        <w:t xml:space="preserve"> </w:t>
      </w:r>
      <w:proofErr w:type="spellStart"/>
      <w:r w:rsidR="00B11191">
        <w:rPr>
          <w:lang w:val="en-CA"/>
        </w:rPr>
        <w:t>Mfm</w:t>
      </w:r>
      <w:proofErr w:type="spellEnd"/>
      <w:r w:rsidR="00B11191">
        <w:rPr>
          <w:lang w:val="en-CA"/>
        </w:rPr>
        <w:t xml:space="preserve"> </w:t>
      </w:r>
      <w:proofErr w:type="gramStart"/>
      <w:r w:rsidR="00B11191">
        <w:rPr>
          <w:lang w:val="en-CA"/>
        </w:rPr>
        <w:t xml:space="preserve">and </w:t>
      </w:r>
      <w:proofErr w:type="gramEnd"/>
      <w:r w:rsidR="00B11191">
        <w:rPr>
          <w:lang w:val="en-CA"/>
        </w:rPr>
        <w:sym w:font="Symbol" w:char="F070"/>
      </w:r>
      <w:r w:rsidR="00B11191">
        <w:rPr>
          <w:lang w:val="en-CA"/>
        </w:rPr>
        <w:t xml:space="preserve">, </w:t>
      </w:r>
      <w:r w:rsidR="00AA642C">
        <w:rPr>
          <w:lang w:val="en-CA"/>
        </w:rPr>
        <w:t>similar to biodiversity quantification measures used in ecology, are functional</w:t>
      </w:r>
      <w:r>
        <w:rPr>
          <w:lang w:val="en-CA"/>
        </w:rPr>
        <w:t xml:space="preserve"> measure</w:t>
      </w:r>
      <w:r w:rsidR="00AA642C">
        <w:rPr>
          <w:lang w:val="en-CA"/>
        </w:rPr>
        <w:t>s</w:t>
      </w:r>
      <w:r>
        <w:rPr>
          <w:lang w:val="en-CA"/>
        </w:rPr>
        <w:t xml:space="preserve"> </w:t>
      </w:r>
      <w:r w:rsidR="00BB3CA1">
        <w:rPr>
          <w:lang w:val="en-CA"/>
        </w:rPr>
        <w:t xml:space="preserve">of </w:t>
      </w:r>
      <w:r>
        <w:rPr>
          <w:lang w:val="en-CA"/>
        </w:rPr>
        <w:t xml:space="preserve">viral </w:t>
      </w:r>
      <w:proofErr w:type="spellStart"/>
      <w:r>
        <w:rPr>
          <w:lang w:val="en-CA"/>
        </w:rPr>
        <w:t>quasispecies</w:t>
      </w:r>
      <w:proofErr w:type="spellEnd"/>
      <w:r>
        <w:rPr>
          <w:lang w:val="en-CA"/>
        </w:rPr>
        <w:t xml:space="preserve"> </w:t>
      </w:r>
      <w:r w:rsidR="00BB3CA1">
        <w:rPr>
          <w:lang w:val="en-CA"/>
        </w:rPr>
        <w:t xml:space="preserve">diversity (observed differences between haplotypes including the frequency of differences) </w:t>
      </w:r>
      <w:r w:rsidR="00B11191">
        <w:rPr>
          <w:lang w:val="en-CA"/>
        </w:rPr>
        <w:t>and</w:t>
      </w:r>
      <w:r>
        <w:rPr>
          <w:lang w:val="en-CA"/>
        </w:rPr>
        <w:t xml:space="preserve"> the Simpson index constitutes a measure of </w:t>
      </w:r>
      <w:r w:rsidR="00704A43">
        <w:rPr>
          <w:lang w:val="en-CA"/>
        </w:rPr>
        <w:t xml:space="preserve">richness and </w:t>
      </w:r>
      <w:r>
        <w:rPr>
          <w:lang w:val="en-CA"/>
        </w:rPr>
        <w:t xml:space="preserve">evenness among haplotypes </w:t>
      </w:r>
      <w:r w:rsidR="00D25182">
        <w:rPr>
          <w:lang w:val="en-CA"/>
        </w:rPr>
        <w:fldChar w:fldCharType="begin"/>
      </w:r>
      <w:r w:rsidR="00D25182">
        <w:rPr>
          <w:lang w:val="en-CA"/>
        </w:rPr>
        <w:instrText>ADDIN RW.CITE{{1165 Gregori,J. 2016}}</w:instrText>
      </w:r>
      <w:r w:rsidR="00D25182">
        <w:rPr>
          <w:lang w:val="en-CA"/>
        </w:rPr>
        <w:fldChar w:fldCharType="separate"/>
      </w:r>
      <w:r w:rsidR="00D25182">
        <w:rPr>
          <w:lang w:val="en-CA"/>
        </w:rPr>
        <w:t>[3]</w:t>
      </w:r>
      <w:r w:rsidR="00D25182">
        <w:rPr>
          <w:lang w:val="en-CA"/>
        </w:rPr>
        <w:fldChar w:fldCharType="end"/>
      </w:r>
      <w:r w:rsidR="003B4CCD" w:rsidRPr="003B4CCD" w:rsidDel="00C67CFF">
        <w:rPr>
          <w:bCs/>
          <w:lang w:val="en-US"/>
        </w:rPr>
        <w:t xml:space="preserve"> </w:t>
      </w:r>
      <w:r>
        <w:rPr>
          <w:lang w:val="en-CA"/>
        </w:rPr>
        <w:t>.</w:t>
      </w:r>
      <w:r w:rsidR="00BB3CA1">
        <w:rPr>
          <w:lang w:val="en-CA"/>
        </w:rPr>
        <w:t xml:space="preserve"> Calculated incidence and abundance values are directly compared, while higher </w:t>
      </w:r>
      <w:proofErr w:type="spellStart"/>
      <w:r w:rsidR="00BB3CA1">
        <w:rPr>
          <w:lang w:val="en-CA"/>
        </w:rPr>
        <w:t>H</w:t>
      </w:r>
      <w:r w:rsidR="006C4578" w:rsidRPr="006C4578">
        <w:rPr>
          <w:vertAlign w:val="subscript"/>
          <w:lang w:val="en-CA"/>
        </w:rPr>
        <w:t>S</w:t>
      </w:r>
      <w:r w:rsidR="00BB3CA1" w:rsidRPr="006C4578">
        <w:rPr>
          <w:vertAlign w:val="subscript"/>
          <w:lang w:val="en-CA"/>
        </w:rPr>
        <w:t>i</w:t>
      </w:r>
      <w:proofErr w:type="spellEnd"/>
      <w:r w:rsidR="00BB3CA1">
        <w:rPr>
          <w:lang w:val="en-CA"/>
        </w:rPr>
        <w:t xml:space="preserve"> value</w:t>
      </w:r>
      <w:r w:rsidR="00B11191">
        <w:rPr>
          <w:lang w:val="en-CA"/>
        </w:rPr>
        <w:t>s imply</w:t>
      </w:r>
      <w:r w:rsidR="00BB3CA1">
        <w:rPr>
          <w:lang w:val="en-CA"/>
        </w:rPr>
        <w:t xml:space="preserve"> a less diverse </w:t>
      </w:r>
      <w:proofErr w:type="spellStart"/>
      <w:r w:rsidR="005473C0">
        <w:rPr>
          <w:lang w:val="en-CA"/>
        </w:rPr>
        <w:t>quasispecies</w:t>
      </w:r>
      <w:proofErr w:type="spellEnd"/>
      <w:r w:rsidR="00BB3CA1">
        <w:rPr>
          <w:lang w:val="en-CA"/>
        </w:rPr>
        <w:t xml:space="preserve"> (i.e., </w:t>
      </w:r>
      <w:proofErr w:type="gramStart"/>
      <w:r w:rsidR="00BB3CA1">
        <w:rPr>
          <w:lang w:val="en-CA"/>
        </w:rPr>
        <w:t>an</w:t>
      </w:r>
      <w:proofErr w:type="gramEnd"/>
      <w:r w:rsidR="00BB3CA1">
        <w:rPr>
          <w:lang w:val="en-CA"/>
        </w:rPr>
        <w:t xml:space="preserve"> </w:t>
      </w:r>
      <w:proofErr w:type="spellStart"/>
      <w:r w:rsidR="00BB3CA1">
        <w:rPr>
          <w:lang w:val="en-CA"/>
        </w:rPr>
        <w:t>H</w:t>
      </w:r>
      <w:r w:rsidR="006C4578" w:rsidRPr="006C4578">
        <w:rPr>
          <w:vertAlign w:val="subscript"/>
          <w:lang w:val="en-CA"/>
        </w:rPr>
        <w:t>S</w:t>
      </w:r>
      <w:r w:rsidR="00BB3CA1" w:rsidRPr="006C4578">
        <w:rPr>
          <w:vertAlign w:val="subscript"/>
          <w:lang w:val="en-CA"/>
        </w:rPr>
        <w:t>i</w:t>
      </w:r>
      <w:proofErr w:type="spellEnd"/>
      <w:r w:rsidR="00BB3CA1">
        <w:rPr>
          <w:lang w:val="en-CA"/>
        </w:rPr>
        <w:t xml:space="preserve"> of 1.0 in</w:t>
      </w:r>
      <w:r w:rsidR="005473C0">
        <w:rPr>
          <w:lang w:val="en-CA"/>
        </w:rPr>
        <w:t>dicates a completely homogenous population).</w:t>
      </w:r>
      <w:r w:rsidR="00A566E6">
        <w:t xml:space="preserve"> </w:t>
      </w:r>
    </w:p>
    <w:p w:rsidR="001931C3" w:rsidRDefault="001931C3">
      <w:pPr>
        <w:spacing w:after="200" w:line="276" w:lineRule="auto"/>
      </w:pPr>
      <w:r>
        <w:br w:type="page"/>
      </w:r>
    </w:p>
    <w:p w:rsidR="00596435" w:rsidRDefault="001931C3">
      <w:pPr>
        <w:rPr>
          <w:b/>
        </w:rPr>
      </w:pPr>
      <w:r w:rsidRPr="001931C3">
        <w:rPr>
          <w:b/>
        </w:rPr>
        <w:lastRenderedPageBreak/>
        <w:t>References</w:t>
      </w:r>
    </w:p>
    <w:p w:rsidR="00D25182" w:rsidRPr="00E10A66" w:rsidRDefault="00D25182" w:rsidP="00D25182">
      <w:pPr>
        <w:pStyle w:val="NormalWeb"/>
        <w:tabs>
          <w:tab w:val="left" w:pos="360"/>
        </w:tabs>
        <w:ind w:left="360" w:hanging="360"/>
        <w:divId w:val="320696928"/>
        <w:rPr>
          <w:rFonts w:ascii="Calibri" w:hAnsi="Calibri"/>
          <w:bCs/>
          <w:lang w:val="fr-CA"/>
        </w:rPr>
      </w:pPr>
      <w:r w:rsidRPr="00E10A66">
        <w:fldChar w:fldCharType="begin"/>
      </w:r>
      <w:r w:rsidRPr="00E10A66">
        <w:instrText>ADDIN RW.BIB</w:instrText>
      </w:r>
      <w:r w:rsidRPr="00E10A66">
        <w:fldChar w:fldCharType="separate"/>
      </w:r>
      <w:r w:rsidRPr="00E10A66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.</w:t>
      </w:r>
      <w:r w:rsidRPr="00E10A6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E10A66">
        <w:rPr>
          <w:rFonts w:ascii="Calibri" w:hAnsi="Calibri"/>
          <w:bCs/>
        </w:rPr>
        <w:t xml:space="preserve">Cowie BC. Is there an optimal genetic target for molecular analysis of hepatitis B virus transmission? </w:t>
      </w:r>
      <w:r w:rsidRPr="00E10A66">
        <w:rPr>
          <w:rFonts w:ascii="Calibri" w:hAnsi="Calibri"/>
          <w:bCs/>
          <w:lang w:val="fr-CA"/>
        </w:rPr>
        <w:t xml:space="preserve">J Clin Microbiol 2006;44:3051. </w:t>
      </w:r>
    </w:p>
    <w:p w:rsidR="00D25182" w:rsidRPr="00E10A66" w:rsidRDefault="00D25182" w:rsidP="00D25182">
      <w:pPr>
        <w:pStyle w:val="NormalWeb"/>
        <w:tabs>
          <w:tab w:val="left" w:pos="360"/>
        </w:tabs>
        <w:ind w:left="360" w:hanging="360"/>
        <w:divId w:val="320696928"/>
        <w:rPr>
          <w:rFonts w:ascii="Calibri" w:hAnsi="Calibri"/>
          <w:bCs/>
        </w:rPr>
      </w:pPr>
      <w:r w:rsidRPr="006A23B5">
        <w:rPr>
          <w:rFonts w:ascii="Calibri" w:hAnsi="Calibri"/>
          <w:bCs/>
          <w:lang w:val="fr-CA"/>
        </w:rPr>
        <w:t xml:space="preserve">2. </w:t>
      </w:r>
      <w:r w:rsidRPr="006A23B5">
        <w:rPr>
          <w:rFonts w:ascii="Calibri" w:hAnsi="Calibri"/>
          <w:bCs/>
          <w:lang w:val="fr-CA"/>
        </w:rPr>
        <w:tab/>
        <w:t xml:space="preserve">van de Klundert MA, Cremer J, Kootstra NA, Boot HJ, Zaaijer HL. </w:t>
      </w:r>
      <w:r w:rsidRPr="00E10A66">
        <w:rPr>
          <w:rFonts w:ascii="Calibri" w:hAnsi="Calibri"/>
          <w:bCs/>
        </w:rPr>
        <w:t xml:space="preserve">Comparison of the hepatitis B virus core, surface and polymerase gene substitution rates in chronically infected patients. J Viral Hepat 2012;19:e34-40. </w:t>
      </w:r>
    </w:p>
    <w:p w:rsidR="00D25182" w:rsidRPr="00E10A66" w:rsidRDefault="00D25182" w:rsidP="00D25182">
      <w:pPr>
        <w:pStyle w:val="NormalWeb"/>
        <w:tabs>
          <w:tab w:val="left" w:pos="360"/>
        </w:tabs>
        <w:ind w:left="360" w:hanging="360"/>
        <w:divId w:val="320696928"/>
        <w:rPr>
          <w:rFonts w:ascii="Calibri" w:hAnsi="Calibri"/>
          <w:bCs/>
        </w:rPr>
      </w:pPr>
      <w:r w:rsidRPr="00E10A66">
        <w:rPr>
          <w:rFonts w:ascii="Calibri" w:hAnsi="Calibri"/>
          <w:bCs/>
        </w:rPr>
        <w:t>3</w:t>
      </w:r>
      <w:r>
        <w:rPr>
          <w:rFonts w:ascii="Calibri" w:hAnsi="Calibri"/>
          <w:bCs/>
        </w:rPr>
        <w:t>.</w:t>
      </w:r>
      <w:r w:rsidRPr="00E10A6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E10A66">
        <w:rPr>
          <w:rFonts w:ascii="Calibri" w:hAnsi="Calibri"/>
          <w:bCs/>
        </w:rPr>
        <w:t xml:space="preserve">Gregori J, Perales C, Rodriguez-Frias F, Esteban JI, Quer J, Domingo E. Viral quasispecies complexity measures. Virology 2016;493:227-37. </w:t>
      </w:r>
    </w:p>
    <w:p w:rsidR="00D25182" w:rsidRPr="00E10A66" w:rsidRDefault="00D25182" w:rsidP="00D25182">
      <w:pPr>
        <w:pStyle w:val="NormalWeb"/>
        <w:tabs>
          <w:tab w:val="left" w:pos="360"/>
        </w:tabs>
        <w:ind w:left="360" w:hanging="360"/>
        <w:divId w:val="320696928"/>
        <w:rPr>
          <w:rFonts w:ascii="Calibri" w:hAnsi="Calibri"/>
          <w:bCs/>
        </w:rPr>
      </w:pPr>
      <w:r w:rsidRPr="00E10A66">
        <w:rPr>
          <w:rFonts w:ascii="Calibri" w:hAnsi="Calibri"/>
          <w:bCs/>
        </w:rPr>
        <w:t>4</w:t>
      </w:r>
      <w:r>
        <w:rPr>
          <w:rFonts w:ascii="Calibri" w:hAnsi="Calibri"/>
          <w:bCs/>
        </w:rPr>
        <w:t>.</w:t>
      </w:r>
      <w:r w:rsidRPr="00E10A6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E10A66">
        <w:rPr>
          <w:rFonts w:ascii="Calibri" w:hAnsi="Calibri"/>
          <w:bCs/>
        </w:rPr>
        <w:t xml:space="preserve">Domingo E, Sheldon J, Perales C. Viral quasispecies evolution. Microbiol Mol Biol Rev 2012;76:159-216. </w:t>
      </w:r>
    </w:p>
    <w:p w:rsidR="00D25182" w:rsidRPr="001931C3" w:rsidRDefault="00D25182" w:rsidP="00D25182">
      <w:pPr>
        <w:pStyle w:val="NormalWeb"/>
        <w:tabs>
          <w:tab w:val="left" w:pos="360"/>
        </w:tabs>
        <w:ind w:left="360" w:hanging="360"/>
        <w:rPr>
          <w:rFonts w:ascii="Calibri" w:hAnsi="Calibri"/>
        </w:rPr>
      </w:pPr>
      <w:r w:rsidRPr="00E10A66">
        <w:fldChar w:fldCharType="end"/>
      </w:r>
      <w:r w:rsidRPr="00682FAE">
        <w:rPr>
          <w:rFonts w:ascii="Calibri" w:hAnsi="Calibri"/>
          <w:lang w:val="fr-CA"/>
        </w:rPr>
        <w:t xml:space="preserve">5. </w:t>
      </w:r>
      <w:r w:rsidRPr="00682FAE">
        <w:rPr>
          <w:rFonts w:ascii="Calibri" w:hAnsi="Calibri"/>
          <w:lang w:val="fr-CA"/>
        </w:rPr>
        <w:tab/>
      </w:r>
      <w:proofErr w:type="spellStart"/>
      <w:r w:rsidRPr="00DA622B">
        <w:rPr>
          <w:rFonts w:ascii="Calibri" w:hAnsi="Calibri"/>
          <w:lang w:val="fr-CA"/>
        </w:rPr>
        <w:t>Stuyver</w:t>
      </w:r>
      <w:proofErr w:type="spellEnd"/>
      <w:r w:rsidRPr="00DA622B">
        <w:rPr>
          <w:rFonts w:ascii="Calibri" w:hAnsi="Calibri"/>
          <w:lang w:val="fr-CA"/>
        </w:rPr>
        <w:t xml:space="preserve"> L, De </w:t>
      </w:r>
      <w:proofErr w:type="spellStart"/>
      <w:r w:rsidRPr="00DA622B">
        <w:rPr>
          <w:rFonts w:ascii="Calibri" w:hAnsi="Calibri"/>
          <w:lang w:val="fr-CA"/>
        </w:rPr>
        <w:t>Gendt</w:t>
      </w:r>
      <w:proofErr w:type="spellEnd"/>
      <w:r w:rsidRPr="00DA622B">
        <w:rPr>
          <w:rFonts w:ascii="Calibri" w:hAnsi="Calibri"/>
          <w:lang w:val="fr-CA"/>
        </w:rPr>
        <w:t xml:space="preserve"> S, Van </w:t>
      </w:r>
      <w:proofErr w:type="spellStart"/>
      <w:r w:rsidRPr="00DA622B">
        <w:rPr>
          <w:rFonts w:ascii="Calibri" w:hAnsi="Calibri"/>
          <w:lang w:val="fr-CA"/>
        </w:rPr>
        <w:t>Geyt</w:t>
      </w:r>
      <w:proofErr w:type="spellEnd"/>
      <w:r w:rsidRPr="00DA622B">
        <w:rPr>
          <w:rFonts w:ascii="Calibri" w:hAnsi="Calibri"/>
          <w:lang w:val="fr-CA"/>
        </w:rPr>
        <w:t xml:space="preserve"> C, et al. </w:t>
      </w:r>
      <w:r w:rsidRPr="001931C3">
        <w:rPr>
          <w:rFonts w:ascii="Calibri" w:hAnsi="Calibri"/>
        </w:rPr>
        <w:t xml:space="preserve">A new genotype of hepatitis B virus: Complete genome and phylogenetic relatedness. </w:t>
      </w:r>
      <w:proofErr w:type="gramStart"/>
      <w:r w:rsidRPr="001931C3">
        <w:rPr>
          <w:rFonts w:ascii="Calibri" w:hAnsi="Calibri"/>
        </w:rPr>
        <w:t xml:space="preserve">J Gen </w:t>
      </w:r>
      <w:proofErr w:type="spellStart"/>
      <w:r w:rsidRPr="001931C3">
        <w:rPr>
          <w:rFonts w:ascii="Calibri" w:hAnsi="Calibri"/>
        </w:rPr>
        <w:t>Virol</w:t>
      </w:r>
      <w:proofErr w:type="spellEnd"/>
      <w:r w:rsidRPr="001931C3">
        <w:rPr>
          <w:rFonts w:ascii="Calibri" w:hAnsi="Calibri"/>
        </w:rPr>
        <w:t>.</w:t>
      </w:r>
      <w:proofErr w:type="gramEnd"/>
      <w:r w:rsidRPr="001931C3">
        <w:rPr>
          <w:rFonts w:ascii="Calibri" w:hAnsi="Calibri"/>
        </w:rPr>
        <w:t xml:space="preserve"> 2000</w:t>
      </w:r>
      <w:proofErr w:type="gramStart"/>
      <w:r w:rsidRPr="001931C3">
        <w:rPr>
          <w:rFonts w:ascii="Calibri" w:hAnsi="Calibri"/>
        </w:rPr>
        <w:t>;81:67</w:t>
      </w:r>
      <w:proofErr w:type="gramEnd"/>
      <w:r w:rsidRPr="001931C3">
        <w:rPr>
          <w:rFonts w:ascii="Calibri" w:hAnsi="Calibri"/>
        </w:rPr>
        <w:t>-74.</w:t>
      </w:r>
    </w:p>
    <w:p w:rsidR="00D25182" w:rsidRPr="00DA622B" w:rsidRDefault="00682FAE" w:rsidP="00D25182">
      <w:pPr>
        <w:pStyle w:val="NormalWeb"/>
        <w:tabs>
          <w:tab w:val="left" w:pos="360"/>
        </w:tabs>
        <w:ind w:left="360" w:hanging="360"/>
        <w:rPr>
          <w:rFonts w:ascii="Calibri" w:hAnsi="Calibri"/>
          <w:lang w:val="fr-CA"/>
        </w:rPr>
      </w:pPr>
      <w:r>
        <w:rPr>
          <w:rFonts w:ascii="Calibri" w:hAnsi="Calibri"/>
        </w:rPr>
        <w:t>6</w:t>
      </w:r>
      <w:r w:rsidR="00D25182" w:rsidRPr="001931C3">
        <w:rPr>
          <w:rFonts w:ascii="Calibri" w:hAnsi="Calibri"/>
        </w:rPr>
        <w:t xml:space="preserve">. </w:t>
      </w:r>
      <w:r w:rsidR="00D25182">
        <w:rPr>
          <w:rFonts w:ascii="Calibri" w:hAnsi="Calibri"/>
        </w:rPr>
        <w:tab/>
      </w:r>
      <w:r w:rsidR="00D25182" w:rsidRPr="001931C3">
        <w:rPr>
          <w:rFonts w:ascii="Calibri" w:hAnsi="Calibri"/>
        </w:rPr>
        <w:t xml:space="preserve">Osiowy C, Giles E. Evaluation of the </w:t>
      </w:r>
      <w:proofErr w:type="spellStart"/>
      <w:r w:rsidR="00D25182" w:rsidRPr="001931C3">
        <w:rPr>
          <w:rFonts w:ascii="Calibri" w:hAnsi="Calibri"/>
        </w:rPr>
        <w:t>INNO-LiPA</w:t>
      </w:r>
      <w:proofErr w:type="spellEnd"/>
      <w:r w:rsidR="00D25182" w:rsidRPr="001931C3">
        <w:rPr>
          <w:rFonts w:ascii="Calibri" w:hAnsi="Calibri"/>
        </w:rPr>
        <w:t xml:space="preserve"> HBV genotyping assay for determination of hepatitis B virus genotype. </w:t>
      </w:r>
      <w:r w:rsidR="00D25182" w:rsidRPr="00DA622B">
        <w:rPr>
          <w:rFonts w:ascii="Calibri" w:hAnsi="Calibri"/>
          <w:lang w:val="fr-CA"/>
        </w:rPr>
        <w:t xml:space="preserve">J Clin </w:t>
      </w:r>
      <w:proofErr w:type="spellStart"/>
      <w:r w:rsidR="00D25182" w:rsidRPr="00DA622B">
        <w:rPr>
          <w:rFonts w:ascii="Calibri" w:hAnsi="Calibri"/>
          <w:lang w:val="fr-CA"/>
        </w:rPr>
        <w:t>Microbiol</w:t>
      </w:r>
      <w:proofErr w:type="spellEnd"/>
      <w:r w:rsidR="00D25182" w:rsidRPr="00DA622B">
        <w:rPr>
          <w:rFonts w:ascii="Calibri" w:hAnsi="Calibri"/>
          <w:lang w:val="fr-CA"/>
        </w:rPr>
        <w:t>. 2003;41:5473-5477.</w:t>
      </w:r>
    </w:p>
    <w:p w:rsidR="00D25182" w:rsidRPr="00DA622B" w:rsidRDefault="00682FAE" w:rsidP="00D25182">
      <w:pPr>
        <w:pStyle w:val="NormalWeb"/>
        <w:tabs>
          <w:tab w:val="left" w:pos="360"/>
        </w:tabs>
        <w:ind w:left="360" w:hanging="36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7</w:t>
      </w:r>
      <w:r w:rsidR="00D25182" w:rsidRPr="00DA622B">
        <w:rPr>
          <w:rFonts w:ascii="Calibri" w:hAnsi="Calibri"/>
          <w:lang w:val="fr-CA"/>
        </w:rPr>
        <w:t xml:space="preserve">. </w:t>
      </w:r>
      <w:r w:rsidR="00D25182" w:rsidRPr="00DA622B">
        <w:rPr>
          <w:rFonts w:ascii="Calibri" w:hAnsi="Calibri"/>
          <w:lang w:val="fr-CA"/>
        </w:rPr>
        <w:tab/>
        <w:t xml:space="preserve">Lindh M, Furuta Y, </w:t>
      </w:r>
      <w:proofErr w:type="spellStart"/>
      <w:r w:rsidR="00D25182" w:rsidRPr="00DA622B">
        <w:rPr>
          <w:rFonts w:ascii="Calibri" w:hAnsi="Calibri"/>
          <w:lang w:val="fr-CA"/>
        </w:rPr>
        <w:t>Ljunggren</w:t>
      </w:r>
      <w:proofErr w:type="spellEnd"/>
      <w:r w:rsidR="00D25182" w:rsidRPr="00DA622B">
        <w:rPr>
          <w:rFonts w:ascii="Calibri" w:hAnsi="Calibri"/>
          <w:lang w:val="fr-CA"/>
        </w:rPr>
        <w:t xml:space="preserve"> </w:t>
      </w:r>
      <w:proofErr w:type="spellStart"/>
      <w:r w:rsidR="00D25182" w:rsidRPr="00DA622B">
        <w:rPr>
          <w:rFonts w:ascii="Calibri" w:hAnsi="Calibri"/>
          <w:lang w:val="fr-CA"/>
        </w:rPr>
        <w:t>KK</w:t>
      </w:r>
      <w:proofErr w:type="spellEnd"/>
      <w:r w:rsidR="00D25182" w:rsidRPr="00DA622B">
        <w:rPr>
          <w:rFonts w:ascii="Calibri" w:hAnsi="Calibri"/>
          <w:lang w:val="fr-CA"/>
        </w:rPr>
        <w:t xml:space="preserve">, et al. </w:t>
      </w:r>
      <w:proofErr w:type="gramStart"/>
      <w:r w:rsidR="00D25182" w:rsidRPr="001931C3">
        <w:rPr>
          <w:rFonts w:ascii="Calibri" w:hAnsi="Calibri"/>
        </w:rPr>
        <w:t xml:space="preserve">Detection of hepatitis B virus </w:t>
      </w:r>
      <w:proofErr w:type="spellStart"/>
      <w:r w:rsidR="00D25182" w:rsidRPr="001931C3">
        <w:rPr>
          <w:rFonts w:ascii="Calibri" w:hAnsi="Calibri"/>
        </w:rPr>
        <w:t>precore</w:t>
      </w:r>
      <w:proofErr w:type="spellEnd"/>
      <w:r w:rsidR="00D25182" w:rsidRPr="001931C3">
        <w:rPr>
          <w:rFonts w:ascii="Calibri" w:hAnsi="Calibri"/>
        </w:rPr>
        <w:t xml:space="preserve"> TAG mutant by an amplification-created restriction site method.</w:t>
      </w:r>
      <w:proofErr w:type="gramEnd"/>
      <w:r w:rsidR="00D25182" w:rsidRPr="001931C3">
        <w:rPr>
          <w:rFonts w:ascii="Calibri" w:hAnsi="Calibri"/>
        </w:rPr>
        <w:t xml:space="preserve"> </w:t>
      </w:r>
      <w:r w:rsidR="00D25182" w:rsidRPr="00DA622B">
        <w:rPr>
          <w:rFonts w:ascii="Calibri" w:hAnsi="Calibri"/>
          <w:lang w:val="fr-CA"/>
        </w:rPr>
        <w:t>J Infect Dis. 1995;171:194-197.</w:t>
      </w:r>
    </w:p>
    <w:p w:rsidR="00D25182" w:rsidRPr="00DA622B" w:rsidRDefault="00682FAE" w:rsidP="00D25182">
      <w:pPr>
        <w:pStyle w:val="NormalWeb"/>
        <w:tabs>
          <w:tab w:val="left" w:pos="360"/>
        </w:tabs>
        <w:ind w:left="360" w:hanging="36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8</w:t>
      </w:r>
      <w:r w:rsidR="00D25182" w:rsidRPr="00DA622B">
        <w:rPr>
          <w:rFonts w:ascii="Calibri" w:hAnsi="Calibri"/>
          <w:lang w:val="fr-CA"/>
        </w:rPr>
        <w:t xml:space="preserve">. </w:t>
      </w:r>
      <w:r w:rsidR="00D25182" w:rsidRPr="00DA622B">
        <w:rPr>
          <w:rFonts w:ascii="Calibri" w:hAnsi="Calibri"/>
          <w:lang w:val="fr-CA"/>
        </w:rPr>
        <w:tab/>
      </w:r>
      <w:proofErr w:type="spellStart"/>
      <w:r w:rsidR="00D25182" w:rsidRPr="00DA622B">
        <w:rPr>
          <w:rFonts w:ascii="Calibri" w:hAnsi="Calibri"/>
          <w:lang w:val="fr-CA"/>
        </w:rPr>
        <w:t>Grandjacques</w:t>
      </w:r>
      <w:proofErr w:type="spellEnd"/>
      <w:r w:rsidR="00D25182" w:rsidRPr="00DA622B">
        <w:rPr>
          <w:rFonts w:ascii="Calibri" w:hAnsi="Calibri"/>
          <w:lang w:val="fr-CA"/>
        </w:rPr>
        <w:t xml:space="preserve"> C, </w:t>
      </w:r>
      <w:proofErr w:type="spellStart"/>
      <w:r w:rsidR="00D25182" w:rsidRPr="00DA622B">
        <w:rPr>
          <w:rFonts w:ascii="Calibri" w:hAnsi="Calibri"/>
          <w:lang w:val="fr-CA"/>
        </w:rPr>
        <w:t>Pradat</w:t>
      </w:r>
      <w:proofErr w:type="spellEnd"/>
      <w:r w:rsidR="00D25182" w:rsidRPr="00DA622B">
        <w:rPr>
          <w:rFonts w:ascii="Calibri" w:hAnsi="Calibri"/>
          <w:lang w:val="fr-CA"/>
        </w:rPr>
        <w:t xml:space="preserve"> P, </w:t>
      </w:r>
      <w:proofErr w:type="spellStart"/>
      <w:r w:rsidR="00D25182" w:rsidRPr="00DA622B">
        <w:rPr>
          <w:rFonts w:ascii="Calibri" w:hAnsi="Calibri"/>
          <w:lang w:val="fr-CA"/>
        </w:rPr>
        <w:t>Stuyver</w:t>
      </w:r>
      <w:proofErr w:type="spellEnd"/>
      <w:r w:rsidR="00D25182" w:rsidRPr="00DA622B">
        <w:rPr>
          <w:rFonts w:ascii="Calibri" w:hAnsi="Calibri"/>
          <w:lang w:val="fr-CA"/>
        </w:rPr>
        <w:t xml:space="preserve"> L, et al. </w:t>
      </w:r>
      <w:r w:rsidR="00D25182" w:rsidRPr="001931C3">
        <w:rPr>
          <w:rFonts w:ascii="Calibri" w:hAnsi="Calibri"/>
        </w:rPr>
        <w:t xml:space="preserve">Rapid detection of genotypes and mutations in the pre-core promoter and the pre-core region of hepatitis B virus genome: correlation with viral persistence and disease severity. </w:t>
      </w:r>
      <w:r w:rsidR="00D25182" w:rsidRPr="00DA622B">
        <w:rPr>
          <w:rFonts w:ascii="Calibri" w:hAnsi="Calibri"/>
          <w:lang w:val="fr-CA"/>
        </w:rPr>
        <w:t xml:space="preserve">J </w:t>
      </w:r>
      <w:proofErr w:type="spellStart"/>
      <w:r w:rsidR="00D25182" w:rsidRPr="00DA622B">
        <w:rPr>
          <w:rFonts w:ascii="Calibri" w:hAnsi="Calibri"/>
          <w:lang w:val="fr-CA"/>
        </w:rPr>
        <w:t>Hepatol</w:t>
      </w:r>
      <w:proofErr w:type="spellEnd"/>
      <w:r w:rsidR="00D25182" w:rsidRPr="00DA622B">
        <w:rPr>
          <w:rFonts w:ascii="Calibri" w:hAnsi="Calibri"/>
          <w:lang w:val="fr-CA"/>
        </w:rPr>
        <w:t>. 2000;33:430-439.</w:t>
      </w:r>
    </w:p>
    <w:p w:rsidR="00D25182" w:rsidRPr="001931C3" w:rsidRDefault="00682FAE" w:rsidP="00D25182">
      <w:pPr>
        <w:pStyle w:val="NormalWeb"/>
        <w:tabs>
          <w:tab w:val="left" w:pos="360"/>
        </w:tabs>
        <w:ind w:left="360" w:hanging="360"/>
        <w:rPr>
          <w:rFonts w:ascii="Calibri" w:hAnsi="Calibri"/>
        </w:rPr>
      </w:pPr>
      <w:r>
        <w:rPr>
          <w:rFonts w:ascii="Calibri" w:hAnsi="Calibri"/>
          <w:lang w:val="fr-CA"/>
        </w:rPr>
        <w:t>9</w:t>
      </w:r>
      <w:r w:rsidR="00D25182" w:rsidRPr="00DA622B">
        <w:rPr>
          <w:rFonts w:ascii="Calibri" w:hAnsi="Calibri"/>
          <w:lang w:val="fr-CA"/>
        </w:rPr>
        <w:t xml:space="preserve">. </w:t>
      </w:r>
      <w:r w:rsidR="00D25182" w:rsidRPr="00DA622B">
        <w:rPr>
          <w:rFonts w:ascii="Calibri" w:hAnsi="Calibri"/>
          <w:lang w:val="fr-CA"/>
        </w:rPr>
        <w:tab/>
      </w:r>
      <w:proofErr w:type="spellStart"/>
      <w:r w:rsidR="00D25182" w:rsidRPr="00DA622B">
        <w:rPr>
          <w:rFonts w:ascii="Calibri" w:hAnsi="Calibri"/>
          <w:lang w:val="fr-CA"/>
        </w:rPr>
        <w:t>Chaudhuri</w:t>
      </w:r>
      <w:proofErr w:type="spellEnd"/>
      <w:r w:rsidR="00D25182" w:rsidRPr="00DA622B">
        <w:rPr>
          <w:rFonts w:ascii="Calibri" w:hAnsi="Calibri"/>
          <w:lang w:val="fr-CA"/>
        </w:rPr>
        <w:t xml:space="preserve"> V, </w:t>
      </w:r>
      <w:proofErr w:type="spellStart"/>
      <w:r w:rsidR="00D25182" w:rsidRPr="00DA622B">
        <w:rPr>
          <w:rFonts w:ascii="Calibri" w:hAnsi="Calibri"/>
          <w:lang w:val="fr-CA"/>
        </w:rPr>
        <w:t>Tayal</w:t>
      </w:r>
      <w:proofErr w:type="spellEnd"/>
      <w:r w:rsidR="00D25182" w:rsidRPr="00DA622B">
        <w:rPr>
          <w:rFonts w:ascii="Calibri" w:hAnsi="Calibri"/>
          <w:lang w:val="fr-CA"/>
        </w:rPr>
        <w:t xml:space="preserve"> R, </w:t>
      </w:r>
      <w:proofErr w:type="spellStart"/>
      <w:r w:rsidR="00D25182" w:rsidRPr="00DA622B">
        <w:rPr>
          <w:rFonts w:ascii="Calibri" w:hAnsi="Calibri"/>
          <w:lang w:val="fr-CA"/>
        </w:rPr>
        <w:t>Nayak</w:t>
      </w:r>
      <w:proofErr w:type="spellEnd"/>
      <w:r w:rsidR="00D25182" w:rsidRPr="00DA622B">
        <w:rPr>
          <w:rFonts w:ascii="Calibri" w:hAnsi="Calibri"/>
          <w:lang w:val="fr-CA"/>
        </w:rPr>
        <w:t xml:space="preserve"> B, et al. </w:t>
      </w:r>
      <w:r w:rsidR="00D25182" w:rsidRPr="001931C3">
        <w:rPr>
          <w:rFonts w:ascii="Calibri" w:hAnsi="Calibri"/>
        </w:rPr>
        <w:t xml:space="preserve">Occult hepatitis B virus infection in chronic liver disease: full-length genome and analysis of mutant surface promoter. </w:t>
      </w:r>
      <w:proofErr w:type="gramStart"/>
      <w:r w:rsidR="00D25182" w:rsidRPr="001931C3">
        <w:rPr>
          <w:rFonts w:ascii="Calibri" w:hAnsi="Calibri"/>
        </w:rPr>
        <w:t>Gastroenterology.</w:t>
      </w:r>
      <w:proofErr w:type="gramEnd"/>
      <w:r w:rsidR="00D25182" w:rsidRPr="001931C3">
        <w:rPr>
          <w:rFonts w:ascii="Calibri" w:hAnsi="Calibri"/>
        </w:rPr>
        <w:t xml:space="preserve"> 2004</w:t>
      </w:r>
      <w:proofErr w:type="gramStart"/>
      <w:r w:rsidR="00D25182" w:rsidRPr="001931C3">
        <w:rPr>
          <w:rFonts w:ascii="Calibri" w:hAnsi="Calibri"/>
        </w:rPr>
        <w:t>;127:1356</w:t>
      </w:r>
      <w:proofErr w:type="gramEnd"/>
      <w:r w:rsidR="00D25182" w:rsidRPr="001931C3">
        <w:rPr>
          <w:rFonts w:ascii="Calibri" w:hAnsi="Calibri"/>
        </w:rPr>
        <w:t>-1371.</w:t>
      </w:r>
    </w:p>
    <w:p w:rsidR="00D25182" w:rsidRPr="001931C3" w:rsidRDefault="00D25182" w:rsidP="00E10A66">
      <w:pPr>
        <w:tabs>
          <w:tab w:val="left" w:pos="360"/>
        </w:tabs>
        <w:ind w:left="360" w:hanging="360"/>
        <w:rPr>
          <w:b/>
        </w:rPr>
      </w:pPr>
      <w:r>
        <w:t>1</w:t>
      </w:r>
      <w:r w:rsidR="00682FAE">
        <w:t>0</w:t>
      </w:r>
      <w:r w:rsidRPr="001931C3">
        <w:t xml:space="preserve">. </w:t>
      </w:r>
      <w:r>
        <w:tab/>
      </w:r>
      <w:r w:rsidRPr="001931C3">
        <w:t xml:space="preserve">Illumina Inc. 16S </w:t>
      </w:r>
      <w:proofErr w:type="spellStart"/>
      <w:r w:rsidRPr="001931C3">
        <w:t>Metagenomic</w:t>
      </w:r>
      <w:proofErr w:type="spellEnd"/>
      <w:r w:rsidRPr="001931C3">
        <w:t xml:space="preserve"> Sequencing Library Preparation (15044223 B). Available at: </w:t>
      </w:r>
      <w:hyperlink r:id="rId7" w:tgtFrame="_blank" w:history="1">
        <w:r w:rsidRPr="001931C3">
          <w:rPr>
            <w:rStyle w:val="Hyperlink"/>
          </w:rPr>
          <w:t>https://support.illumina.com/content/dam/illumina-support/documents/documentation/chemistry_documentation/16s/16s-metagenomic-library-prep-guide-15044223-b.pdf</w:t>
        </w:r>
      </w:hyperlink>
      <w:r w:rsidRPr="001931C3">
        <w:t xml:space="preserve">. </w:t>
      </w:r>
      <w:proofErr w:type="gramStart"/>
      <w:r>
        <w:t>Published November, 2013.</w:t>
      </w:r>
      <w:proofErr w:type="gramEnd"/>
      <w:r>
        <w:t xml:space="preserve"> </w:t>
      </w:r>
      <w:proofErr w:type="gramStart"/>
      <w:r w:rsidRPr="001931C3">
        <w:t>Accessed October, 2016.</w:t>
      </w:r>
      <w:proofErr w:type="gramEnd"/>
    </w:p>
    <w:p w:rsidR="00D25182" w:rsidRPr="001931C3" w:rsidRDefault="00D25182" w:rsidP="001931C3">
      <w:pPr>
        <w:rPr>
          <w:b/>
        </w:rPr>
      </w:pPr>
    </w:p>
    <w:sectPr w:rsidR="00D25182" w:rsidRPr="001931C3" w:rsidSect="004C3766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85" w:rsidRDefault="0063578D">
      <w:pPr>
        <w:spacing w:after="0" w:line="240" w:lineRule="auto"/>
      </w:pPr>
      <w:r>
        <w:separator/>
      </w:r>
    </w:p>
  </w:endnote>
  <w:endnote w:type="continuationSeparator" w:id="0">
    <w:p w:rsidR="004C0F85" w:rsidRDefault="0063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950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788D" w:rsidRDefault="00617D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1C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1CB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C788D" w:rsidRDefault="009D1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85" w:rsidRDefault="0063578D">
      <w:pPr>
        <w:spacing w:after="0" w:line="240" w:lineRule="auto"/>
      </w:pPr>
      <w:r>
        <w:separator/>
      </w:r>
    </w:p>
  </w:footnote>
  <w:footnote w:type="continuationSeparator" w:id="0">
    <w:p w:rsidR="004C0F85" w:rsidRDefault="0063578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a Osiowy">
    <w15:presenceInfo w15:providerId="None" w15:userId="Carla Osiow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BF"/>
    <w:rsid w:val="00007E5E"/>
    <w:rsid w:val="00023893"/>
    <w:rsid w:val="00041838"/>
    <w:rsid w:val="000800D4"/>
    <w:rsid w:val="000B2320"/>
    <w:rsid w:val="000B4FF5"/>
    <w:rsid w:val="000D4E09"/>
    <w:rsid w:val="000D51AD"/>
    <w:rsid w:val="00117C83"/>
    <w:rsid w:val="0014396E"/>
    <w:rsid w:val="00156937"/>
    <w:rsid w:val="00173960"/>
    <w:rsid w:val="001755A4"/>
    <w:rsid w:val="001931C3"/>
    <w:rsid w:val="001A39E4"/>
    <w:rsid w:val="001D713B"/>
    <w:rsid w:val="002274FB"/>
    <w:rsid w:val="00245F8D"/>
    <w:rsid w:val="00252A8C"/>
    <w:rsid w:val="002D0FAF"/>
    <w:rsid w:val="002E14BB"/>
    <w:rsid w:val="0030446C"/>
    <w:rsid w:val="0032017D"/>
    <w:rsid w:val="0037367D"/>
    <w:rsid w:val="003A3C70"/>
    <w:rsid w:val="003B4CCD"/>
    <w:rsid w:val="003B71B9"/>
    <w:rsid w:val="003C1095"/>
    <w:rsid w:val="003D1BD2"/>
    <w:rsid w:val="003D40F7"/>
    <w:rsid w:val="003F2CE1"/>
    <w:rsid w:val="003F4CC1"/>
    <w:rsid w:val="0046513B"/>
    <w:rsid w:val="004C0F85"/>
    <w:rsid w:val="004C3766"/>
    <w:rsid w:val="00500754"/>
    <w:rsid w:val="00503174"/>
    <w:rsid w:val="00526CF1"/>
    <w:rsid w:val="005435F8"/>
    <w:rsid w:val="005473C0"/>
    <w:rsid w:val="00596435"/>
    <w:rsid w:val="005C32E5"/>
    <w:rsid w:val="005C41AB"/>
    <w:rsid w:val="005F49EB"/>
    <w:rsid w:val="00617DE0"/>
    <w:rsid w:val="00626C4B"/>
    <w:rsid w:val="0063578D"/>
    <w:rsid w:val="006763A6"/>
    <w:rsid w:val="0067768A"/>
    <w:rsid w:val="00682FAE"/>
    <w:rsid w:val="00685B04"/>
    <w:rsid w:val="00695218"/>
    <w:rsid w:val="006A23B5"/>
    <w:rsid w:val="006C1440"/>
    <w:rsid w:val="006C4578"/>
    <w:rsid w:val="006F1016"/>
    <w:rsid w:val="00704A43"/>
    <w:rsid w:val="00735A31"/>
    <w:rsid w:val="007759B3"/>
    <w:rsid w:val="007B2EBF"/>
    <w:rsid w:val="007E1ADE"/>
    <w:rsid w:val="00847C4A"/>
    <w:rsid w:val="0086201F"/>
    <w:rsid w:val="00885D76"/>
    <w:rsid w:val="0089363A"/>
    <w:rsid w:val="008E019A"/>
    <w:rsid w:val="008E4B04"/>
    <w:rsid w:val="008F0413"/>
    <w:rsid w:val="0090640C"/>
    <w:rsid w:val="00910705"/>
    <w:rsid w:val="00921738"/>
    <w:rsid w:val="00924F39"/>
    <w:rsid w:val="009345A6"/>
    <w:rsid w:val="0095571D"/>
    <w:rsid w:val="0097357B"/>
    <w:rsid w:val="009B374A"/>
    <w:rsid w:val="009B49EE"/>
    <w:rsid w:val="009B5435"/>
    <w:rsid w:val="009D1CB2"/>
    <w:rsid w:val="009D44E9"/>
    <w:rsid w:val="009E1A4C"/>
    <w:rsid w:val="00A1276F"/>
    <w:rsid w:val="00A27718"/>
    <w:rsid w:val="00A5253A"/>
    <w:rsid w:val="00A5504C"/>
    <w:rsid w:val="00A566E6"/>
    <w:rsid w:val="00A70153"/>
    <w:rsid w:val="00AA642C"/>
    <w:rsid w:val="00AB52E4"/>
    <w:rsid w:val="00AE2B42"/>
    <w:rsid w:val="00AF5276"/>
    <w:rsid w:val="00B11191"/>
    <w:rsid w:val="00B26AE8"/>
    <w:rsid w:val="00B36175"/>
    <w:rsid w:val="00B433D2"/>
    <w:rsid w:val="00B4500C"/>
    <w:rsid w:val="00B6025F"/>
    <w:rsid w:val="00B76D58"/>
    <w:rsid w:val="00BA7A7E"/>
    <w:rsid w:val="00BB18E6"/>
    <w:rsid w:val="00BB3CA1"/>
    <w:rsid w:val="00BC6C28"/>
    <w:rsid w:val="00BF631C"/>
    <w:rsid w:val="00BF787E"/>
    <w:rsid w:val="00C030B2"/>
    <w:rsid w:val="00C04142"/>
    <w:rsid w:val="00C25DF4"/>
    <w:rsid w:val="00C329B8"/>
    <w:rsid w:val="00C5519A"/>
    <w:rsid w:val="00C67CFF"/>
    <w:rsid w:val="00C73661"/>
    <w:rsid w:val="00C96651"/>
    <w:rsid w:val="00CB0358"/>
    <w:rsid w:val="00D25182"/>
    <w:rsid w:val="00D52AB1"/>
    <w:rsid w:val="00D74757"/>
    <w:rsid w:val="00D754F2"/>
    <w:rsid w:val="00D82C00"/>
    <w:rsid w:val="00DA76E4"/>
    <w:rsid w:val="00DF7862"/>
    <w:rsid w:val="00E10A66"/>
    <w:rsid w:val="00E546E7"/>
    <w:rsid w:val="00E62319"/>
    <w:rsid w:val="00E735F9"/>
    <w:rsid w:val="00E854F5"/>
    <w:rsid w:val="00E93C45"/>
    <w:rsid w:val="00EC2B2E"/>
    <w:rsid w:val="00F471C2"/>
    <w:rsid w:val="00F50B4F"/>
    <w:rsid w:val="00F532D3"/>
    <w:rsid w:val="00F72018"/>
    <w:rsid w:val="00FA5A60"/>
    <w:rsid w:val="00FD116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F"/>
    <w:pPr>
      <w:spacing w:after="160" w:line="259" w:lineRule="auto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13B"/>
    <w:pPr>
      <w:spacing w:after="0" w:line="240" w:lineRule="auto"/>
    </w:pPr>
    <w:rPr>
      <w:rFonts w:ascii="Calibri" w:hAnsi="Calibri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3B"/>
    <w:rPr>
      <w:rFonts w:ascii="Calibri" w:hAnsi="Calibr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35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893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193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B8"/>
    <w:rPr>
      <w:rFonts w:ascii="Calibri" w:hAnsi="Calibri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F"/>
    <w:pPr>
      <w:spacing w:after="160" w:line="259" w:lineRule="auto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13B"/>
    <w:pPr>
      <w:spacing w:after="0" w:line="240" w:lineRule="auto"/>
    </w:pPr>
    <w:rPr>
      <w:rFonts w:ascii="Calibri" w:hAnsi="Calibri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3B"/>
    <w:rPr>
      <w:rFonts w:ascii="Calibri" w:hAnsi="Calibr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35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893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193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B8"/>
    <w:rPr>
      <w:rFonts w:ascii="Calibri" w:hAnsi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0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7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illumina.com/content/dam/illumina-support/documents/documentation/chemistry_documentation/16s/16s-metagenomic-library-prep-guide-15044223-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Public Health Agency of Canada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Windows User</dc:creator>
  <cp:keywords/>
  <cp:lastModifiedBy>Carla Osiowy</cp:lastModifiedBy>
  <cp:revision>14</cp:revision>
  <cp:lastPrinted>2018-10-23T17:37:00Z</cp:lastPrinted>
  <dcterms:created xsi:type="dcterms:W3CDTF">2018-10-17T21:52:00Z</dcterms:created>
  <dcterms:modified xsi:type="dcterms:W3CDTF">2018-10-24T19:15:00Z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user:5a8de86ce4b01d55d0b0f025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rwuserstyle:5b4e614c44a34b07ec3df5ed</vt:lpwstr>
  </property>
  <property fmtid="{D5CDD505-2E9C-101B-9397-08002B2CF9AE}" pid="5" name="RWProductId">
    <vt:lpwstr>Flow</vt:lpwstr>
  </property>
  <property fmtid="{D5CDD505-2E9C-101B-9397-08002B2CF9AE}" pid="6" name="WnC4Folder">
    <vt:lpwstr>Documents///SUPPLEMENTAL MATERIAL</vt:lpwstr>
  </property>
</Properties>
</file>