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7F09" w14:textId="77777777" w:rsidR="002725CD" w:rsidRPr="004F43C9" w:rsidRDefault="002725CD" w:rsidP="002725CD">
      <w:pPr>
        <w:pStyle w:val="Caption"/>
        <w:rPr>
          <w:sz w:val="22"/>
          <w:szCs w:val="22"/>
        </w:rPr>
      </w:pPr>
      <w:bookmarkStart w:id="0" w:name="_Ref525554246"/>
      <w:r w:rsidRPr="004F43C9">
        <w:rPr>
          <w:b/>
          <w:i w:val="0"/>
          <w:color w:val="000000" w:themeColor="text1"/>
          <w:sz w:val="22"/>
          <w:szCs w:val="22"/>
        </w:rPr>
        <w:t xml:space="preserve">Supplementary Figure </w:t>
      </w:r>
      <w:r w:rsidRPr="004F43C9">
        <w:rPr>
          <w:b/>
          <w:i w:val="0"/>
          <w:color w:val="000000" w:themeColor="text1"/>
          <w:sz w:val="22"/>
          <w:szCs w:val="22"/>
        </w:rPr>
        <w:fldChar w:fldCharType="begin"/>
      </w:r>
      <w:r w:rsidRPr="004F43C9">
        <w:rPr>
          <w:b/>
          <w:i w:val="0"/>
          <w:color w:val="000000" w:themeColor="text1"/>
          <w:sz w:val="22"/>
          <w:szCs w:val="22"/>
        </w:rPr>
        <w:instrText xml:space="preserve"> SEQ Supplementary_Figure \* ARABIC </w:instrText>
      </w:r>
      <w:r w:rsidRPr="004F43C9">
        <w:rPr>
          <w:b/>
          <w:i w:val="0"/>
          <w:color w:val="000000" w:themeColor="text1"/>
          <w:sz w:val="22"/>
          <w:szCs w:val="22"/>
        </w:rPr>
        <w:fldChar w:fldCharType="separate"/>
      </w:r>
      <w:r>
        <w:rPr>
          <w:b/>
          <w:i w:val="0"/>
          <w:noProof/>
          <w:color w:val="000000" w:themeColor="text1"/>
          <w:sz w:val="22"/>
          <w:szCs w:val="22"/>
        </w:rPr>
        <w:t>1</w:t>
      </w:r>
      <w:r w:rsidRPr="004F43C9">
        <w:rPr>
          <w:b/>
          <w:i w:val="0"/>
          <w:color w:val="000000" w:themeColor="text1"/>
          <w:sz w:val="22"/>
          <w:szCs w:val="22"/>
        </w:rPr>
        <w:fldChar w:fldCharType="end"/>
      </w:r>
      <w:bookmarkEnd w:id="0"/>
      <w:r w:rsidRPr="004F43C9">
        <w:rPr>
          <w:b/>
          <w:i w:val="0"/>
          <w:color w:val="000000" w:themeColor="text1"/>
          <w:sz w:val="22"/>
          <w:szCs w:val="22"/>
        </w:rPr>
        <w:t>.</w:t>
      </w:r>
      <w:r w:rsidRPr="004F43C9">
        <w:rPr>
          <w:color w:val="000000" w:themeColor="text1"/>
          <w:sz w:val="22"/>
          <w:szCs w:val="22"/>
        </w:rPr>
        <w:t xml:space="preserve"> </w:t>
      </w:r>
      <w:r w:rsidRPr="004F43C9">
        <w:rPr>
          <w:i w:val="0"/>
          <w:color w:val="000000" w:themeColor="text1"/>
          <w:sz w:val="22"/>
          <w:szCs w:val="22"/>
        </w:rPr>
        <w:t>Number of endoscopies</w:t>
      </w:r>
      <w:r>
        <w:rPr>
          <w:i w:val="0"/>
          <w:color w:val="000000" w:themeColor="text1"/>
          <w:sz w:val="22"/>
          <w:szCs w:val="22"/>
        </w:rPr>
        <w:t xml:space="preserve"> with biopsies</w:t>
      </w:r>
      <w:r w:rsidRPr="004F43C9">
        <w:rPr>
          <w:i w:val="0"/>
          <w:color w:val="000000" w:themeColor="text1"/>
          <w:sz w:val="22"/>
          <w:szCs w:val="22"/>
        </w:rPr>
        <w:t xml:space="preserve"> performed per patient during study period (January 2016</w:t>
      </w:r>
      <w:r>
        <w:rPr>
          <w:i w:val="0"/>
          <w:color w:val="000000" w:themeColor="text1"/>
          <w:sz w:val="22"/>
          <w:szCs w:val="22"/>
        </w:rPr>
        <w:t>–</w:t>
      </w:r>
      <w:r w:rsidRPr="004F43C9">
        <w:rPr>
          <w:i w:val="0"/>
          <w:color w:val="000000" w:themeColor="text1"/>
          <w:sz w:val="22"/>
          <w:szCs w:val="22"/>
        </w:rPr>
        <w:t>August 2018).</w:t>
      </w:r>
    </w:p>
    <w:p w14:paraId="71C0C845" w14:textId="77777777" w:rsidR="002725CD" w:rsidRDefault="002725CD">
      <w:pPr>
        <w:spacing w:after="160" w:line="259" w:lineRule="auto"/>
        <w:rPr>
          <w:b/>
          <w:i/>
          <w:color w:val="000000" w:themeColor="text1"/>
        </w:rPr>
      </w:pPr>
      <w:bookmarkStart w:id="1" w:name="_Ref525555818"/>
    </w:p>
    <w:p w14:paraId="42EE8981" w14:textId="3F028EAF" w:rsidR="002725CD" w:rsidRDefault="002725CD">
      <w:pPr>
        <w:spacing w:after="160" w:line="259" w:lineRule="auto"/>
        <w:rPr>
          <w:b/>
          <w:i/>
          <w:color w:val="000000" w:themeColor="text1"/>
        </w:rPr>
      </w:pPr>
      <w:r>
        <w:rPr>
          <w:b/>
          <w:i/>
          <w:noProof/>
          <w:color w:val="000000" w:themeColor="text1"/>
        </w:rPr>
        <w:drawing>
          <wp:inline distT="0" distB="0" distL="0" distR="0" wp14:anchorId="5C0FC90C" wp14:editId="5811D418">
            <wp:extent cx="3277870" cy="2242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7870" cy="2242820"/>
                    </a:xfrm>
                    <a:prstGeom prst="rect">
                      <a:avLst/>
                    </a:prstGeom>
                    <a:noFill/>
                    <a:ln>
                      <a:noFill/>
                    </a:ln>
                  </pic:spPr>
                </pic:pic>
              </a:graphicData>
            </a:graphic>
          </wp:inline>
        </w:drawing>
      </w:r>
      <w:bookmarkStart w:id="2" w:name="_GoBack"/>
      <w:bookmarkEnd w:id="2"/>
    </w:p>
    <w:p w14:paraId="78AB552A" w14:textId="0BCFEE1D" w:rsidR="002725CD" w:rsidRDefault="002725CD">
      <w:pPr>
        <w:spacing w:after="160" w:line="259" w:lineRule="auto"/>
        <w:rPr>
          <w:b/>
          <w:iCs/>
          <w:color w:val="000000" w:themeColor="text1"/>
        </w:rPr>
      </w:pPr>
      <w:r>
        <w:rPr>
          <w:b/>
          <w:i/>
          <w:color w:val="000000" w:themeColor="text1"/>
        </w:rPr>
        <w:br w:type="page"/>
      </w:r>
    </w:p>
    <w:p w14:paraId="500B251B" w14:textId="389CF68D" w:rsidR="002725CD" w:rsidRPr="004F43C9" w:rsidRDefault="002725CD" w:rsidP="002725CD">
      <w:pPr>
        <w:pStyle w:val="Caption"/>
        <w:rPr>
          <w:i w:val="0"/>
          <w:color w:val="000000" w:themeColor="text1"/>
          <w:sz w:val="22"/>
          <w:szCs w:val="22"/>
        </w:rPr>
      </w:pPr>
      <w:r w:rsidRPr="004F43C9">
        <w:rPr>
          <w:b/>
          <w:i w:val="0"/>
          <w:color w:val="000000" w:themeColor="text1"/>
          <w:sz w:val="22"/>
          <w:szCs w:val="22"/>
        </w:rPr>
        <w:lastRenderedPageBreak/>
        <w:t xml:space="preserve">Supplementary Figure </w:t>
      </w:r>
      <w:r w:rsidRPr="004F43C9">
        <w:rPr>
          <w:b/>
          <w:i w:val="0"/>
          <w:color w:val="000000" w:themeColor="text1"/>
          <w:sz w:val="22"/>
          <w:szCs w:val="22"/>
        </w:rPr>
        <w:fldChar w:fldCharType="begin"/>
      </w:r>
      <w:r w:rsidRPr="004F43C9">
        <w:rPr>
          <w:b/>
          <w:i w:val="0"/>
          <w:color w:val="000000" w:themeColor="text1"/>
          <w:sz w:val="22"/>
          <w:szCs w:val="22"/>
        </w:rPr>
        <w:instrText xml:space="preserve"> SEQ Supplementary_Figure \* ARABIC </w:instrText>
      </w:r>
      <w:r w:rsidRPr="004F43C9">
        <w:rPr>
          <w:b/>
          <w:i w:val="0"/>
          <w:color w:val="000000" w:themeColor="text1"/>
          <w:sz w:val="22"/>
          <w:szCs w:val="22"/>
        </w:rPr>
        <w:fldChar w:fldCharType="separate"/>
      </w:r>
      <w:r>
        <w:rPr>
          <w:b/>
          <w:i w:val="0"/>
          <w:noProof/>
          <w:color w:val="000000" w:themeColor="text1"/>
          <w:sz w:val="22"/>
          <w:szCs w:val="22"/>
        </w:rPr>
        <w:t>2</w:t>
      </w:r>
      <w:r w:rsidRPr="004F43C9">
        <w:rPr>
          <w:b/>
          <w:i w:val="0"/>
          <w:color w:val="000000" w:themeColor="text1"/>
          <w:sz w:val="22"/>
          <w:szCs w:val="22"/>
        </w:rPr>
        <w:fldChar w:fldCharType="end"/>
      </w:r>
      <w:bookmarkEnd w:id="1"/>
      <w:r w:rsidRPr="004F43C9">
        <w:rPr>
          <w:b/>
          <w:i w:val="0"/>
          <w:color w:val="000000" w:themeColor="text1"/>
          <w:sz w:val="22"/>
          <w:szCs w:val="22"/>
        </w:rPr>
        <w:t xml:space="preserve">. </w:t>
      </w:r>
      <w:r w:rsidRPr="004F43C9">
        <w:rPr>
          <w:i w:val="0"/>
          <w:color w:val="000000" w:themeColor="text1"/>
          <w:sz w:val="22"/>
          <w:szCs w:val="22"/>
        </w:rPr>
        <w:t>Medication use in patients with history of non</w:t>
      </w:r>
      <w:r>
        <w:rPr>
          <w:i w:val="0"/>
          <w:color w:val="000000" w:themeColor="text1"/>
          <w:sz w:val="22"/>
          <w:szCs w:val="22"/>
        </w:rPr>
        <w:t>-long-</w:t>
      </w:r>
      <w:r w:rsidRPr="004F43C9">
        <w:rPr>
          <w:i w:val="0"/>
          <w:color w:val="000000" w:themeColor="text1"/>
          <w:sz w:val="22"/>
          <w:szCs w:val="22"/>
        </w:rPr>
        <w:t xml:space="preserve">gap esophageal atresia (non-LGEA) </w:t>
      </w:r>
      <w:r>
        <w:rPr>
          <w:i w:val="0"/>
          <w:color w:val="000000" w:themeColor="text1"/>
          <w:sz w:val="22"/>
          <w:szCs w:val="22"/>
        </w:rPr>
        <w:t>and long-gap esophageal atresia (LGEA)</w:t>
      </w:r>
      <w:r w:rsidRPr="004F43C9">
        <w:rPr>
          <w:i w:val="0"/>
          <w:color w:val="000000" w:themeColor="text1"/>
          <w:sz w:val="22"/>
          <w:szCs w:val="22"/>
        </w:rPr>
        <w:t>. Distribution of medication use was significantly different between non-LGEA and LGEA endoscopies by Chi-square analysis (</w:t>
      </w:r>
      <w:r>
        <w:rPr>
          <w:color w:val="000000" w:themeColor="text1"/>
          <w:sz w:val="22"/>
          <w:szCs w:val="22"/>
        </w:rPr>
        <w:t>p</w:t>
      </w:r>
      <w:r w:rsidRPr="004F43C9">
        <w:rPr>
          <w:i w:val="0"/>
          <w:color w:val="000000" w:themeColor="text1"/>
          <w:sz w:val="22"/>
          <w:szCs w:val="22"/>
        </w:rPr>
        <w:t>&lt; 0.001).</w:t>
      </w:r>
    </w:p>
    <w:p w14:paraId="760DC12E" w14:textId="77777777" w:rsidR="002725CD" w:rsidRDefault="002725CD">
      <w:pPr>
        <w:spacing w:after="160" w:line="259" w:lineRule="auto"/>
        <w:rPr>
          <w:b/>
          <w:i/>
          <w:color w:val="000000" w:themeColor="text1"/>
        </w:rPr>
      </w:pPr>
      <w:bookmarkStart w:id="3" w:name="_Ref525555935"/>
    </w:p>
    <w:p w14:paraId="1CC901AD" w14:textId="7FAD5B85" w:rsidR="002725CD" w:rsidRDefault="002725CD">
      <w:pPr>
        <w:spacing w:after="160" w:line="259" w:lineRule="auto"/>
        <w:rPr>
          <w:b/>
          <w:iCs/>
          <w:color w:val="000000" w:themeColor="text1"/>
        </w:rPr>
      </w:pPr>
      <w:r>
        <w:rPr>
          <w:b/>
          <w:i/>
          <w:noProof/>
          <w:color w:val="000000" w:themeColor="text1"/>
        </w:rPr>
        <w:drawing>
          <wp:inline distT="0" distB="0" distL="0" distR="0" wp14:anchorId="0D9D009D" wp14:editId="43ED3F97">
            <wp:extent cx="4201160" cy="315722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1160" cy="3157220"/>
                    </a:xfrm>
                    <a:prstGeom prst="rect">
                      <a:avLst/>
                    </a:prstGeom>
                    <a:noFill/>
                    <a:ln>
                      <a:noFill/>
                    </a:ln>
                  </pic:spPr>
                </pic:pic>
              </a:graphicData>
            </a:graphic>
          </wp:inline>
        </w:drawing>
      </w:r>
      <w:r>
        <w:rPr>
          <w:b/>
          <w:i/>
          <w:color w:val="000000" w:themeColor="text1"/>
        </w:rPr>
        <w:br w:type="page"/>
      </w:r>
    </w:p>
    <w:p w14:paraId="569B566C" w14:textId="5C46A230" w:rsidR="002725CD" w:rsidRDefault="002725CD" w:rsidP="002725CD">
      <w:pPr>
        <w:pStyle w:val="Caption"/>
        <w:rPr>
          <w:i w:val="0"/>
          <w:color w:val="auto"/>
          <w:sz w:val="22"/>
          <w:szCs w:val="22"/>
        </w:rPr>
      </w:pPr>
      <w:r w:rsidRPr="004F43C9">
        <w:rPr>
          <w:b/>
          <w:i w:val="0"/>
          <w:color w:val="000000" w:themeColor="text1"/>
          <w:sz w:val="22"/>
          <w:szCs w:val="22"/>
        </w:rPr>
        <w:lastRenderedPageBreak/>
        <w:t xml:space="preserve">Supplementary Figure </w:t>
      </w:r>
      <w:r w:rsidRPr="004F43C9">
        <w:rPr>
          <w:b/>
          <w:i w:val="0"/>
          <w:color w:val="000000" w:themeColor="text1"/>
          <w:sz w:val="22"/>
          <w:szCs w:val="22"/>
        </w:rPr>
        <w:fldChar w:fldCharType="begin"/>
      </w:r>
      <w:r w:rsidRPr="004F43C9">
        <w:rPr>
          <w:b/>
          <w:i w:val="0"/>
          <w:color w:val="000000" w:themeColor="text1"/>
          <w:sz w:val="22"/>
          <w:szCs w:val="22"/>
        </w:rPr>
        <w:instrText xml:space="preserve"> SEQ Supplementary_Figure \* ARABIC </w:instrText>
      </w:r>
      <w:r w:rsidRPr="004F43C9">
        <w:rPr>
          <w:b/>
          <w:i w:val="0"/>
          <w:color w:val="000000" w:themeColor="text1"/>
          <w:sz w:val="22"/>
          <w:szCs w:val="22"/>
        </w:rPr>
        <w:fldChar w:fldCharType="separate"/>
      </w:r>
      <w:r>
        <w:rPr>
          <w:b/>
          <w:i w:val="0"/>
          <w:noProof/>
          <w:color w:val="000000" w:themeColor="text1"/>
          <w:sz w:val="22"/>
          <w:szCs w:val="22"/>
        </w:rPr>
        <w:t>3</w:t>
      </w:r>
      <w:r w:rsidRPr="004F43C9">
        <w:rPr>
          <w:b/>
          <w:i w:val="0"/>
          <w:color w:val="000000" w:themeColor="text1"/>
          <w:sz w:val="22"/>
          <w:szCs w:val="22"/>
        </w:rPr>
        <w:fldChar w:fldCharType="end"/>
      </w:r>
      <w:bookmarkEnd w:id="3"/>
      <w:r w:rsidRPr="004F43C9">
        <w:rPr>
          <w:sz w:val="22"/>
          <w:szCs w:val="22"/>
        </w:rPr>
        <w:t xml:space="preserve">. </w:t>
      </w:r>
      <w:r>
        <w:rPr>
          <w:i w:val="0"/>
          <w:color w:val="auto"/>
          <w:sz w:val="22"/>
          <w:szCs w:val="22"/>
        </w:rPr>
        <w:t>Responsiveness of histologic</w:t>
      </w:r>
      <w:r w:rsidRPr="004F43C9">
        <w:rPr>
          <w:i w:val="0"/>
          <w:color w:val="auto"/>
          <w:sz w:val="22"/>
          <w:szCs w:val="22"/>
        </w:rPr>
        <w:t xml:space="preserve"> esophagitis </w:t>
      </w:r>
      <w:r>
        <w:rPr>
          <w:i w:val="0"/>
          <w:color w:val="auto"/>
          <w:sz w:val="22"/>
          <w:szCs w:val="22"/>
        </w:rPr>
        <w:t xml:space="preserve">with &gt; 15 eosinophils/HPF </w:t>
      </w:r>
      <w:r w:rsidRPr="004F43C9">
        <w:rPr>
          <w:i w:val="0"/>
          <w:color w:val="auto"/>
          <w:sz w:val="22"/>
          <w:szCs w:val="22"/>
        </w:rPr>
        <w:t xml:space="preserve">to </w:t>
      </w:r>
      <w:r>
        <w:rPr>
          <w:i w:val="0"/>
          <w:color w:val="auto"/>
          <w:sz w:val="22"/>
          <w:szCs w:val="22"/>
        </w:rPr>
        <w:t>acid suppressive</w:t>
      </w:r>
      <w:r w:rsidRPr="004F43C9">
        <w:rPr>
          <w:i w:val="0"/>
          <w:color w:val="auto"/>
          <w:sz w:val="22"/>
          <w:szCs w:val="22"/>
        </w:rPr>
        <w:t xml:space="preserve"> therapies. </w:t>
      </w:r>
      <w:r>
        <w:rPr>
          <w:i w:val="0"/>
          <w:color w:val="auto"/>
          <w:sz w:val="22"/>
          <w:szCs w:val="22"/>
        </w:rPr>
        <w:t>Responsiveness is defined as improvement to ≤ 15 eosinophils/HPF on subsequent endoscopy.</w:t>
      </w:r>
    </w:p>
    <w:p w14:paraId="1281D148" w14:textId="3362D38F" w:rsidR="002725CD" w:rsidRDefault="002725CD" w:rsidP="002725CD">
      <w:r>
        <w:rPr>
          <w:b/>
          <w:i/>
          <w:noProof/>
          <w:color w:val="000000" w:themeColor="text1"/>
        </w:rPr>
        <w:drawing>
          <wp:inline distT="0" distB="0" distL="0" distR="0" wp14:anchorId="715AE771" wp14:editId="476DD9BA">
            <wp:extent cx="3157220" cy="28727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220" cy="2872740"/>
                    </a:xfrm>
                    <a:prstGeom prst="rect">
                      <a:avLst/>
                    </a:prstGeom>
                    <a:noFill/>
                    <a:ln>
                      <a:noFill/>
                    </a:ln>
                  </pic:spPr>
                </pic:pic>
              </a:graphicData>
            </a:graphic>
          </wp:inline>
        </w:drawing>
      </w:r>
    </w:p>
    <w:p w14:paraId="3E2D923F" w14:textId="77777777" w:rsidR="002725CD" w:rsidRPr="002725CD" w:rsidRDefault="002725CD" w:rsidP="002725CD"/>
    <w:p w14:paraId="204F5BD5" w14:textId="77777777" w:rsidR="002725CD" w:rsidRPr="004F43C9" w:rsidRDefault="002725CD" w:rsidP="002725CD">
      <w:pPr>
        <w:outlineLvl w:val="0"/>
        <w:rPr>
          <w:rFonts w:cs="Arial"/>
          <w:b/>
        </w:rPr>
      </w:pPr>
      <w:r w:rsidRPr="004F43C9">
        <w:rPr>
          <w:rFonts w:cs="Arial"/>
          <w:b/>
        </w:rPr>
        <w:br w:type="page"/>
      </w:r>
    </w:p>
    <w:p w14:paraId="73E9F581" w14:textId="39F3AAEB" w:rsidR="002725CD" w:rsidRDefault="002725CD" w:rsidP="002725CD">
      <w:pPr>
        <w:pStyle w:val="Caption"/>
        <w:rPr>
          <w:rFonts w:cs="Arial"/>
          <w:i w:val="0"/>
          <w:color w:val="000000" w:themeColor="text1"/>
          <w:sz w:val="22"/>
        </w:rPr>
      </w:pPr>
      <w:r w:rsidRPr="002F05AF">
        <w:rPr>
          <w:b/>
          <w:i w:val="0"/>
          <w:color w:val="000000" w:themeColor="text1"/>
          <w:sz w:val="22"/>
        </w:rPr>
        <w:lastRenderedPageBreak/>
        <w:t xml:space="preserve">Supplementary Table </w:t>
      </w:r>
      <w:r w:rsidRPr="002F05AF">
        <w:rPr>
          <w:b/>
          <w:i w:val="0"/>
          <w:color w:val="000000" w:themeColor="text1"/>
          <w:sz w:val="22"/>
        </w:rPr>
        <w:fldChar w:fldCharType="begin"/>
      </w:r>
      <w:r w:rsidRPr="002F05AF">
        <w:rPr>
          <w:b/>
          <w:i w:val="0"/>
          <w:color w:val="000000" w:themeColor="text1"/>
          <w:sz w:val="22"/>
        </w:rPr>
        <w:instrText xml:space="preserve"> SEQ Supplementary_Table \* ARABIC </w:instrText>
      </w:r>
      <w:r w:rsidRPr="002F05AF">
        <w:rPr>
          <w:b/>
          <w:i w:val="0"/>
          <w:color w:val="000000" w:themeColor="text1"/>
          <w:sz w:val="22"/>
        </w:rPr>
        <w:fldChar w:fldCharType="separate"/>
      </w:r>
      <w:r>
        <w:rPr>
          <w:b/>
          <w:i w:val="0"/>
          <w:noProof/>
          <w:color w:val="000000" w:themeColor="text1"/>
          <w:sz w:val="22"/>
        </w:rPr>
        <w:t>1</w:t>
      </w:r>
      <w:r w:rsidRPr="002F05AF">
        <w:rPr>
          <w:b/>
          <w:i w:val="0"/>
          <w:color w:val="000000" w:themeColor="text1"/>
          <w:sz w:val="22"/>
        </w:rPr>
        <w:fldChar w:fldCharType="end"/>
      </w:r>
      <w:r w:rsidRPr="002F05AF">
        <w:rPr>
          <w:b/>
          <w:i w:val="0"/>
          <w:color w:val="000000" w:themeColor="text1"/>
          <w:sz w:val="22"/>
        </w:rPr>
        <w:t>.</w:t>
      </w:r>
      <w:r w:rsidRPr="002F05AF">
        <w:rPr>
          <w:i w:val="0"/>
          <w:color w:val="000000" w:themeColor="text1"/>
          <w:sz w:val="22"/>
        </w:rPr>
        <w:t xml:space="preserve"> </w:t>
      </w:r>
      <w:r w:rsidRPr="002F05AF">
        <w:rPr>
          <w:b/>
          <w:i w:val="0"/>
          <w:color w:val="000000" w:themeColor="text1"/>
          <w:sz w:val="22"/>
        </w:rPr>
        <w:t>Supp. Table</w:t>
      </w:r>
      <w:r>
        <w:rPr>
          <w:i w:val="0"/>
          <w:color w:val="000000" w:themeColor="text1"/>
          <w:sz w:val="22"/>
        </w:rPr>
        <w:t xml:space="preserve"> </w:t>
      </w:r>
      <w:r w:rsidRPr="002F05AF">
        <w:rPr>
          <w:rFonts w:cs="Arial"/>
          <w:b/>
          <w:i w:val="0"/>
          <w:color w:val="000000" w:themeColor="text1"/>
          <w:sz w:val="22"/>
        </w:rPr>
        <w:t>1a:</w:t>
      </w:r>
      <w:r w:rsidRPr="002F05AF">
        <w:rPr>
          <w:rFonts w:cs="Arial"/>
          <w:i w:val="0"/>
          <w:color w:val="000000" w:themeColor="text1"/>
          <w:sz w:val="22"/>
        </w:rPr>
        <w:t xml:space="preserve"> Number of patients (N) on no medications, PPI only, H2RA only and both PPI and H2RA. Dose equivalents of PPI and H2RA are expressed in terms of omeprazole equivalents and ranitidine equivalents, respectively. IQR = interquartile range. </w:t>
      </w:r>
      <w:r w:rsidRPr="002F05AF">
        <w:rPr>
          <w:rFonts w:cs="Arial"/>
          <w:b/>
          <w:i w:val="0"/>
          <w:color w:val="000000" w:themeColor="text1"/>
          <w:sz w:val="22"/>
        </w:rPr>
        <w:t>Supp. Table</w:t>
      </w:r>
      <w:r>
        <w:rPr>
          <w:rFonts w:cs="Arial"/>
          <w:i w:val="0"/>
          <w:color w:val="000000" w:themeColor="text1"/>
          <w:sz w:val="22"/>
        </w:rPr>
        <w:t xml:space="preserve"> </w:t>
      </w:r>
      <w:r w:rsidRPr="002F05AF">
        <w:rPr>
          <w:rFonts w:cs="Arial"/>
          <w:b/>
          <w:i w:val="0"/>
          <w:color w:val="000000" w:themeColor="text1"/>
          <w:sz w:val="22"/>
        </w:rPr>
        <w:t>1b:</w:t>
      </w:r>
      <w:r w:rsidRPr="002F05AF">
        <w:rPr>
          <w:rFonts w:cs="Arial"/>
          <w:i w:val="0"/>
          <w:color w:val="000000" w:themeColor="text1"/>
          <w:sz w:val="22"/>
        </w:rPr>
        <w:t xml:space="preserve"> Medication use at time of endoscopy expressed in terms of omeprazole equivalents or ranitidine equivalents as appropriate. </w:t>
      </w:r>
      <w:r>
        <w:rPr>
          <w:rFonts w:cs="Arial"/>
          <w:i w:val="0"/>
          <w:color w:val="000000" w:themeColor="text1"/>
          <w:sz w:val="22"/>
        </w:rPr>
        <w:t xml:space="preserve">The </w:t>
      </w:r>
      <w:r w:rsidRPr="002F05AF">
        <w:rPr>
          <w:rFonts w:cs="Arial"/>
          <w:i w:val="0"/>
          <w:color w:val="000000" w:themeColor="text1"/>
          <w:sz w:val="22"/>
        </w:rPr>
        <w:t>Wilcoxon rank sum test</w:t>
      </w:r>
      <w:r w:rsidRPr="0012592A">
        <w:rPr>
          <w:rFonts w:cs="Arial"/>
          <w:color w:val="000000" w:themeColor="text1"/>
          <w:sz w:val="22"/>
          <w:szCs w:val="22"/>
        </w:rPr>
        <w:t xml:space="preserve"> </w:t>
      </w:r>
      <w:r>
        <w:rPr>
          <w:rFonts w:cs="Arial"/>
          <w:i w:val="0"/>
          <w:color w:val="000000" w:themeColor="text1"/>
          <w:sz w:val="22"/>
          <w:szCs w:val="22"/>
        </w:rPr>
        <w:t xml:space="preserve">was used to compare dosing across gap-length cohorts as indicated. </w:t>
      </w:r>
      <w:r w:rsidRPr="0012592A">
        <w:rPr>
          <w:rFonts w:cs="Arial"/>
          <w:color w:val="000000" w:themeColor="text1"/>
          <w:sz w:val="22"/>
          <w:szCs w:val="22"/>
        </w:rPr>
        <w:t xml:space="preserve">P </w:t>
      </w:r>
      <w:r w:rsidRPr="00197702">
        <w:rPr>
          <w:rFonts w:cs="Arial"/>
          <w:i w:val="0"/>
          <w:color w:val="000000" w:themeColor="text1"/>
          <w:sz w:val="22"/>
          <w:szCs w:val="22"/>
        </w:rPr>
        <w:t xml:space="preserve">values </w:t>
      </w:r>
      <w:r w:rsidRPr="00197702">
        <w:rPr>
          <w:rFonts w:cs="Arial"/>
          <w:i w:val="0"/>
          <w:color w:val="000000" w:themeColor="text1"/>
          <w:sz w:val="22"/>
          <w:szCs w:val="22"/>
        </w:rPr>
        <w:sym w:font="Symbol" w:char="F0A3"/>
      </w:r>
      <w:r w:rsidRPr="00197702">
        <w:rPr>
          <w:rFonts w:cs="Arial"/>
          <w:i w:val="0"/>
          <w:color w:val="000000" w:themeColor="text1"/>
          <w:sz w:val="22"/>
          <w:szCs w:val="22"/>
        </w:rPr>
        <w:t xml:space="preserve"> 0.05 are considered statistically significant and are denoted by bold face type and an asterisk (*).</w:t>
      </w:r>
      <w:r>
        <w:rPr>
          <w:rFonts w:cs="Arial"/>
          <w:i w:val="0"/>
          <w:color w:val="000000" w:themeColor="text1"/>
          <w:sz w:val="22"/>
          <w:szCs w:val="22"/>
        </w:rPr>
        <w:t xml:space="preserve"> </w:t>
      </w:r>
      <w:r w:rsidRPr="002F05AF">
        <w:rPr>
          <w:rFonts w:cs="Arial"/>
          <w:i w:val="0"/>
          <w:color w:val="000000" w:themeColor="text1"/>
          <w:sz w:val="22"/>
        </w:rPr>
        <w:t>IQR = interquartile range.</w:t>
      </w:r>
    </w:p>
    <w:p w14:paraId="53F0CC64" w14:textId="57DDFC0E" w:rsidR="002725CD" w:rsidRDefault="002725CD" w:rsidP="002725CD"/>
    <w:tbl>
      <w:tblPr>
        <w:tblW w:w="5334" w:type="pct"/>
        <w:tblLook w:val="04A0" w:firstRow="1" w:lastRow="0" w:firstColumn="1" w:lastColumn="0" w:noHBand="0" w:noVBand="1"/>
      </w:tblPr>
      <w:tblGrid>
        <w:gridCol w:w="1905"/>
        <w:gridCol w:w="491"/>
        <w:gridCol w:w="1414"/>
        <w:gridCol w:w="1457"/>
        <w:gridCol w:w="776"/>
        <w:gridCol w:w="658"/>
        <w:gridCol w:w="756"/>
        <w:gridCol w:w="1414"/>
        <w:gridCol w:w="1082"/>
      </w:tblGrid>
      <w:tr w:rsidR="002725CD" w:rsidRPr="00A338FA" w14:paraId="4F46FB59" w14:textId="77777777" w:rsidTr="00FB4565">
        <w:trPr>
          <w:trHeight w:val="528"/>
        </w:trPr>
        <w:tc>
          <w:tcPr>
            <w:tcW w:w="5000" w:type="pct"/>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14:paraId="4C21FF2B" w14:textId="77777777" w:rsidR="002725CD" w:rsidRPr="00C72BE4" w:rsidRDefault="002725CD" w:rsidP="00FB4565">
            <w:pPr>
              <w:pStyle w:val="Caption"/>
              <w:keepNext/>
              <w:rPr>
                <w:b/>
                <w:i w:val="0"/>
                <w:sz w:val="22"/>
                <w:szCs w:val="22"/>
              </w:rPr>
            </w:pPr>
            <w:bookmarkStart w:id="4" w:name="_Ref525554530"/>
            <w:r w:rsidRPr="00C72BE4">
              <w:rPr>
                <w:b/>
                <w:i w:val="0"/>
                <w:color w:val="000000" w:themeColor="text1"/>
                <w:sz w:val="22"/>
                <w:szCs w:val="22"/>
              </w:rPr>
              <w:t xml:space="preserve">Supplementary Table </w:t>
            </w:r>
            <w:r w:rsidRPr="00C72BE4">
              <w:rPr>
                <w:b/>
                <w:i w:val="0"/>
                <w:color w:val="000000" w:themeColor="text1"/>
                <w:sz w:val="22"/>
                <w:szCs w:val="22"/>
              </w:rPr>
              <w:fldChar w:fldCharType="begin"/>
            </w:r>
            <w:r w:rsidRPr="00C72BE4">
              <w:rPr>
                <w:b/>
                <w:i w:val="0"/>
                <w:color w:val="000000" w:themeColor="text1"/>
                <w:sz w:val="22"/>
                <w:szCs w:val="22"/>
              </w:rPr>
              <w:instrText xml:space="preserve"> SEQ Supplementary_Table \* ARABIC </w:instrText>
            </w:r>
            <w:r w:rsidRPr="00C72BE4">
              <w:rPr>
                <w:b/>
                <w:i w:val="0"/>
                <w:color w:val="000000" w:themeColor="text1"/>
                <w:sz w:val="22"/>
                <w:szCs w:val="22"/>
              </w:rPr>
              <w:fldChar w:fldCharType="separate"/>
            </w:r>
            <w:r>
              <w:rPr>
                <w:b/>
                <w:i w:val="0"/>
                <w:noProof/>
                <w:color w:val="000000" w:themeColor="text1"/>
                <w:sz w:val="22"/>
                <w:szCs w:val="22"/>
              </w:rPr>
              <w:t>1</w:t>
            </w:r>
            <w:r w:rsidRPr="00C72BE4">
              <w:rPr>
                <w:b/>
                <w:i w:val="0"/>
                <w:color w:val="000000" w:themeColor="text1"/>
                <w:sz w:val="22"/>
                <w:szCs w:val="22"/>
              </w:rPr>
              <w:fldChar w:fldCharType="end"/>
            </w:r>
            <w:bookmarkEnd w:id="4"/>
            <w:r>
              <w:rPr>
                <w:b/>
                <w:i w:val="0"/>
                <w:color w:val="000000" w:themeColor="text1"/>
                <w:sz w:val="22"/>
                <w:szCs w:val="22"/>
              </w:rPr>
              <w:t>a</w:t>
            </w:r>
            <w:r w:rsidRPr="00C72BE4">
              <w:rPr>
                <w:b/>
                <w:i w:val="0"/>
                <w:color w:val="000000" w:themeColor="text1"/>
                <w:sz w:val="22"/>
                <w:szCs w:val="22"/>
              </w:rPr>
              <w:t xml:space="preserve">: </w:t>
            </w:r>
            <w:r w:rsidRPr="00C72BE4">
              <w:rPr>
                <w:rFonts w:eastAsia="Times New Roman" w:cs="Times New Roman"/>
                <w:b/>
                <w:bCs/>
                <w:i w:val="0"/>
                <w:color w:val="000000" w:themeColor="text1"/>
                <w:sz w:val="22"/>
                <w:szCs w:val="22"/>
                <w:lang w:eastAsia="ja-JP"/>
              </w:rPr>
              <w:t>Medication Use at All Endoscopies During Study Period (N = 574)</w:t>
            </w:r>
          </w:p>
        </w:tc>
      </w:tr>
      <w:tr w:rsidR="002725CD" w:rsidRPr="00A338FA" w14:paraId="7654BE0B" w14:textId="77777777" w:rsidTr="00FB4565">
        <w:trPr>
          <w:trHeight w:val="920"/>
        </w:trPr>
        <w:tc>
          <w:tcPr>
            <w:tcW w:w="932" w:type="pct"/>
            <w:tcBorders>
              <w:top w:val="nil"/>
              <w:left w:val="single" w:sz="12" w:space="0" w:color="auto"/>
              <w:bottom w:val="nil"/>
              <w:right w:val="nil"/>
            </w:tcBorders>
            <w:shd w:val="clear" w:color="auto" w:fill="auto"/>
            <w:vAlign w:val="bottom"/>
            <w:hideMark/>
          </w:tcPr>
          <w:p w14:paraId="7125604B"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 </w:t>
            </w:r>
          </w:p>
        </w:tc>
        <w:tc>
          <w:tcPr>
            <w:tcW w:w="932" w:type="pct"/>
            <w:gridSpan w:val="2"/>
            <w:tcBorders>
              <w:top w:val="nil"/>
              <w:left w:val="single" w:sz="12" w:space="0" w:color="auto"/>
              <w:bottom w:val="single" w:sz="4" w:space="0" w:color="auto"/>
              <w:right w:val="single" w:sz="12" w:space="0" w:color="auto"/>
            </w:tcBorders>
            <w:shd w:val="clear" w:color="auto" w:fill="auto"/>
            <w:noWrap/>
            <w:vAlign w:val="center"/>
            <w:hideMark/>
          </w:tcPr>
          <w:p w14:paraId="41EC0AB7" w14:textId="77777777" w:rsidR="002725CD" w:rsidRPr="000F5408" w:rsidRDefault="002725CD" w:rsidP="00FB4565">
            <w:pPr>
              <w:spacing w:after="0" w:line="240" w:lineRule="auto"/>
              <w:jc w:val="center"/>
              <w:rPr>
                <w:rFonts w:eastAsia="Times New Roman" w:cs="Times New Roman"/>
                <w:color w:val="000000"/>
                <w:lang w:eastAsia="ja-JP"/>
              </w:rPr>
            </w:pPr>
            <w:r w:rsidRPr="00A338FA">
              <w:rPr>
                <w:rFonts w:eastAsia="Times New Roman" w:cs="Times New Roman"/>
                <w:color w:val="000000"/>
                <w:lang w:eastAsia="ja-JP"/>
              </w:rPr>
              <w:t>N</w:t>
            </w:r>
          </w:p>
        </w:tc>
        <w:tc>
          <w:tcPr>
            <w:tcW w:w="1532" w:type="pct"/>
            <w:gridSpan w:val="3"/>
            <w:tcBorders>
              <w:top w:val="nil"/>
              <w:left w:val="nil"/>
              <w:bottom w:val="single" w:sz="4" w:space="0" w:color="auto"/>
              <w:right w:val="single" w:sz="12" w:space="0" w:color="auto"/>
            </w:tcBorders>
            <w:shd w:val="clear" w:color="auto" w:fill="auto"/>
            <w:vAlign w:val="center"/>
            <w:hideMark/>
          </w:tcPr>
          <w:p w14:paraId="1763F6DC"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Median total daily dose, omeprazole equivalents, mg/kg (</w:t>
            </w:r>
            <w:r>
              <w:rPr>
                <w:rFonts w:eastAsia="Times New Roman" w:cs="Times New Roman"/>
                <w:color w:val="000000"/>
                <w:lang w:eastAsia="ja-JP"/>
              </w:rPr>
              <w:t>IQR</w:t>
            </w:r>
            <w:r w:rsidRPr="000F5408">
              <w:rPr>
                <w:rFonts w:eastAsia="Times New Roman" w:cs="Times New Roman"/>
                <w:color w:val="000000"/>
                <w:lang w:eastAsia="ja-JP"/>
              </w:rPr>
              <w:t>)</w:t>
            </w:r>
          </w:p>
        </w:tc>
        <w:tc>
          <w:tcPr>
            <w:tcW w:w="1603" w:type="pct"/>
            <w:gridSpan w:val="3"/>
            <w:tcBorders>
              <w:top w:val="nil"/>
              <w:left w:val="nil"/>
              <w:bottom w:val="single" w:sz="4" w:space="0" w:color="auto"/>
              <w:right w:val="single" w:sz="12" w:space="0" w:color="auto"/>
            </w:tcBorders>
            <w:shd w:val="clear" w:color="auto" w:fill="auto"/>
            <w:vAlign w:val="center"/>
            <w:hideMark/>
          </w:tcPr>
          <w:p w14:paraId="71020A5E"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Median total daily dose, ranitidine equivalents, mg/kg (</w:t>
            </w:r>
            <w:r>
              <w:rPr>
                <w:rFonts w:eastAsia="Times New Roman" w:cs="Times New Roman"/>
                <w:color w:val="000000"/>
                <w:lang w:eastAsia="ja-JP"/>
              </w:rPr>
              <w:t>IQR</w:t>
            </w:r>
            <w:r w:rsidRPr="000F5408">
              <w:rPr>
                <w:rFonts w:eastAsia="Times New Roman" w:cs="Times New Roman"/>
                <w:color w:val="000000"/>
                <w:lang w:eastAsia="ja-JP"/>
              </w:rPr>
              <w:t>)</w:t>
            </w:r>
          </w:p>
        </w:tc>
      </w:tr>
      <w:tr w:rsidR="002725CD" w:rsidRPr="00A338FA" w14:paraId="50A1BCC9" w14:textId="77777777" w:rsidTr="00FB4565">
        <w:trPr>
          <w:trHeight w:val="300"/>
        </w:trPr>
        <w:tc>
          <w:tcPr>
            <w:tcW w:w="932" w:type="pct"/>
            <w:tcBorders>
              <w:top w:val="nil"/>
              <w:left w:val="single" w:sz="12" w:space="0" w:color="auto"/>
              <w:bottom w:val="nil"/>
              <w:right w:val="nil"/>
            </w:tcBorders>
            <w:shd w:val="clear" w:color="auto" w:fill="auto"/>
            <w:noWrap/>
            <w:vAlign w:val="bottom"/>
            <w:hideMark/>
          </w:tcPr>
          <w:p w14:paraId="2C0B9C9D"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No</w:t>
            </w:r>
            <w:r>
              <w:rPr>
                <w:rFonts w:eastAsia="Times New Roman" w:cs="Times New Roman"/>
                <w:color w:val="000000"/>
                <w:lang w:eastAsia="ja-JP"/>
              </w:rPr>
              <w:t>ne</w:t>
            </w:r>
          </w:p>
        </w:tc>
        <w:tc>
          <w:tcPr>
            <w:tcW w:w="932" w:type="pct"/>
            <w:gridSpan w:val="2"/>
            <w:tcBorders>
              <w:top w:val="nil"/>
              <w:left w:val="single" w:sz="12" w:space="0" w:color="auto"/>
              <w:bottom w:val="nil"/>
              <w:right w:val="single" w:sz="12" w:space="0" w:color="auto"/>
            </w:tcBorders>
            <w:shd w:val="clear" w:color="auto" w:fill="auto"/>
            <w:noWrap/>
            <w:vAlign w:val="bottom"/>
            <w:hideMark/>
          </w:tcPr>
          <w:p w14:paraId="54840D2C"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75</w:t>
            </w:r>
          </w:p>
        </w:tc>
        <w:tc>
          <w:tcPr>
            <w:tcW w:w="1532" w:type="pct"/>
            <w:gridSpan w:val="3"/>
            <w:tcBorders>
              <w:top w:val="nil"/>
              <w:left w:val="nil"/>
              <w:bottom w:val="nil"/>
              <w:right w:val="single" w:sz="12" w:space="0" w:color="auto"/>
            </w:tcBorders>
            <w:shd w:val="clear" w:color="auto" w:fill="auto"/>
            <w:noWrap/>
            <w:vAlign w:val="bottom"/>
            <w:hideMark/>
          </w:tcPr>
          <w:p w14:paraId="68FA3E87"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w:t>
            </w:r>
          </w:p>
        </w:tc>
        <w:tc>
          <w:tcPr>
            <w:tcW w:w="1603" w:type="pct"/>
            <w:gridSpan w:val="3"/>
            <w:tcBorders>
              <w:top w:val="nil"/>
              <w:left w:val="nil"/>
              <w:bottom w:val="nil"/>
              <w:right w:val="single" w:sz="12" w:space="0" w:color="auto"/>
            </w:tcBorders>
            <w:shd w:val="clear" w:color="auto" w:fill="auto"/>
            <w:noWrap/>
            <w:vAlign w:val="bottom"/>
            <w:hideMark/>
          </w:tcPr>
          <w:p w14:paraId="633DB04F"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w:t>
            </w:r>
          </w:p>
        </w:tc>
      </w:tr>
      <w:tr w:rsidR="002725CD" w:rsidRPr="00A338FA" w14:paraId="7B47747D" w14:textId="77777777" w:rsidTr="00FB4565">
        <w:trPr>
          <w:trHeight w:val="300"/>
        </w:trPr>
        <w:tc>
          <w:tcPr>
            <w:tcW w:w="932" w:type="pct"/>
            <w:tcBorders>
              <w:top w:val="nil"/>
              <w:left w:val="single" w:sz="12" w:space="0" w:color="auto"/>
              <w:bottom w:val="nil"/>
              <w:right w:val="nil"/>
            </w:tcBorders>
            <w:shd w:val="clear" w:color="auto" w:fill="auto"/>
            <w:noWrap/>
            <w:vAlign w:val="bottom"/>
            <w:hideMark/>
          </w:tcPr>
          <w:p w14:paraId="67D44F0C"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PPI Only</w:t>
            </w:r>
          </w:p>
        </w:tc>
        <w:tc>
          <w:tcPr>
            <w:tcW w:w="932" w:type="pct"/>
            <w:gridSpan w:val="2"/>
            <w:tcBorders>
              <w:top w:val="nil"/>
              <w:left w:val="single" w:sz="12" w:space="0" w:color="auto"/>
              <w:bottom w:val="nil"/>
              <w:right w:val="single" w:sz="12" w:space="0" w:color="auto"/>
            </w:tcBorders>
            <w:shd w:val="clear" w:color="auto" w:fill="auto"/>
            <w:noWrap/>
            <w:vAlign w:val="bottom"/>
            <w:hideMark/>
          </w:tcPr>
          <w:p w14:paraId="56E96C01"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285</w:t>
            </w:r>
          </w:p>
        </w:tc>
        <w:tc>
          <w:tcPr>
            <w:tcW w:w="1532" w:type="pct"/>
            <w:gridSpan w:val="3"/>
            <w:tcBorders>
              <w:top w:val="nil"/>
              <w:left w:val="nil"/>
              <w:bottom w:val="nil"/>
              <w:right w:val="single" w:sz="12" w:space="0" w:color="auto"/>
            </w:tcBorders>
            <w:shd w:val="clear" w:color="auto" w:fill="auto"/>
            <w:noWrap/>
            <w:vAlign w:val="bottom"/>
            <w:hideMark/>
          </w:tcPr>
          <w:p w14:paraId="53E14ABD"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1.68 (1.18–1.99)</w:t>
            </w:r>
          </w:p>
        </w:tc>
        <w:tc>
          <w:tcPr>
            <w:tcW w:w="1603" w:type="pct"/>
            <w:gridSpan w:val="3"/>
            <w:tcBorders>
              <w:top w:val="nil"/>
              <w:left w:val="nil"/>
              <w:bottom w:val="nil"/>
              <w:right w:val="single" w:sz="12" w:space="0" w:color="auto"/>
            </w:tcBorders>
            <w:shd w:val="clear" w:color="auto" w:fill="auto"/>
            <w:noWrap/>
            <w:vAlign w:val="bottom"/>
            <w:hideMark/>
          </w:tcPr>
          <w:p w14:paraId="04FD0F7A"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w:t>
            </w:r>
          </w:p>
        </w:tc>
      </w:tr>
      <w:tr w:rsidR="002725CD" w:rsidRPr="00A338FA" w14:paraId="01BE3F0E" w14:textId="77777777" w:rsidTr="00FB4565">
        <w:trPr>
          <w:trHeight w:val="300"/>
        </w:trPr>
        <w:tc>
          <w:tcPr>
            <w:tcW w:w="932" w:type="pct"/>
            <w:tcBorders>
              <w:top w:val="nil"/>
              <w:left w:val="single" w:sz="12" w:space="0" w:color="auto"/>
              <w:right w:val="nil"/>
            </w:tcBorders>
            <w:shd w:val="clear" w:color="auto" w:fill="auto"/>
            <w:noWrap/>
            <w:vAlign w:val="bottom"/>
            <w:hideMark/>
          </w:tcPr>
          <w:p w14:paraId="7F4CCFF3"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H2RA Only</w:t>
            </w:r>
          </w:p>
        </w:tc>
        <w:tc>
          <w:tcPr>
            <w:tcW w:w="932" w:type="pct"/>
            <w:gridSpan w:val="2"/>
            <w:tcBorders>
              <w:top w:val="nil"/>
              <w:left w:val="single" w:sz="12" w:space="0" w:color="auto"/>
              <w:right w:val="single" w:sz="12" w:space="0" w:color="auto"/>
            </w:tcBorders>
            <w:shd w:val="clear" w:color="auto" w:fill="auto"/>
            <w:noWrap/>
            <w:vAlign w:val="bottom"/>
            <w:hideMark/>
          </w:tcPr>
          <w:p w14:paraId="40D296E3"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49</w:t>
            </w:r>
          </w:p>
        </w:tc>
        <w:tc>
          <w:tcPr>
            <w:tcW w:w="1532" w:type="pct"/>
            <w:gridSpan w:val="3"/>
            <w:tcBorders>
              <w:top w:val="nil"/>
              <w:left w:val="nil"/>
              <w:right w:val="single" w:sz="12" w:space="0" w:color="auto"/>
            </w:tcBorders>
            <w:shd w:val="clear" w:color="auto" w:fill="auto"/>
            <w:noWrap/>
            <w:vAlign w:val="bottom"/>
            <w:hideMark/>
          </w:tcPr>
          <w:p w14:paraId="69F354CF"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w:t>
            </w:r>
          </w:p>
        </w:tc>
        <w:tc>
          <w:tcPr>
            <w:tcW w:w="1603" w:type="pct"/>
            <w:gridSpan w:val="3"/>
            <w:tcBorders>
              <w:top w:val="nil"/>
              <w:left w:val="nil"/>
              <w:right w:val="single" w:sz="12" w:space="0" w:color="auto"/>
            </w:tcBorders>
            <w:shd w:val="clear" w:color="auto" w:fill="auto"/>
            <w:noWrap/>
            <w:vAlign w:val="bottom"/>
            <w:hideMark/>
          </w:tcPr>
          <w:p w14:paraId="37097AF1"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3.77 (3.03–6.58)</w:t>
            </w:r>
          </w:p>
        </w:tc>
      </w:tr>
      <w:tr w:rsidR="002725CD" w:rsidRPr="00A338FA" w14:paraId="35B721E0" w14:textId="77777777" w:rsidTr="00FB4565">
        <w:trPr>
          <w:trHeight w:val="320"/>
        </w:trPr>
        <w:tc>
          <w:tcPr>
            <w:tcW w:w="932" w:type="pct"/>
            <w:tcBorders>
              <w:top w:val="nil"/>
              <w:left w:val="single" w:sz="12" w:space="0" w:color="auto"/>
              <w:bottom w:val="single" w:sz="12" w:space="0" w:color="auto"/>
              <w:right w:val="nil"/>
            </w:tcBorders>
            <w:shd w:val="clear" w:color="auto" w:fill="auto"/>
            <w:noWrap/>
            <w:vAlign w:val="bottom"/>
            <w:hideMark/>
          </w:tcPr>
          <w:p w14:paraId="7A85A4D8" w14:textId="77777777" w:rsidR="002725CD" w:rsidRPr="000F5408" w:rsidRDefault="002725CD" w:rsidP="00FB4565">
            <w:pPr>
              <w:spacing w:after="0" w:line="240" w:lineRule="auto"/>
              <w:rPr>
                <w:rFonts w:eastAsia="Times New Roman" w:cs="Times New Roman"/>
                <w:color w:val="000000"/>
                <w:lang w:eastAsia="ja-JP"/>
              </w:rPr>
            </w:pPr>
            <w:r w:rsidRPr="000F5408">
              <w:rPr>
                <w:rFonts w:eastAsia="Times New Roman" w:cs="Times New Roman"/>
                <w:color w:val="000000"/>
                <w:lang w:eastAsia="ja-JP"/>
              </w:rPr>
              <w:t>Both PPI and H2RA</w:t>
            </w:r>
          </w:p>
        </w:tc>
        <w:tc>
          <w:tcPr>
            <w:tcW w:w="932" w:type="pct"/>
            <w:gridSpan w:val="2"/>
            <w:tcBorders>
              <w:top w:val="nil"/>
              <w:left w:val="single" w:sz="12" w:space="0" w:color="auto"/>
              <w:bottom w:val="single" w:sz="12" w:space="0" w:color="auto"/>
              <w:right w:val="single" w:sz="12" w:space="0" w:color="auto"/>
            </w:tcBorders>
            <w:shd w:val="clear" w:color="auto" w:fill="auto"/>
            <w:noWrap/>
            <w:vAlign w:val="bottom"/>
            <w:hideMark/>
          </w:tcPr>
          <w:p w14:paraId="7411EB7A"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165</w:t>
            </w:r>
          </w:p>
        </w:tc>
        <w:tc>
          <w:tcPr>
            <w:tcW w:w="1532" w:type="pct"/>
            <w:gridSpan w:val="3"/>
            <w:tcBorders>
              <w:top w:val="nil"/>
              <w:left w:val="nil"/>
              <w:bottom w:val="single" w:sz="12" w:space="0" w:color="auto"/>
              <w:right w:val="single" w:sz="12" w:space="0" w:color="auto"/>
            </w:tcBorders>
            <w:shd w:val="clear" w:color="auto" w:fill="auto"/>
            <w:noWrap/>
            <w:vAlign w:val="bottom"/>
            <w:hideMark/>
          </w:tcPr>
          <w:p w14:paraId="6E83A592"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1.8 (1.47–2.06)</w:t>
            </w:r>
          </w:p>
        </w:tc>
        <w:tc>
          <w:tcPr>
            <w:tcW w:w="1603" w:type="pct"/>
            <w:gridSpan w:val="3"/>
            <w:tcBorders>
              <w:top w:val="nil"/>
              <w:left w:val="nil"/>
              <w:bottom w:val="single" w:sz="12" w:space="0" w:color="auto"/>
              <w:right w:val="single" w:sz="12" w:space="0" w:color="auto"/>
            </w:tcBorders>
            <w:shd w:val="clear" w:color="auto" w:fill="auto"/>
            <w:noWrap/>
            <w:vAlign w:val="bottom"/>
            <w:hideMark/>
          </w:tcPr>
          <w:p w14:paraId="4B73D4CA" w14:textId="77777777" w:rsidR="002725CD" w:rsidRPr="000F5408" w:rsidRDefault="002725CD" w:rsidP="00FB4565">
            <w:pPr>
              <w:spacing w:after="0" w:line="240" w:lineRule="auto"/>
              <w:jc w:val="right"/>
              <w:rPr>
                <w:rFonts w:eastAsia="Times New Roman" w:cs="Times New Roman"/>
                <w:color w:val="000000"/>
                <w:lang w:eastAsia="ja-JP"/>
              </w:rPr>
            </w:pPr>
            <w:r>
              <w:rPr>
                <w:rFonts w:ascii="Calibri" w:eastAsia="Times New Roman" w:hAnsi="Calibri"/>
                <w:color w:val="000000"/>
              </w:rPr>
              <w:t>4.9 (2.96–5.36)</w:t>
            </w:r>
          </w:p>
        </w:tc>
      </w:tr>
      <w:tr w:rsidR="002725CD" w:rsidRPr="00A21DCF" w14:paraId="5B33D798" w14:textId="77777777" w:rsidTr="00FB4565">
        <w:trPr>
          <w:trHeight w:val="564"/>
        </w:trPr>
        <w:tc>
          <w:tcPr>
            <w:tcW w:w="5000" w:type="pct"/>
            <w:gridSpan w:val="9"/>
            <w:tcBorders>
              <w:top w:val="single" w:sz="12" w:space="0" w:color="auto"/>
              <w:left w:val="single" w:sz="12" w:space="0" w:color="auto"/>
              <w:bottom w:val="nil"/>
              <w:right w:val="single" w:sz="12" w:space="0" w:color="auto"/>
            </w:tcBorders>
            <w:shd w:val="clear" w:color="auto" w:fill="auto"/>
            <w:noWrap/>
            <w:vAlign w:val="center"/>
          </w:tcPr>
          <w:p w14:paraId="4D9B55B5" w14:textId="77777777" w:rsidR="002725CD" w:rsidRPr="00EB0A52" w:rsidRDefault="002725CD" w:rsidP="00FB4565">
            <w:pPr>
              <w:spacing w:after="0"/>
              <w:rPr>
                <w:rFonts w:ascii="Calibri" w:eastAsia="Times New Roman" w:hAnsi="Calibri"/>
                <w:b/>
                <w:color w:val="000000"/>
              </w:rPr>
            </w:pPr>
            <w:r w:rsidRPr="00EB0A52">
              <w:rPr>
                <w:rFonts w:ascii="Calibri" w:eastAsia="Times New Roman" w:hAnsi="Calibri"/>
                <w:b/>
                <w:color w:val="000000"/>
              </w:rPr>
              <w:t>Supplementary Table 1b: Medication Use at All Endoscopies During Study Period by Gap Length</w:t>
            </w:r>
          </w:p>
        </w:tc>
      </w:tr>
      <w:tr w:rsidR="002725CD" w:rsidRPr="00A21DCF" w14:paraId="2A80E95C" w14:textId="77777777" w:rsidTr="00FB4565">
        <w:trPr>
          <w:trHeight w:val="555"/>
        </w:trPr>
        <w:tc>
          <w:tcPr>
            <w:tcW w:w="932" w:type="pct"/>
            <w:tcBorders>
              <w:top w:val="single" w:sz="12" w:space="0" w:color="auto"/>
              <w:left w:val="single" w:sz="12" w:space="0" w:color="auto"/>
              <w:bottom w:val="nil"/>
              <w:right w:val="nil"/>
            </w:tcBorders>
            <w:shd w:val="clear" w:color="auto" w:fill="auto"/>
            <w:vAlign w:val="bottom"/>
          </w:tcPr>
          <w:p w14:paraId="6EE2D010" w14:textId="77777777" w:rsidR="002725CD" w:rsidRPr="00055DCE" w:rsidRDefault="002725CD" w:rsidP="00FB4565">
            <w:pPr>
              <w:spacing w:after="0" w:line="240" w:lineRule="auto"/>
              <w:rPr>
                <w:rFonts w:ascii="Calibri" w:eastAsia="Times New Roman" w:hAnsi="Calibri" w:cs="Times New Roman"/>
                <w:b/>
                <w:bCs/>
                <w:color w:val="000000"/>
                <w:sz w:val="18"/>
                <w:szCs w:val="18"/>
                <w:lang w:eastAsia="ja-JP"/>
              </w:rPr>
            </w:pPr>
          </w:p>
        </w:tc>
        <w:tc>
          <w:tcPr>
            <w:tcW w:w="1708" w:type="pct"/>
            <w:gridSpan w:val="3"/>
            <w:tcBorders>
              <w:top w:val="single" w:sz="12" w:space="0" w:color="auto"/>
              <w:left w:val="single" w:sz="12" w:space="0" w:color="auto"/>
              <w:bottom w:val="single" w:sz="12" w:space="0" w:color="auto"/>
              <w:right w:val="nil"/>
            </w:tcBorders>
            <w:shd w:val="clear" w:color="auto" w:fill="auto"/>
            <w:vAlign w:val="center"/>
          </w:tcPr>
          <w:p w14:paraId="0E54DA98" w14:textId="77777777" w:rsidR="002725CD" w:rsidRPr="00047AC3" w:rsidRDefault="002725CD" w:rsidP="00FB4565">
            <w:pPr>
              <w:spacing w:after="0" w:line="240" w:lineRule="auto"/>
              <w:jc w:val="center"/>
              <w:rPr>
                <w:rFonts w:ascii="Calibri" w:eastAsia="Times New Roman" w:hAnsi="Calibri" w:cs="Times New Roman"/>
                <w:color w:val="000000"/>
                <w:sz w:val="18"/>
                <w:szCs w:val="18"/>
                <w:lang w:eastAsia="ja-JP"/>
              </w:rPr>
            </w:pPr>
            <w:r w:rsidRPr="00047AC3">
              <w:rPr>
                <w:rFonts w:ascii="Calibri" w:eastAsia="Times New Roman" w:hAnsi="Calibri" w:cs="Times New Roman"/>
                <w:color w:val="000000"/>
                <w:sz w:val="18"/>
                <w:szCs w:val="18"/>
                <w:lang w:eastAsia="ja-JP"/>
              </w:rPr>
              <w:t>Non-LGEA</w:t>
            </w:r>
          </w:p>
        </w:tc>
        <w:tc>
          <w:tcPr>
            <w:tcW w:w="1829"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852B888" w14:textId="77777777" w:rsidR="002725CD" w:rsidRPr="00047AC3" w:rsidRDefault="002725CD" w:rsidP="00FB4565">
            <w:pPr>
              <w:spacing w:after="0" w:line="240" w:lineRule="auto"/>
              <w:jc w:val="center"/>
              <w:rPr>
                <w:rFonts w:ascii="Calibri" w:eastAsia="Times New Roman" w:hAnsi="Calibri" w:cs="Times New Roman"/>
                <w:color w:val="000000"/>
                <w:sz w:val="18"/>
                <w:szCs w:val="18"/>
                <w:lang w:eastAsia="ja-JP"/>
              </w:rPr>
            </w:pPr>
            <w:r w:rsidRPr="00047AC3">
              <w:rPr>
                <w:rFonts w:ascii="Calibri" w:eastAsia="Times New Roman" w:hAnsi="Calibri" w:cs="Times New Roman"/>
                <w:color w:val="000000"/>
                <w:sz w:val="18"/>
                <w:szCs w:val="18"/>
                <w:lang w:eastAsia="ja-JP"/>
              </w:rPr>
              <w:t>LGEA</w:t>
            </w:r>
          </w:p>
        </w:tc>
        <w:tc>
          <w:tcPr>
            <w:tcW w:w="531" w:type="pct"/>
            <w:tcBorders>
              <w:top w:val="single" w:sz="12" w:space="0" w:color="auto"/>
              <w:left w:val="nil"/>
              <w:bottom w:val="single" w:sz="12" w:space="0" w:color="auto"/>
              <w:right w:val="single" w:sz="12" w:space="0" w:color="auto"/>
            </w:tcBorders>
            <w:shd w:val="clear" w:color="auto" w:fill="auto"/>
            <w:vAlign w:val="center"/>
          </w:tcPr>
          <w:p w14:paraId="487E25E7" w14:textId="77777777" w:rsidR="002725CD" w:rsidRPr="00E87F74" w:rsidRDefault="002725CD" w:rsidP="00FB4565">
            <w:pPr>
              <w:spacing w:after="0" w:line="240" w:lineRule="auto"/>
              <w:jc w:val="center"/>
              <w:rPr>
                <w:rFonts w:ascii="Calibri" w:eastAsia="Times New Roman" w:hAnsi="Calibri" w:cs="Times New Roman"/>
                <w:i/>
                <w:color w:val="000000"/>
                <w:sz w:val="18"/>
                <w:szCs w:val="18"/>
                <w:lang w:eastAsia="ja-JP"/>
              </w:rPr>
            </w:pPr>
          </w:p>
        </w:tc>
      </w:tr>
      <w:tr w:rsidR="002725CD" w:rsidRPr="00A21DCF" w14:paraId="629B4672" w14:textId="77777777" w:rsidTr="00FB4565">
        <w:trPr>
          <w:trHeight w:val="1300"/>
        </w:trPr>
        <w:tc>
          <w:tcPr>
            <w:tcW w:w="932" w:type="pct"/>
            <w:tcBorders>
              <w:top w:val="single" w:sz="12" w:space="0" w:color="auto"/>
              <w:left w:val="single" w:sz="12" w:space="0" w:color="auto"/>
              <w:bottom w:val="nil"/>
              <w:right w:val="nil"/>
            </w:tcBorders>
            <w:shd w:val="clear" w:color="auto" w:fill="auto"/>
            <w:vAlign w:val="bottom"/>
            <w:hideMark/>
          </w:tcPr>
          <w:p w14:paraId="2E852B1D" w14:textId="77777777" w:rsidR="002725CD" w:rsidRPr="00055DCE" w:rsidRDefault="002725CD" w:rsidP="00FB4565">
            <w:pPr>
              <w:spacing w:after="0" w:line="240" w:lineRule="auto"/>
              <w:rPr>
                <w:rFonts w:ascii="Calibri" w:eastAsia="Times New Roman" w:hAnsi="Calibri" w:cs="Times New Roman"/>
                <w:b/>
                <w:bCs/>
                <w:color w:val="000000"/>
                <w:sz w:val="18"/>
                <w:szCs w:val="18"/>
                <w:lang w:eastAsia="ja-JP"/>
              </w:rPr>
            </w:pPr>
            <w:r w:rsidRPr="00055DCE">
              <w:rPr>
                <w:rFonts w:ascii="Calibri" w:eastAsia="Times New Roman" w:hAnsi="Calibri" w:cs="Times New Roman"/>
                <w:b/>
                <w:bCs/>
                <w:color w:val="000000"/>
                <w:sz w:val="18"/>
                <w:szCs w:val="18"/>
                <w:lang w:eastAsia="ja-JP"/>
              </w:rPr>
              <w:t> </w:t>
            </w:r>
          </w:p>
        </w:tc>
        <w:tc>
          <w:tcPr>
            <w:tcW w:w="240" w:type="pct"/>
            <w:tcBorders>
              <w:top w:val="single" w:sz="12" w:space="0" w:color="auto"/>
              <w:left w:val="single" w:sz="12" w:space="0" w:color="auto"/>
              <w:bottom w:val="single" w:sz="12" w:space="0" w:color="auto"/>
              <w:right w:val="nil"/>
            </w:tcBorders>
            <w:shd w:val="clear" w:color="auto" w:fill="auto"/>
            <w:vAlign w:val="bottom"/>
            <w:hideMark/>
          </w:tcPr>
          <w:p w14:paraId="45D3D652" w14:textId="77777777" w:rsidR="002725CD" w:rsidRPr="00055DCE" w:rsidRDefault="002725CD" w:rsidP="00FB4565">
            <w:pPr>
              <w:spacing w:after="0" w:line="240" w:lineRule="auto"/>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N = 358</w:t>
            </w:r>
          </w:p>
        </w:tc>
        <w:tc>
          <w:tcPr>
            <w:tcW w:w="692" w:type="pct"/>
            <w:tcBorders>
              <w:top w:val="single" w:sz="12" w:space="0" w:color="auto"/>
              <w:left w:val="single" w:sz="4" w:space="0" w:color="auto"/>
              <w:bottom w:val="single" w:sz="12" w:space="0" w:color="auto"/>
              <w:right w:val="single" w:sz="4" w:space="0" w:color="auto"/>
            </w:tcBorders>
            <w:shd w:val="clear" w:color="auto" w:fill="auto"/>
            <w:vAlign w:val="bottom"/>
            <w:hideMark/>
          </w:tcPr>
          <w:p w14:paraId="6AD1D902" w14:textId="77777777" w:rsidR="002725CD" w:rsidRPr="00055DCE" w:rsidRDefault="002725CD" w:rsidP="00FB4565">
            <w:pPr>
              <w:spacing w:after="0" w:line="240" w:lineRule="auto"/>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 xml:space="preserve">Median </w:t>
            </w:r>
            <w:r>
              <w:rPr>
                <w:rFonts w:ascii="Calibri" w:eastAsia="Times New Roman" w:hAnsi="Calibri" w:cs="Times New Roman"/>
                <w:color w:val="000000"/>
                <w:sz w:val="18"/>
                <w:szCs w:val="18"/>
                <w:lang w:eastAsia="ja-JP"/>
              </w:rPr>
              <w:t>T</w:t>
            </w:r>
            <w:r w:rsidRPr="00055DCE">
              <w:rPr>
                <w:rFonts w:ascii="Calibri" w:eastAsia="Times New Roman" w:hAnsi="Calibri" w:cs="Times New Roman"/>
                <w:color w:val="000000"/>
                <w:sz w:val="18"/>
                <w:szCs w:val="18"/>
                <w:lang w:eastAsia="ja-JP"/>
              </w:rPr>
              <w:t xml:space="preserve">otal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aily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ose, </w:t>
            </w:r>
            <w:r>
              <w:rPr>
                <w:rFonts w:ascii="Calibri" w:eastAsia="Times New Roman" w:hAnsi="Calibri" w:cs="Times New Roman"/>
                <w:color w:val="000000"/>
                <w:sz w:val="18"/>
                <w:szCs w:val="18"/>
                <w:lang w:eastAsia="ja-JP"/>
              </w:rPr>
              <w:t>O</w:t>
            </w:r>
            <w:r w:rsidRPr="00055DCE">
              <w:rPr>
                <w:rFonts w:ascii="Calibri" w:eastAsia="Times New Roman" w:hAnsi="Calibri" w:cs="Times New Roman"/>
                <w:color w:val="000000"/>
                <w:sz w:val="18"/>
                <w:szCs w:val="18"/>
                <w:lang w:eastAsia="ja-JP"/>
              </w:rPr>
              <w:t xml:space="preserve">meprazole </w:t>
            </w:r>
            <w:r>
              <w:rPr>
                <w:rFonts w:ascii="Calibri" w:eastAsia="Times New Roman" w:hAnsi="Calibri" w:cs="Times New Roman"/>
                <w:color w:val="000000"/>
                <w:sz w:val="18"/>
                <w:szCs w:val="18"/>
                <w:lang w:eastAsia="ja-JP"/>
              </w:rPr>
              <w:t>E</w:t>
            </w:r>
            <w:r w:rsidRPr="00055DCE">
              <w:rPr>
                <w:rFonts w:ascii="Calibri" w:eastAsia="Times New Roman" w:hAnsi="Calibri" w:cs="Times New Roman"/>
                <w:color w:val="000000"/>
                <w:sz w:val="18"/>
                <w:szCs w:val="18"/>
                <w:lang w:eastAsia="ja-JP"/>
              </w:rPr>
              <w:t>quivalents, mg/kg (</w:t>
            </w:r>
            <w:r>
              <w:rPr>
                <w:rFonts w:ascii="Calibri" w:eastAsia="Times New Roman" w:hAnsi="Calibri" w:cs="Times New Roman"/>
                <w:color w:val="000000"/>
                <w:sz w:val="18"/>
                <w:szCs w:val="18"/>
                <w:lang w:eastAsia="ja-JP"/>
              </w:rPr>
              <w:t>IQR</w:t>
            </w:r>
            <w:r w:rsidRPr="00055DCE">
              <w:rPr>
                <w:rFonts w:ascii="Calibri" w:eastAsia="Times New Roman" w:hAnsi="Calibri" w:cs="Times New Roman"/>
                <w:color w:val="000000"/>
                <w:sz w:val="18"/>
                <w:szCs w:val="18"/>
                <w:lang w:eastAsia="ja-JP"/>
              </w:rPr>
              <w:t>)</w:t>
            </w:r>
          </w:p>
        </w:tc>
        <w:tc>
          <w:tcPr>
            <w:tcW w:w="776" w:type="pct"/>
            <w:tcBorders>
              <w:top w:val="single" w:sz="12" w:space="0" w:color="auto"/>
              <w:left w:val="nil"/>
              <w:bottom w:val="single" w:sz="12" w:space="0" w:color="auto"/>
              <w:right w:val="nil"/>
            </w:tcBorders>
            <w:shd w:val="clear" w:color="auto" w:fill="auto"/>
            <w:vAlign w:val="bottom"/>
            <w:hideMark/>
          </w:tcPr>
          <w:p w14:paraId="0F7F1E09" w14:textId="77777777" w:rsidR="002725CD" w:rsidRPr="00055DCE" w:rsidRDefault="002725CD" w:rsidP="00FB4565">
            <w:pPr>
              <w:spacing w:after="0" w:line="240" w:lineRule="auto"/>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 xml:space="preserve">Median </w:t>
            </w:r>
            <w:r>
              <w:rPr>
                <w:rFonts w:ascii="Calibri" w:eastAsia="Times New Roman" w:hAnsi="Calibri" w:cs="Times New Roman"/>
                <w:color w:val="000000"/>
                <w:sz w:val="18"/>
                <w:szCs w:val="18"/>
                <w:lang w:eastAsia="ja-JP"/>
              </w:rPr>
              <w:t>T</w:t>
            </w:r>
            <w:r w:rsidRPr="00055DCE">
              <w:rPr>
                <w:rFonts w:ascii="Calibri" w:eastAsia="Times New Roman" w:hAnsi="Calibri" w:cs="Times New Roman"/>
                <w:color w:val="000000"/>
                <w:sz w:val="18"/>
                <w:szCs w:val="18"/>
                <w:lang w:eastAsia="ja-JP"/>
              </w:rPr>
              <w:t xml:space="preserve">otal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aily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ose, </w:t>
            </w:r>
            <w:r>
              <w:rPr>
                <w:rFonts w:ascii="Calibri" w:eastAsia="Times New Roman" w:hAnsi="Calibri" w:cs="Times New Roman"/>
                <w:color w:val="000000"/>
                <w:sz w:val="18"/>
                <w:szCs w:val="18"/>
                <w:lang w:eastAsia="ja-JP"/>
              </w:rPr>
              <w:t>R</w:t>
            </w:r>
            <w:r w:rsidRPr="00055DCE">
              <w:rPr>
                <w:rFonts w:ascii="Calibri" w:eastAsia="Times New Roman" w:hAnsi="Calibri" w:cs="Times New Roman"/>
                <w:color w:val="000000"/>
                <w:sz w:val="18"/>
                <w:szCs w:val="18"/>
                <w:lang w:eastAsia="ja-JP"/>
              </w:rPr>
              <w:t xml:space="preserve">anitidine </w:t>
            </w:r>
            <w:r>
              <w:rPr>
                <w:rFonts w:ascii="Calibri" w:eastAsia="Times New Roman" w:hAnsi="Calibri" w:cs="Times New Roman"/>
                <w:color w:val="000000"/>
                <w:sz w:val="18"/>
                <w:szCs w:val="18"/>
                <w:lang w:eastAsia="ja-JP"/>
              </w:rPr>
              <w:t>E</w:t>
            </w:r>
            <w:r w:rsidRPr="00055DCE">
              <w:rPr>
                <w:rFonts w:ascii="Calibri" w:eastAsia="Times New Roman" w:hAnsi="Calibri" w:cs="Times New Roman"/>
                <w:color w:val="000000"/>
                <w:sz w:val="18"/>
                <w:szCs w:val="18"/>
                <w:lang w:eastAsia="ja-JP"/>
              </w:rPr>
              <w:t>quivalents, mg/kg (</w:t>
            </w:r>
            <w:r>
              <w:rPr>
                <w:rFonts w:ascii="Calibri" w:eastAsia="Times New Roman" w:hAnsi="Calibri" w:cs="Times New Roman"/>
                <w:color w:val="000000"/>
                <w:sz w:val="18"/>
                <w:szCs w:val="18"/>
                <w:lang w:eastAsia="ja-JP"/>
              </w:rPr>
              <w:t>IQR</w:t>
            </w:r>
            <w:r w:rsidRPr="00055DCE">
              <w:rPr>
                <w:rFonts w:ascii="Calibri" w:eastAsia="Times New Roman" w:hAnsi="Calibri" w:cs="Times New Roman"/>
                <w:color w:val="000000"/>
                <w:sz w:val="18"/>
                <w:szCs w:val="18"/>
                <w:lang w:eastAsia="ja-JP"/>
              </w:rPr>
              <w:t>)</w:t>
            </w:r>
          </w:p>
        </w:tc>
        <w:tc>
          <w:tcPr>
            <w:tcW w:w="434" w:type="pct"/>
            <w:tcBorders>
              <w:top w:val="single" w:sz="12" w:space="0" w:color="auto"/>
              <w:left w:val="single" w:sz="12" w:space="0" w:color="auto"/>
              <w:bottom w:val="single" w:sz="12" w:space="0" w:color="auto"/>
              <w:right w:val="nil"/>
            </w:tcBorders>
            <w:shd w:val="clear" w:color="auto" w:fill="auto"/>
            <w:vAlign w:val="bottom"/>
            <w:hideMark/>
          </w:tcPr>
          <w:p w14:paraId="1AAFFFEF" w14:textId="77777777" w:rsidR="002725CD" w:rsidRPr="00055DCE" w:rsidRDefault="002725CD" w:rsidP="00FB4565">
            <w:pPr>
              <w:spacing w:after="0" w:line="240" w:lineRule="auto"/>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N = 216</w:t>
            </w:r>
          </w:p>
        </w:tc>
        <w:tc>
          <w:tcPr>
            <w:tcW w:w="692" w:type="pct"/>
            <w:gridSpan w:val="2"/>
            <w:tcBorders>
              <w:top w:val="single" w:sz="12" w:space="0" w:color="auto"/>
              <w:left w:val="single" w:sz="4" w:space="0" w:color="auto"/>
              <w:bottom w:val="single" w:sz="12" w:space="0" w:color="auto"/>
              <w:right w:val="single" w:sz="4" w:space="0" w:color="auto"/>
            </w:tcBorders>
            <w:shd w:val="clear" w:color="auto" w:fill="auto"/>
            <w:vAlign w:val="bottom"/>
            <w:hideMark/>
          </w:tcPr>
          <w:p w14:paraId="6CFA444B" w14:textId="77777777" w:rsidR="002725CD" w:rsidRPr="00055DCE" w:rsidRDefault="002725CD" w:rsidP="00FB4565">
            <w:pPr>
              <w:spacing w:after="0" w:line="240" w:lineRule="auto"/>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 xml:space="preserve">Median </w:t>
            </w:r>
            <w:r>
              <w:rPr>
                <w:rFonts w:ascii="Calibri" w:eastAsia="Times New Roman" w:hAnsi="Calibri" w:cs="Times New Roman"/>
                <w:color w:val="000000"/>
                <w:sz w:val="18"/>
                <w:szCs w:val="18"/>
                <w:lang w:eastAsia="ja-JP"/>
              </w:rPr>
              <w:t>T</w:t>
            </w:r>
            <w:r w:rsidRPr="00055DCE">
              <w:rPr>
                <w:rFonts w:ascii="Calibri" w:eastAsia="Times New Roman" w:hAnsi="Calibri" w:cs="Times New Roman"/>
                <w:color w:val="000000"/>
                <w:sz w:val="18"/>
                <w:szCs w:val="18"/>
                <w:lang w:eastAsia="ja-JP"/>
              </w:rPr>
              <w:t xml:space="preserve">otal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aily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ose, </w:t>
            </w:r>
            <w:r>
              <w:rPr>
                <w:rFonts w:ascii="Calibri" w:eastAsia="Times New Roman" w:hAnsi="Calibri" w:cs="Times New Roman"/>
                <w:color w:val="000000"/>
                <w:sz w:val="18"/>
                <w:szCs w:val="18"/>
                <w:lang w:eastAsia="ja-JP"/>
              </w:rPr>
              <w:t>O</w:t>
            </w:r>
            <w:r w:rsidRPr="00055DCE">
              <w:rPr>
                <w:rFonts w:ascii="Calibri" w:eastAsia="Times New Roman" w:hAnsi="Calibri" w:cs="Times New Roman"/>
                <w:color w:val="000000"/>
                <w:sz w:val="18"/>
                <w:szCs w:val="18"/>
                <w:lang w:eastAsia="ja-JP"/>
              </w:rPr>
              <w:t xml:space="preserve">meprazole </w:t>
            </w:r>
            <w:r>
              <w:rPr>
                <w:rFonts w:ascii="Calibri" w:eastAsia="Times New Roman" w:hAnsi="Calibri" w:cs="Times New Roman"/>
                <w:color w:val="000000"/>
                <w:sz w:val="18"/>
                <w:szCs w:val="18"/>
                <w:lang w:eastAsia="ja-JP"/>
              </w:rPr>
              <w:t>E</w:t>
            </w:r>
            <w:r w:rsidRPr="00055DCE">
              <w:rPr>
                <w:rFonts w:ascii="Calibri" w:eastAsia="Times New Roman" w:hAnsi="Calibri" w:cs="Times New Roman"/>
                <w:color w:val="000000"/>
                <w:sz w:val="18"/>
                <w:szCs w:val="18"/>
                <w:lang w:eastAsia="ja-JP"/>
              </w:rPr>
              <w:t>quivalents, mg/kg (</w:t>
            </w:r>
            <w:r>
              <w:rPr>
                <w:rFonts w:ascii="Calibri" w:eastAsia="Times New Roman" w:hAnsi="Calibri" w:cs="Times New Roman"/>
                <w:color w:val="000000"/>
                <w:sz w:val="18"/>
                <w:szCs w:val="18"/>
                <w:lang w:eastAsia="ja-JP"/>
              </w:rPr>
              <w:t>IQR</w:t>
            </w:r>
            <w:r w:rsidRPr="00055DCE">
              <w:rPr>
                <w:rFonts w:ascii="Calibri" w:eastAsia="Times New Roman" w:hAnsi="Calibri" w:cs="Times New Roman"/>
                <w:color w:val="000000"/>
                <w:sz w:val="18"/>
                <w:szCs w:val="18"/>
                <w:lang w:eastAsia="ja-JP"/>
              </w:rPr>
              <w:t>)</w:t>
            </w:r>
          </w:p>
        </w:tc>
        <w:tc>
          <w:tcPr>
            <w:tcW w:w="703" w:type="pct"/>
            <w:tcBorders>
              <w:top w:val="single" w:sz="12" w:space="0" w:color="auto"/>
              <w:left w:val="nil"/>
              <w:bottom w:val="single" w:sz="12" w:space="0" w:color="auto"/>
              <w:right w:val="single" w:sz="12" w:space="0" w:color="auto"/>
            </w:tcBorders>
            <w:shd w:val="clear" w:color="auto" w:fill="auto"/>
            <w:vAlign w:val="bottom"/>
            <w:hideMark/>
          </w:tcPr>
          <w:p w14:paraId="581AF498" w14:textId="77777777" w:rsidR="002725CD" w:rsidRPr="00055DCE" w:rsidRDefault="002725CD" w:rsidP="00FB4565">
            <w:pPr>
              <w:spacing w:after="0" w:line="240" w:lineRule="auto"/>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 xml:space="preserve">Median </w:t>
            </w:r>
            <w:r>
              <w:rPr>
                <w:rFonts w:ascii="Calibri" w:eastAsia="Times New Roman" w:hAnsi="Calibri" w:cs="Times New Roman"/>
                <w:color w:val="000000"/>
                <w:sz w:val="18"/>
                <w:szCs w:val="18"/>
                <w:lang w:eastAsia="ja-JP"/>
              </w:rPr>
              <w:t>T</w:t>
            </w:r>
            <w:r w:rsidRPr="00055DCE">
              <w:rPr>
                <w:rFonts w:ascii="Calibri" w:eastAsia="Times New Roman" w:hAnsi="Calibri" w:cs="Times New Roman"/>
                <w:color w:val="000000"/>
                <w:sz w:val="18"/>
                <w:szCs w:val="18"/>
                <w:lang w:eastAsia="ja-JP"/>
              </w:rPr>
              <w:t xml:space="preserve">otal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aily </w:t>
            </w:r>
            <w:r>
              <w:rPr>
                <w:rFonts w:ascii="Calibri" w:eastAsia="Times New Roman" w:hAnsi="Calibri" w:cs="Times New Roman"/>
                <w:color w:val="000000"/>
                <w:sz w:val="18"/>
                <w:szCs w:val="18"/>
                <w:lang w:eastAsia="ja-JP"/>
              </w:rPr>
              <w:t>D</w:t>
            </w:r>
            <w:r w:rsidRPr="00055DCE">
              <w:rPr>
                <w:rFonts w:ascii="Calibri" w:eastAsia="Times New Roman" w:hAnsi="Calibri" w:cs="Times New Roman"/>
                <w:color w:val="000000"/>
                <w:sz w:val="18"/>
                <w:szCs w:val="18"/>
                <w:lang w:eastAsia="ja-JP"/>
              </w:rPr>
              <w:t xml:space="preserve">ose, </w:t>
            </w:r>
            <w:r>
              <w:rPr>
                <w:rFonts w:ascii="Calibri" w:eastAsia="Times New Roman" w:hAnsi="Calibri" w:cs="Times New Roman"/>
                <w:color w:val="000000"/>
                <w:sz w:val="18"/>
                <w:szCs w:val="18"/>
                <w:lang w:eastAsia="ja-JP"/>
              </w:rPr>
              <w:t>R</w:t>
            </w:r>
            <w:r w:rsidRPr="00055DCE">
              <w:rPr>
                <w:rFonts w:ascii="Calibri" w:eastAsia="Times New Roman" w:hAnsi="Calibri" w:cs="Times New Roman"/>
                <w:color w:val="000000"/>
                <w:sz w:val="18"/>
                <w:szCs w:val="18"/>
                <w:lang w:eastAsia="ja-JP"/>
              </w:rPr>
              <w:t xml:space="preserve">anitidine </w:t>
            </w:r>
            <w:r>
              <w:rPr>
                <w:rFonts w:ascii="Calibri" w:eastAsia="Times New Roman" w:hAnsi="Calibri" w:cs="Times New Roman"/>
                <w:color w:val="000000"/>
                <w:sz w:val="18"/>
                <w:szCs w:val="18"/>
                <w:lang w:eastAsia="ja-JP"/>
              </w:rPr>
              <w:t>E</w:t>
            </w:r>
            <w:r w:rsidRPr="00055DCE">
              <w:rPr>
                <w:rFonts w:ascii="Calibri" w:eastAsia="Times New Roman" w:hAnsi="Calibri" w:cs="Times New Roman"/>
                <w:color w:val="000000"/>
                <w:sz w:val="18"/>
                <w:szCs w:val="18"/>
                <w:lang w:eastAsia="ja-JP"/>
              </w:rPr>
              <w:t>quivalents, mg/kg (</w:t>
            </w:r>
            <w:r>
              <w:rPr>
                <w:rFonts w:ascii="Calibri" w:eastAsia="Times New Roman" w:hAnsi="Calibri" w:cs="Times New Roman"/>
                <w:color w:val="000000"/>
                <w:sz w:val="18"/>
                <w:szCs w:val="18"/>
                <w:lang w:eastAsia="ja-JP"/>
              </w:rPr>
              <w:t>IQR</w:t>
            </w:r>
            <w:r w:rsidRPr="00055DCE">
              <w:rPr>
                <w:rFonts w:ascii="Calibri" w:eastAsia="Times New Roman" w:hAnsi="Calibri" w:cs="Times New Roman"/>
                <w:color w:val="000000"/>
                <w:sz w:val="18"/>
                <w:szCs w:val="18"/>
                <w:lang w:eastAsia="ja-JP"/>
              </w:rPr>
              <w:t>)</w:t>
            </w:r>
          </w:p>
        </w:tc>
        <w:tc>
          <w:tcPr>
            <w:tcW w:w="531" w:type="pct"/>
            <w:tcBorders>
              <w:top w:val="single" w:sz="12" w:space="0" w:color="auto"/>
              <w:left w:val="nil"/>
              <w:bottom w:val="single" w:sz="12" w:space="0" w:color="auto"/>
              <w:right w:val="single" w:sz="12" w:space="0" w:color="auto"/>
            </w:tcBorders>
            <w:shd w:val="clear" w:color="auto" w:fill="auto"/>
            <w:vAlign w:val="center"/>
            <w:hideMark/>
          </w:tcPr>
          <w:p w14:paraId="1D265518" w14:textId="77777777" w:rsidR="002725CD" w:rsidRPr="00055DCE" w:rsidRDefault="002725CD" w:rsidP="00FB4565">
            <w:pPr>
              <w:spacing w:after="0" w:line="240" w:lineRule="auto"/>
              <w:jc w:val="center"/>
              <w:rPr>
                <w:rFonts w:ascii="Calibri" w:eastAsia="Times New Roman" w:hAnsi="Calibri" w:cs="Times New Roman"/>
                <w:color w:val="000000"/>
                <w:sz w:val="18"/>
                <w:szCs w:val="18"/>
                <w:lang w:eastAsia="ja-JP"/>
              </w:rPr>
            </w:pPr>
            <w:r w:rsidRPr="00E87F74">
              <w:rPr>
                <w:rFonts w:ascii="Calibri" w:eastAsia="Times New Roman" w:hAnsi="Calibri" w:cs="Times New Roman"/>
                <w:i/>
                <w:color w:val="000000"/>
                <w:sz w:val="18"/>
                <w:szCs w:val="18"/>
                <w:lang w:eastAsia="ja-JP"/>
              </w:rPr>
              <w:t>P</w:t>
            </w:r>
            <w:r>
              <w:rPr>
                <w:rFonts w:ascii="Calibri" w:eastAsia="Times New Roman" w:hAnsi="Calibri" w:cs="Times New Roman"/>
                <w:color w:val="000000"/>
                <w:sz w:val="18"/>
                <w:szCs w:val="18"/>
                <w:lang w:eastAsia="ja-JP"/>
              </w:rPr>
              <w:t xml:space="preserve"> value</w:t>
            </w:r>
          </w:p>
        </w:tc>
      </w:tr>
      <w:tr w:rsidR="002725CD" w:rsidRPr="00A21DCF" w14:paraId="2722715A" w14:textId="77777777" w:rsidTr="00FB4565">
        <w:trPr>
          <w:trHeight w:val="320"/>
        </w:trPr>
        <w:tc>
          <w:tcPr>
            <w:tcW w:w="932" w:type="pct"/>
            <w:tcBorders>
              <w:top w:val="nil"/>
              <w:left w:val="single" w:sz="12" w:space="0" w:color="auto"/>
              <w:bottom w:val="nil"/>
              <w:right w:val="nil"/>
            </w:tcBorders>
            <w:shd w:val="clear" w:color="auto" w:fill="auto"/>
            <w:noWrap/>
            <w:vAlign w:val="bottom"/>
            <w:hideMark/>
          </w:tcPr>
          <w:p w14:paraId="79EA5D40" w14:textId="77777777" w:rsidR="002725CD" w:rsidRPr="00EB0A52" w:rsidRDefault="002725CD" w:rsidP="00FB4565">
            <w:pPr>
              <w:spacing w:after="0" w:line="240" w:lineRule="auto"/>
              <w:rPr>
                <w:rFonts w:ascii="Calibri" w:eastAsia="Times New Roman" w:hAnsi="Calibri" w:cs="Times New Roman"/>
                <w:color w:val="000000"/>
                <w:szCs w:val="18"/>
                <w:lang w:eastAsia="ja-JP"/>
              </w:rPr>
            </w:pPr>
            <w:r w:rsidRPr="00EB0A52">
              <w:rPr>
                <w:rFonts w:ascii="Calibri" w:eastAsia="Times New Roman" w:hAnsi="Calibri" w:cs="Times New Roman"/>
                <w:color w:val="000000"/>
                <w:szCs w:val="18"/>
                <w:lang w:eastAsia="ja-JP"/>
              </w:rPr>
              <w:t>None</w:t>
            </w:r>
          </w:p>
        </w:tc>
        <w:tc>
          <w:tcPr>
            <w:tcW w:w="240" w:type="pct"/>
            <w:tcBorders>
              <w:top w:val="single" w:sz="12" w:space="0" w:color="auto"/>
              <w:left w:val="single" w:sz="12" w:space="0" w:color="auto"/>
              <w:bottom w:val="nil"/>
              <w:right w:val="nil"/>
            </w:tcBorders>
            <w:shd w:val="clear" w:color="auto" w:fill="auto"/>
            <w:noWrap/>
            <w:vAlign w:val="bottom"/>
            <w:hideMark/>
          </w:tcPr>
          <w:p w14:paraId="2F085849"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59</w:t>
            </w:r>
          </w:p>
        </w:tc>
        <w:tc>
          <w:tcPr>
            <w:tcW w:w="692" w:type="pct"/>
            <w:tcBorders>
              <w:top w:val="single" w:sz="12" w:space="0" w:color="auto"/>
              <w:left w:val="single" w:sz="4" w:space="0" w:color="auto"/>
              <w:bottom w:val="nil"/>
              <w:right w:val="single" w:sz="4" w:space="0" w:color="auto"/>
            </w:tcBorders>
            <w:shd w:val="clear" w:color="auto" w:fill="auto"/>
            <w:noWrap/>
            <w:vAlign w:val="bottom"/>
            <w:hideMark/>
          </w:tcPr>
          <w:p w14:paraId="6E2FC20E"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776" w:type="pct"/>
            <w:tcBorders>
              <w:top w:val="single" w:sz="12" w:space="0" w:color="auto"/>
              <w:left w:val="nil"/>
              <w:bottom w:val="nil"/>
              <w:right w:val="nil"/>
            </w:tcBorders>
            <w:shd w:val="clear" w:color="auto" w:fill="auto"/>
            <w:noWrap/>
            <w:vAlign w:val="bottom"/>
            <w:hideMark/>
          </w:tcPr>
          <w:p w14:paraId="3934959D"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434" w:type="pct"/>
            <w:tcBorders>
              <w:top w:val="single" w:sz="12" w:space="0" w:color="auto"/>
              <w:left w:val="single" w:sz="12" w:space="0" w:color="auto"/>
              <w:bottom w:val="nil"/>
              <w:right w:val="nil"/>
            </w:tcBorders>
            <w:shd w:val="clear" w:color="auto" w:fill="auto"/>
            <w:noWrap/>
            <w:vAlign w:val="bottom"/>
            <w:hideMark/>
          </w:tcPr>
          <w:p w14:paraId="315C6BB2"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15</w:t>
            </w:r>
          </w:p>
        </w:tc>
        <w:tc>
          <w:tcPr>
            <w:tcW w:w="692" w:type="pct"/>
            <w:gridSpan w:val="2"/>
            <w:tcBorders>
              <w:top w:val="single" w:sz="12" w:space="0" w:color="auto"/>
              <w:left w:val="single" w:sz="4" w:space="0" w:color="auto"/>
              <w:bottom w:val="nil"/>
              <w:right w:val="single" w:sz="4" w:space="0" w:color="auto"/>
            </w:tcBorders>
            <w:shd w:val="clear" w:color="auto" w:fill="auto"/>
            <w:noWrap/>
            <w:vAlign w:val="bottom"/>
            <w:hideMark/>
          </w:tcPr>
          <w:p w14:paraId="419C6654"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703" w:type="pct"/>
            <w:tcBorders>
              <w:top w:val="single" w:sz="12" w:space="0" w:color="auto"/>
              <w:left w:val="nil"/>
              <w:bottom w:val="nil"/>
              <w:right w:val="single" w:sz="12" w:space="0" w:color="auto"/>
            </w:tcBorders>
            <w:shd w:val="clear" w:color="auto" w:fill="auto"/>
            <w:noWrap/>
            <w:vAlign w:val="bottom"/>
            <w:hideMark/>
          </w:tcPr>
          <w:p w14:paraId="280E761D"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531" w:type="pct"/>
            <w:tcBorders>
              <w:top w:val="single" w:sz="12" w:space="0" w:color="auto"/>
              <w:left w:val="nil"/>
              <w:bottom w:val="nil"/>
              <w:right w:val="single" w:sz="12" w:space="0" w:color="auto"/>
            </w:tcBorders>
            <w:shd w:val="clear" w:color="auto" w:fill="auto"/>
            <w:vAlign w:val="bottom"/>
            <w:hideMark/>
          </w:tcPr>
          <w:p w14:paraId="4DD608F5" w14:textId="77777777" w:rsidR="002725CD" w:rsidRPr="00055DCE" w:rsidRDefault="002725CD" w:rsidP="00FB4565">
            <w:pPr>
              <w:spacing w:after="0" w:line="240" w:lineRule="auto"/>
              <w:jc w:val="center"/>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r>
      <w:tr w:rsidR="002725CD" w:rsidRPr="00A21DCF" w14:paraId="263476C3" w14:textId="77777777" w:rsidTr="00FB4565">
        <w:trPr>
          <w:trHeight w:val="320"/>
        </w:trPr>
        <w:tc>
          <w:tcPr>
            <w:tcW w:w="932" w:type="pct"/>
            <w:tcBorders>
              <w:top w:val="nil"/>
              <w:left w:val="single" w:sz="12" w:space="0" w:color="auto"/>
              <w:bottom w:val="nil"/>
              <w:right w:val="nil"/>
            </w:tcBorders>
            <w:shd w:val="clear" w:color="auto" w:fill="auto"/>
            <w:noWrap/>
            <w:vAlign w:val="bottom"/>
            <w:hideMark/>
          </w:tcPr>
          <w:p w14:paraId="6F635512" w14:textId="77777777" w:rsidR="002725CD" w:rsidRPr="00EB0A52" w:rsidRDefault="002725CD" w:rsidP="00FB4565">
            <w:pPr>
              <w:spacing w:after="0" w:line="240" w:lineRule="auto"/>
              <w:rPr>
                <w:rFonts w:ascii="Calibri" w:eastAsia="Times New Roman" w:hAnsi="Calibri" w:cs="Times New Roman"/>
                <w:color w:val="000000"/>
                <w:szCs w:val="18"/>
                <w:lang w:eastAsia="ja-JP"/>
              </w:rPr>
            </w:pPr>
            <w:r w:rsidRPr="00EB0A52">
              <w:rPr>
                <w:rFonts w:ascii="Calibri" w:eastAsia="Times New Roman" w:hAnsi="Calibri" w:cs="Times New Roman"/>
                <w:color w:val="000000"/>
                <w:szCs w:val="18"/>
                <w:lang w:eastAsia="ja-JP"/>
              </w:rPr>
              <w:t>PPI Only</w:t>
            </w:r>
          </w:p>
        </w:tc>
        <w:tc>
          <w:tcPr>
            <w:tcW w:w="240" w:type="pct"/>
            <w:tcBorders>
              <w:top w:val="nil"/>
              <w:left w:val="single" w:sz="12" w:space="0" w:color="auto"/>
              <w:bottom w:val="nil"/>
              <w:right w:val="nil"/>
            </w:tcBorders>
            <w:shd w:val="clear" w:color="auto" w:fill="auto"/>
            <w:noWrap/>
            <w:vAlign w:val="bottom"/>
            <w:hideMark/>
          </w:tcPr>
          <w:p w14:paraId="50C38967"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173</w:t>
            </w:r>
          </w:p>
        </w:tc>
        <w:tc>
          <w:tcPr>
            <w:tcW w:w="692" w:type="pct"/>
            <w:tcBorders>
              <w:top w:val="nil"/>
              <w:left w:val="single" w:sz="4" w:space="0" w:color="auto"/>
              <w:bottom w:val="nil"/>
              <w:right w:val="single" w:sz="4" w:space="0" w:color="auto"/>
            </w:tcBorders>
            <w:shd w:val="clear" w:color="auto" w:fill="auto"/>
            <w:noWrap/>
            <w:vAlign w:val="bottom"/>
            <w:hideMark/>
          </w:tcPr>
          <w:p w14:paraId="787B039D"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1.61 (</w:t>
            </w:r>
            <w:r>
              <w:rPr>
                <w:rFonts w:ascii="Calibri" w:eastAsia="Times New Roman" w:hAnsi="Calibri" w:cs="Times New Roman"/>
                <w:color w:val="000000"/>
                <w:sz w:val="18"/>
                <w:szCs w:val="18"/>
                <w:lang w:eastAsia="ja-JP"/>
              </w:rPr>
              <w:t>1.17–2.00</w:t>
            </w:r>
            <w:r w:rsidRPr="00055DCE">
              <w:rPr>
                <w:rFonts w:ascii="Calibri" w:eastAsia="Times New Roman" w:hAnsi="Calibri" w:cs="Times New Roman"/>
                <w:color w:val="000000"/>
                <w:sz w:val="18"/>
                <w:szCs w:val="18"/>
                <w:lang w:eastAsia="ja-JP"/>
              </w:rPr>
              <w:t>)</w:t>
            </w:r>
          </w:p>
        </w:tc>
        <w:tc>
          <w:tcPr>
            <w:tcW w:w="776" w:type="pct"/>
            <w:tcBorders>
              <w:top w:val="nil"/>
              <w:left w:val="nil"/>
              <w:bottom w:val="nil"/>
              <w:right w:val="nil"/>
            </w:tcBorders>
            <w:shd w:val="clear" w:color="auto" w:fill="auto"/>
            <w:noWrap/>
            <w:vAlign w:val="bottom"/>
            <w:hideMark/>
          </w:tcPr>
          <w:p w14:paraId="22469E04"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434" w:type="pct"/>
            <w:tcBorders>
              <w:top w:val="nil"/>
              <w:left w:val="single" w:sz="12" w:space="0" w:color="auto"/>
              <w:bottom w:val="nil"/>
              <w:right w:val="nil"/>
            </w:tcBorders>
            <w:shd w:val="clear" w:color="auto" w:fill="auto"/>
            <w:noWrap/>
            <w:vAlign w:val="bottom"/>
            <w:hideMark/>
          </w:tcPr>
          <w:p w14:paraId="0A28BC39"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113</w:t>
            </w:r>
          </w:p>
        </w:tc>
        <w:tc>
          <w:tcPr>
            <w:tcW w:w="692" w:type="pct"/>
            <w:gridSpan w:val="2"/>
            <w:tcBorders>
              <w:top w:val="nil"/>
              <w:left w:val="single" w:sz="4" w:space="0" w:color="auto"/>
              <w:bottom w:val="nil"/>
              <w:right w:val="single" w:sz="4" w:space="0" w:color="auto"/>
            </w:tcBorders>
            <w:shd w:val="clear" w:color="auto" w:fill="auto"/>
            <w:noWrap/>
            <w:vAlign w:val="bottom"/>
            <w:hideMark/>
          </w:tcPr>
          <w:p w14:paraId="57C99618"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1.61 (</w:t>
            </w:r>
            <w:r>
              <w:rPr>
                <w:rFonts w:ascii="Calibri" w:eastAsia="Times New Roman" w:hAnsi="Calibri" w:cs="Times New Roman"/>
                <w:color w:val="000000"/>
                <w:sz w:val="18"/>
                <w:szCs w:val="18"/>
                <w:lang w:eastAsia="ja-JP"/>
              </w:rPr>
              <w:t>1.27–1.98</w:t>
            </w:r>
            <w:r w:rsidRPr="00055DCE">
              <w:rPr>
                <w:rFonts w:ascii="Calibri" w:eastAsia="Times New Roman" w:hAnsi="Calibri" w:cs="Times New Roman"/>
                <w:color w:val="000000"/>
                <w:sz w:val="18"/>
                <w:szCs w:val="18"/>
                <w:lang w:eastAsia="ja-JP"/>
              </w:rPr>
              <w:t>)</w:t>
            </w:r>
          </w:p>
        </w:tc>
        <w:tc>
          <w:tcPr>
            <w:tcW w:w="703" w:type="pct"/>
            <w:tcBorders>
              <w:top w:val="nil"/>
              <w:left w:val="nil"/>
              <w:bottom w:val="nil"/>
              <w:right w:val="single" w:sz="12" w:space="0" w:color="auto"/>
            </w:tcBorders>
            <w:shd w:val="clear" w:color="auto" w:fill="auto"/>
            <w:noWrap/>
            <w:vAlign w:val="bottom"/>
            <w:hideMark/>
          </w:tcPr>
          <w:p w14:paraId="6B900A2E"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531" w:type="pct"/>
            <w:tcBorders>
              <w:top w:val="nil"/>
              <w:left w:val="nil"/>
              <w:bottom w:val="nil"/>
              <w:right w:val="single" w:sz="12" w:space="0" w:color="auto"/>
            </w:tcBorders>
            <w:shd w:val="clear" w:color="auto" w:fill="auto"/>
            <w:vAlign w:val="bottom"/>
            <w:hideMark/>
          </w:tcPr>
          <w:p w14:paraId="0FE38365" w14:textId="77777777" w:rsidR="002725CD" w:rsidRPr="00055DCE" w:rsidRDefault="002725CD" w:rsidP="00FB4565">
            <w:pPr>
              <w:spacing w:after="0" w:line="240" w:lineRule="auto"/>
              <w:jc w:val="center"/>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0.956</w:t>
            </w:r>
          </w:p>
        </w:tc>
      </w:tr>
      <w:tr w:rsidR="002725CD" w:rsidRPr="00A21DCF" w14:paraId="0F2107EF" w14:textId="77777777" w:rsidTr="00FB4565">
        <w:trPr>
          <w:trHeight w:val="320"/>
        </w:trPr>
        <w:tc>
          <w:tcPr>
            <w:tcW w:w="932" w:type="pct"/>
            <w:tcBorders>
              <w:top w:val="nil"/>
              <w:left w:val="single" w:sz="12" w:space="0" w:color="auto"/>
              <w:bottom w:val="nil"/>
              <w:right w:val="nil"/>
            </w:tcBorders>
            <w:shd w:val="clear" w:color="auto" w:fill="auto"/>
            <w:noWrap/>
            <w:vAlign w:val="bottom"/>
            <w:hideMark/>
          </w:tcPr>
          <w:p w14:paraId="45BCCBBD" w14:textId="77777777" w:rsidR="002725CD" w:rsidRPr="00EB0A52" w:rsidRDefault="002725CD" w:rsidP="00FB4565">
            <w:pPr>
              <w:spacing w:after="0" w:line="240" w:lineRule="auto"/>
              <w:rPr>
                <w:rFonts w:ascii="Calibri" w:eastAsia="Times New Roman" w:hAnsi="Calibri" w:cs="Times New Roman"/>
                <w:color w:val="000000"/>
                <w:szCs w:val="18"/>
                <w:lang w:eastAsia="ja-JP"/>
              </w:rPr>
            </w:pPr>
            <w:r w:rsidRPr="00EB0A52">
              <w:rPr>
                <w:rFonts w:ascii="Calibri" w:eastAsia="Times New Roman" w:hAnsi="Calibri" w:cs="Times New Roman"/>
                <w:color w:val="000000"/>
                <w:szCs w:val="18"/>
                <w:lang w:eastAsia="ja-JP"/>
              </w:rPr>
              <w:t>H2RA Only</w:t>
            </w:r>
          </w:p>
        </w:tc>
        <w:tc>
          <w:tcPr>
            <w:tcW w:w="240" w:type="pct"/>
            <w:tcBorders>
              <w:top w:val="nil"/>
              <w:left w:val="single" w:sz="12" w:space="0" w:color="auto"/>
              <w:bottom w:val="nil"/>
              <w:right w:val="nil"/>
            </w:tcBorders>
            <w:shd w:val="clear" w:color="auto" w:fill="auto"/>
            <w:noWrap/>
            <w:vAlign w:val="bottom"/>
            <w:hideMark/>
          </w:tcPr>
          <w:p w14:paraId="76E0F4A3"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39</w:t>
            </w:r>
          </w:p>
        </w:tc>
        <w:tc>
          <w:tcPr>
            <w:tcW w:w="692" w:type="pct"/>
            <w:tcBorders>
              <w:top w:val="nil"/>
              <w:left w:val="single" w:sz="4" w:space="0" w:color="auto"/>
              <w:bottom w:val="nil"/>
              <w:right w:val="single" w:sz="4" w:space="0" w:color="auto"/>
            </w:tcBorders>
            <w:shd w:val="clear" w:color="auto" w:fill="auto"/>
            <w:noWrap/>
            <w:vAlign w:val="bottom"/>
            <w:hideMark/>
          </w:tcPr>
          <w:p w14:paraId="2F160F65"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776" w:type="pct"/>
            <w:tcBorders>
              <w:top w:val="nil"/>
              <w:left w:val="nil"/>
              <w:bottom w:val="nil"/>
              <w:right w:val="nil"/>
            </w:tcBorders>
            <w:shd w:val="clear" w:color="auto" w:fill="auto"/>
            <w:noWrap/>
            <w:vAlign w:val="bottom"/>
            <w:hideMark/>
          </w:tcPr>
          <w:p w14:paraId="7C596B08"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5.11 (</w:t>
            </w:r>
            <w:r>
              <w:rPr>
                <w:rFonts w:ascii="Calibri" w:eastAsia="Times New Roman" w:hAnsi="Calibri" w:cs="Times New Roman"/>
                <w:color w:val="000000"/>
                <w:sz w:val="18"/>
                <w:szCs w:val="18"/>
                <w:lang w:eastAsia="ja-JP"/>
              </w:rPr>
              <w:t>3.46–7.00</w:t>
            </w:r>
            <w:r w:rsidRPr="00055DCE">
              <w:rPr>
                <w:rFonts w:ascii="Calibri" w:eastAsia="Times New Roman" w:hAnsi="Calibri" w:cs="Times New Roman"/>
                <w:color w:val="000000"/>
                <w:sz w:val="18"/>
                <w:szCs w:val="18"/>
                <w:lang w:eastAsia="ja-JP"/>
              </w:rPr>
              <w:t>)</w:t>
            </w:r>
          </w:p>
        </w:tc>
        <w:tc>
          <w:tcPr>
            <w:tcW w:w="434" w:type="pct"/>
            <w:tcBorders>
              <w:top w:val="nil"/>
              <w:left w:val="single" w:sz="12" w:space="0" w:color="auto"/>
              <w:bottom w:val="nil"/>
              <w:right w:val="nil"/>
            </w:tcBorders>
            <w:shd w:val="clear" w:color="auto" w:fill="auto"/>
            <w:noWrap/>
            <w:vAlign w:val="bottom"/>
            <w:hideMark/>
          </w:tcPr>
          <w:p w14:paraId="0D6C0DD7"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9</w:t>
            </w:r>
          </w:p>
        </w:tc>
        <w:tc>
          <w:tcPr>
            <w:tcW w:w="692" w:type="pct"/>
            <w:gridSpan w:val="2"/>
            <w:tcBorders>
              <w:top w:val="nil"/>
              <w:left w:val="single" w:sz="4" w:space="0" w:color="auto"/>
              <w:bottom w:val="nil"/>
              <w:right w:val="single" w:sz="4" w:space="0" w:color="auto"/>
            </w:tcBorders>
            <w:shd w:val="clear" w:color="auto" w:fill="auto"/>
            <w:noWrap/>
            <w:vAlign w:val="bottom"/>
            <w:hideMark/>
          </w:tcPr>
          <w:p w14:paraId="055BB55E"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w:t>
            </w:r>
          </w:p>
        </w:tc>
        <w:tc>
          <w:tcPr>
            <w:tcW w:w="703" w:type="pct"/>
            <w:tcBorders>
              <w:top w:val="nil"/>
              <w:left w:val="nil"/>
              <w:bottom w:val="nil"/>
              <w:right w:val="single" w:sz="12" w:space="0" w:color="auto"/>
            </w:tcBorders>
            <w:shd w:val="clear" w:color="auto" w:fill="auto"/>
            <w:noWrap/>
            <w:vAlign w:val="bottom"/>
            <w:hideMark/>
          </w:tcPr>
          <w:p w14:paraId="2A499CD5"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2.75 (</w:t>
            </w:r>
            <w:r>
              <w:rPr>
                <w:rFonts w:ascii="Calibri" w:eastAsia="Times New Roman" w:hAnsi="Calibri" w:cs="Times New Roman"/>
                <w:color w:val="000000"/>
                <w:sz w:val="18"/>
                <w:szCs w:val="18"/>
                <w:lang w:eastAsia="ja-JP"/>
              </w:rPr>
              <w:t>2.31–4.53</w:t>
            </w:r>
            <w:r w:rsidRPr="00055DCE">
              <w:rPr>
                <w:rFonts w:ascii="Calibri" w:eastAsia="Times New Roman" w:hAnsi="Calibri" w:cs="Times New Roman"/>
                <w:color w:val="000000"/>
                <w:sz w:val="18"/>
                <w:szCs w:val="18"/>
                <w:lang w:eastAsia="ja-JP"/>
              </w:rPr>
              <w:t>)</w:t>
            </w:r>
          </w:p>
        </w:tc>
        <w:tc>
          <w:tcPr>
            <w:tcW w:w="531" w:type="pct"/>
            <w:tcBorders>
              <w:top w:val="nil"/>
              <w:left w:val="nil"/>
              <w:bottom w:val="nil"/>
              <w:right w:val="single" w:sz="12" w:space="0" w:color="auto"/>
            </w:tcBorders>
            <w:shd w:val="clear" w:color="auto" w:fill="auto"/>
            <w:vAlign w:val="bottom"/>
            <w:hideMark/>
          </w:tcPr>
          <w:p w14:paraId="65126E5E" w14:textId="77777777" w:rsidR="002725CD" w:rsidRPr="00055DCE" w:rsidRDefault="002725CD" w:rsidP="00FB4565">
            <w:pPr>
              <w:spacing w:after="0" w:line="240" w:lineRule="auto"/>
              <w:jc w:val="center"/>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 xml:space="preserve">  </w:t>
            </w:r>
            <w:r w:rsidRPr="00055DCE">
              <w:rPr>
                <w:rFonts w:ascii="Calibri" w:eastAsia="Times New Roman" w:hAnsi="Calibri" w:cs="Times New Roman"/>
                <w:b/>
                <w:bCs/>
                <w:color w:val="000000"/>
                <w:sz w:val="18"/>
                <w:szCs w:val="18"/>
                <w:lang w:eastAsia="ja-JP"/>
              </w:rPr>
              <w:t>0.035*</w:t>
            </w:r>
          </w:p>
        </w:tc>
      </w:tr>
      <w:tr w:rsidR="002725CD" w:rsidRPr="00A21DCF" w14:paraId="6D43F2CF" w14:textId="77777777" w:rsidTr="00FB4565">
        <w:trPr>
          <w:trHeight w:val="340"/>
        </w:trPr>
        <w:tc>
          <w:tcPr>
            <w:tcW w:w="932" w:type="pct"/>
            <w:tcBorders>
              <w:top w:val="nil"/>
              <w:left w:val="single" w:sz="12" w:space="0" w:color="auto"/>
              <w:bottom w:val="single" w:sz="12" w:space="0" w:color="auto"/>
              <w:right w:val="nil"/>
            </w:tcBorders>
            <w:shd w:val="clear" w:color="auto" w:fill="auto"/>
            <w:noWrap/>
            <w:vAlign w:val="bottom"/>
            <w:hideMark/>
          </w:tcPr>
          <w:p w14:paraId="013A1200" w14:textId="77777777" w:rsidR="002725CD" w:rsidRPr="00EB0A52" w:rsidRDefault="002725CD" w:rsidP="00FB4565">
            <w:pPr>
              <w:spacing w:after="0" w:line="240" w:lineRule="auto"/>
              <w:rPr>
                <w:rFonts w:ascii="Calibri" w:eastAsia="Times New Roman" w:hAnsi="Calibri" w:cs="Times New Roman"/>
                <w:color w:val="000000"/>
                <w:szCs w:val="18"/>
                <w:lang w:eastAsia="ja-JP"/>
              </w:rPr>
            </w:pPr>
            <w:r w:rsidRPr="00EB0A52">
              <w:rPr>
                <w:rFonts w:ascii="Calibri" w:eastAsia="Times New Roman" w:hAnsi="Calibri" w:cs="Times New Roman"/>
                <w:color w:val="000000"/>
                <w:szCs w:val="18"/>
                <w:lang w:eastAsia="ja-JP"/>
              </w:rPr>
              <w:t>Both PPI and H2RA</w:t>
            </w:r>
          </w:p>
        </w:tc>
        <w:tc>
          <w:tcPr>
            <w:tcW w:w="240" w:type="pct"/>
            <w:tcBorders>
              <w:top w:val="nil"/>
              <w:left w:val="single" w:sz="12" w:space="0" w:color="auto"/>
              <w:bottom w:val="single" w:sz="12" w:space="0" w:color="auto"/>
              <w:right w:val="nil"/>
            </w:tcBorders>
            <w:shd w:val="clear" w:color="auto" w:fill="auto"/>
            <w:noWrap/>
            <w:vAlign w:val="bottom"/>
            <w:hideMark/>
          </w:tcPr>
          <w:p w14:paraId="2BD149FE"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87</w:t>
            </w:r>
          </w:p>
        </w:tc>
        <w:tc>
          <w:tcPr>
            <w:tcW w:w="692" w:type="pct"/>
            <w:tcBorders>
              <w:top w:val="nil"/>
              <w:left w:val="single" w:sz="4" w:space="0" w:color="auto"/>
              <w:bottom w:val="single" w:sz="12" w:space="0" w:color="auto"/>
              <w:right w:val="single" w:sz="4" w:space="0" w:color="auto"/>
            </w:tcBorders>
            <w:shd w:val="clear" w:color="auto" w:fill="auto"/>
            <w:noWrap/>
            <w:vAlign w:val="bottom"/>
            <w:hideMark/>
          </w:tcPr>
          <w:p w14:paraId="17104D66"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1.72 (</w:t>
            </w:r>
            <w:r>
              <w:rPr>
                <w:rFonts w:ascii="Calibri" w:eastAsia="Times New Roman" w:hAnsi="Calibri" w:cs="Times New Roman"/>
                <w:color w:val="000000"/>
                <w:sz w:val="18"/>
                <w:szCs w:val="18"/>
                <w:lang w:eastAsia="ja-JP"/>
              </w:rPr>
              <w:t>1.21–2.00</w:t>
            </w:r>
            <w:r w:rsidRPr="00055DCE">
              <w:rPr>
                <w:rFonts w:ascii="Calibri" w:eastAsia="Times New Roman" w:hAnsi="Calibri" w:cs="Times New Roman"/>
                <w:color w:val="000000"/>
                <w:sz w:val="18"/>
                <w:szCs w:val="18"/>
                <w:lang w:eastAsia="ja-JP"/>
              </w:rPr>
              <w:t>)</w:t>
            </w:r>
          </w:p>
        </w:tc>
        <w:tc>
          <w:tcPr>
            <w:tcW w:w="776" w:type="pct"/>
            <w:tcBorders>
              <w:top w:val="nil"/>
              <w:left w:val="nil"/>
              <w:bottom w:val="single" w:sz="12" w:space="0" w:color="auto"/>
              <w:right w:val="nil"/>
            </w:tcBorders>
            <w:shd w:val="clear" w:color="auto" w:fill="auto"/>
            <w:noWrap/>
            <w:vAlign w:val="bottom"/>
            <w:hideMark/>
          </w:tcPr>
          <w:p w14:paraId="677602E7"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3.86 (</w:t>
            </w:r>
            <w:r>
              <w:rPr>
                <w:rFonts w:ascii="Calibri" w:eastAsia="Times New Roman" w:hAnsi="Calibri" w:cs="Times New Roman"/>
                <w:color w:val="000000"/>
                <w:sz w:val="18"/>
                <w:szCs w:val="18"/>
                <w:lang w:eastAsia="ja-JP"/>
              </w:rPr>
              <w:t>2.94–5.15</w:t>
            </w:r>
            <w:r w:rsidRPr="00055DCE">
              <w:rPr>
                <w:rFonts w:ascii="Calibri" w:eastAsia="Times New Roman" w:hAnsi="Calibri" w:cs="Times New Roman"/>
                <w:color w:val="000000"/>
                <w:sz w:val="18"/>
                <w:szCs w:val="18"/>
                <w:lang w:eastAsia="ja-JP"/>
              </w:rPr>
              <w:t>)</w:t>
            </w:r>
          </w:p>
        </w:tc>
        <w:tc>
          <w:tcPr>
            <w:tcW w:w="434" w:type="pct"/>
            <w:tcBorders>
              <w:top w:val="nil"/>
              <w:left w:val="single" w:sz="12" w:space="0" w:color="auto"/>
              <w:bottom w:val="single" w:sz="12" w:space="0" w:color="auto"/>
              <w:right w:val="nil"/>
            </w:tcBorders>
            <w:shd w:val="clear" w:color="auto" w:fill="auto"/>
            <w:noWrap/>
            <w:vAlign w:val="bottom"/>
            <w:hideMark/>
          </w:tcPr>
          <w:p w14:paraId="355A4CFF"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78</w:t>
            </w:r>
          </w:p>
        </w:tc>
        <w:tc>
          <w:tcPr>
            <w:tcW w:w="692" w:type="pct"/>
            <w:gridSpan w:val="2"/>
            <w:tcBorders>
              <w:top w:val="nil"/>
              <w:left w:val="single" w:sz="4" w:space="0" w:color="auto"/>
              <w:bottom w:val="single" w:sz="12" w:space="0" w:color="auto"/>
              <w:right w:val="single" w:sz="4" w:space="0" w:color="auto"/>
            </w:tcBorders>
            <w:shd w:val="clear" w:color="auto" w:fill="auto"/>
            <w:noWrap/>
            <w:vAlign w:val="bottom"/>
            <w:hideMark/>
          </w:tcPr>
          <w:p w14:paraId="6448922D"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1.81 (</w:t>
            </w:r>
            <w:r>
              <w:rPr>
                <w:rFonts w:ascii="Calibri" w:eastAsia="Times New Roman" w:hAnsi="Calibri" w:cs="Times New Roman"/>
                <w:color w:val="000000"/>
                <w:sz w:val="18"/>
                <w:szCs w:val="18"/>
                <w:lang w:eastAsia="ja-JP"/>
              </w:rPr>
              <w:t>1.58–2.10</w:t>
            </w:r>
            <w:r w:rsidRPr="00055DCE">
              <w:rPr>
                <w:rFonts w:ascii="Calibri" w:eastAsia="Times New Roman" w:hAnsi="Calibri" w:cs="Times New Roman"/>
                <w:color w:val="000000"/>
                <w:sz w:val="18"/>
                <w:szCs w:val="18"/>
                <w:lang w:eastAsia="ja-JP"/>
              </w:rPr>
              <w:t>)</w:t>
            </w:r>
          </w:p>
        </w:tc>
        <w:tc>
          <w:tcPr>
            <w:tcW w:w="703" w:type="pct"/>
            <w:tcBorders>
              <w:top w:val="nil"/>
              <w:left w:val="nil"/>
              <w:bottom w:val="single" w:sz="12" w:space="0" w:color="auto"/>
              <w:right w:val="single" w:sz="12" w:space="0" w:color="auto"/>
            </w:tcBorders>
            <w:shd w:val="clear" w:color="auto" w:fill="auto"/>
            <w:noWrap/>
            <w:vAlign w:val="bottom"/>
            <w:hideMark/>
          </w:tcPr>
          <w:p w14:paraId="4F1CA363" w14:textId="77777777" w:rsidR="002725CD" w:rsidRPr="00055DCE" w:rsidRDefault="002725CD" w:rsidP="00FB4565">
            <w:pPr>
              <w:spacing w:after="0" w:line="240" w:lineRule="auto"/>
              <w:jc w:val="right"/>
              <w:rPr>
                <w:rFonts w:ascii="Calibri" w:eastAsia="Times New Roman" w:hAnsi="Calibri" w:cs="Times New Roman"/>
                <w:color w:val="000000"/>
                <w:sz w:val="18"/>
                <w:szCs w:val="18"/>
                <w:lang w:eastAsia="ja-JP"/>
              </w:rPr>
            </w:pPr>
            <w:r w:rsidRPr="00055DCE">
              <w:rPr>
                <w:rFonts w:ascii="Calibri" w:eastAsia="Times New Roman" w:hAnsi="Calibri" w:cs="Times New Roman"/>
                <w:color w:val="000000"/>
                <w:sz w:val="18"/>
                <w:szCs w:val="18"/>
                <w:lang w:eastAsia="ja-JP"/>
              </w:rPr>
              <w:t>4.08 (</w:t>
            </w:r>
            <w:r>
              <w:rPr>
                <w:rFonts w:ascii="Calibri" w:eastAsia="Times New Roman" w:hAnsi="Calibri" w:cs="Times New Roman"/>
                <w:color w:val="000000"/>
                <w:sz w:val="18"/>
                <w:szCs w:val="18"/>
                <w:lang w:eastAsia="ja-JP"/>
              </w:rPr>
              <w:t>3.09–5.63</w:t>
            </w:r>
            <w:r w:rsidRPr="00055DCE">
              <w:rPr>
                <w:rFonts w:ascii="Calibri" w:eastAsia="Times New Roman" w:hAnsi="Calibri" w:cs="Times New Roman"/>
                <w:color w:val="000000"/>
                <w:sz w:val="18"/>
                <w:szCs w:val="18"/>
                <w:lang w:eastAsia="ja-JP"/>
              </w:rPr>
              <w:t>)</w:t>
            </w:r>
          </w:p>
        </w:tc>
        <w:tc>
          <w:tcPr>
            <w:tcW w:w="531" w:type="pct"/>
            <w:tcBorders>
              <w:top w:val="nil"/>
              <w:left w:val="nil"/>
              <w:bottom w:val="single" w:sz="12" w:space="0" w:color="auto"/>
              <w:right w:val="single" w:sz="12" w:space="0" w:color="auto"/>
            </w:tcBorders>
            <w:shd w:val="clear" w:color="auto" w:fill="auto"/>
            <w:vAlign w:val="bottom"/>
            <w:hideMark/>
          </w:tcPr>
          <w:p w14:paraId="18B4DB0B" w14:textId="77777777" w:rsidR="002725CD" w:rsidRPr="00055DCE" w:rsidRDefault="002725CD" w:rsidP="00FB4565">
            <w:pPr>
              <w:spacing w:after="0" w:line="240" w:lineRule="auto"/>
              <w:jc w:val="center"/>
              <w:rPr>
                <w:rFonts w:ascii="Calibri" w:eastAsia="Times New Roman" w:hAnsi="Calibri" w:cs="Times New Roman"/>
                <w:color w:val="000000"/>
                <w:sz w:val="18"/>
                <w:szCs w:val="18"/>
                <w:lang w:eastAsia="ja-JP"/>
              </w:rPr>
            </w:pPr>
            <w:r>
              <w:rPr>
                <w:rFonts w:ascii="Calibri" w:eastAsia="Times New Roman" w:hAnsi="Calibri" w:cs="Times New Roman"/>
                <w:color w:val="000000"/>
                <w:sz w:val="18"/>
                <w:szCs w:val="18"/>
                <w:lang w:eastAsia="ja-JP"/>
              </w:rPr>
              <w:t>0.054,</w:t>
            </w:r>
            <w:r w:rsidRPr="00055DCE">
              <w:rPr>
                <w:rFonts w:ascii="Calibri" w:eastAsia="Times New Roman" w:hAnsi="Calibri" w:cs="Times New Roman"/>
                <w:color w:val="000000"/>
                <w:sz w:val="18"/>
                <w:szCs w:val="18"/>
                <w:lang w:eastAsia="ja-JP"/>
              </w:rPr>
              <w:t>0.164</w:t>
            </w:r>
          </w:p>
        </w:tc>
      </w:tr>
    </w:tbl>
    <w:p w14:paraId="7A1B9C38" w14:textId="77777777" w:rsidR="002725CD" w:rsidRPr="002725CD" w:rsidRDefault="002725CD" w:rsidP="002725CD"/>
    <w:p w14:paraId="717C3F23" w14:textId="77777777" w:rsidR="002725CD" w:rsidRPr="00EF1FF1" w:rsidRDefault="002725CD" w:rsidP="002725CD">
      <w:pPr>
        <w:rPr>
          <w:rFonts w:cs="Arial"/>
          <w:b/>
        </w:rPr>
      </w:pPr>
    </w:p>
    <w:p w14:paraId="75258409" w14:textId="77777777" w:rsidR="00C6147E" w:rsidRDefault="00C6147E"/>
    <w:sectPr w:rsidR="00C61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CD"/>
    <w:rsid w:val="002725CD"/>
    <w:rsid w:val="00C6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A00D"/>
  <w15:chartTrackingRefBased/>
  <w15:docId w15:val="{04A73DEF-F455-4EB9-ABDC-4C9DABF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725CD"/>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7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Peeples</dc:creator>
  <cp:keywords/>
  <dc:description/>
  <cp:lastModifiedBy>Justin Peeples</cp:lastModifiedBy>
  <cp:revision>1</cp:revision>
  <dcterms:created xsi:type="dcterms:W3CDTF">2019-03-19T23:27:00Z</dcterms:created>
  <dcterms:modified xsi:type="dcterms:W3CDTF">2019-03-19T23:37:00Z</dcterms:modified>
</cp:coreProperties>
</file>