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6D1A" w14:textId="63D7720C" w:rsidR="007B7D84" w:rsidRPr="00C205FC" w:rsidRDefault="005A45C1" w:rsidP="005A45C1">
      <w:pPr>
        <w:spacing w:after="0" w:line="240" w:lineRule="auto"/>
        <w:rPr>
          <w:rFonts w:ascii="Arial" w:eastAsia="Times" w:hAnsi="Arial" w:cs="Arial"/>
          <w:b/>
          <w:bCs/>
          <w:iCs/>
          <w:color w:val="212121"/>
        </w:rPr>
      </w:pPr>
      <w:r w:rsidRPr="00C205FC">
        <w:rPr>
          <w:rFonts w:ascii="Arial" w:eastAsia="Times" w:hAnsi="Arial" w:cs="Arial"/>
          <w:b/>
          <w:bCs/>
          <w:iCs/>
          <w:color w:val="212121"/>
        </w:rPr>
        <w:t xml:space="preserve">A) </w:t>
      </w:r>
      <w:r w:rsidR="007B7D84" w:rsidRPr="00C205FC">
        <w:rPr>
          <w:rFonts w:ascii="Arial" w:eastAsia="Times" w:hAnsi="Arial" w:cs="Arial"/>
          <w:b/>
          <w:bCs/>
          <w:iCs/>
          <w:color w:val="212121"/>
        </w:rPr>
        <w:t xml:space="preserve">Sub-analysis </w:t>
      </w:r>
      <w:r w:rsidR="00B444A8" w:rsidRPr="00C205FC">
        <w:rPr>
          <w:rFonts w:ascii="Arial" w:eastAsia="Times" w:hAnsi="Arial" w:cs="Arial"/>
          <w:b/>
          <w:bCs/>
          <w:iCs/>
          <w:color w:val="212121"/>
        </w:rPr>
        <w:t xml:space="preserve">to determine the effect of including patients who received a PPI other than </w:t>
      </w:r>
      <w:r w:rsidR="007B7D84" w:rsidRPr="00C205FC">
        <w:rPr>
          <w:rFonts w:ascii="Arial" w:eastAsia="Times" w:hAnsi="Arial" w:cs="Arial"/>
          <w:b/>
          <w:bCs/>
          <w:iCs/>
          <w:color w:val="212121"/>
        </w:rPr>
        <w:t>esomeprazole</w:t>
      </w:r>
      <w:r w:rsidR="00090335" w:rsidRPr="00C205FC">
        <w:rPr>
          <w:rFonts w:ascii="Arial" w:hAnsi="Arial" w:cs="Arial"/>
          <w:b/>
          <w:bCs/>
        </w:rPr>
        <w:t xml:space="preserve"> </w:t>
      </w:r>
      <w:r w:rsidR="00090335" w:rsidRPr="00C205FC">
        <w:rPr>
          <w:rFonts w:ascii="Arial" w:eastAsia="Times" w:hAnsi="Arial" w:cs="Arial"/>
          <w:b/>
          <w:bCs/>
          <w:iCs/>
          <w:color w:val="212121"/>
        </w:rPr>
        <w:t>on outcome of PPI therapy for esophageal eosinophilia</w:t>
      </w:r>
    </w:p>
    <w:p w14:paraId="29550DAF" w14:textId="77777777" w:rsidR="007B7D84" w:rsidRPr="007B7D84" w:rsidRDefault="007B7D84" w:rsidP="007B7D84">
      <w:pPr>
        <w:spacing w:after="0" w:line="240" w:lineRule="auto"/>
        <w:rPr>
          <w:rFonts w:ascii="Arial" w:eastAsia="Times" w:hAnsi="Arial" w:cs="Arial"/>
          <w:iCs/>
          <w:color w:val="212121"/>
        </w:rPr>
      </w:pPr>
    </w:p>
    <w:p w14:paraId="0B50D621" w14:textId="7DA038DF" w:rsidR="007B7D84" w:rsidRPr="007B7D84" w:rsidRDefault="007B7D84" w:rsidP="00682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Not all patients included in the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>analysis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 received esomeprazole: 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3 children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were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treated with lansoprazole (doses: 1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71 mg/kg, </w:t>
      </w:r>
      <w:r w:rsidR="00C205FC" w:rsidRPr="00C205FC">
        <w:rPr>
          <w:rFonts w:ascii="Arial" w:eastAsia="Times New Roman" w:hAnsi="Arial" w:cs="Arial"/>
          <w:color w:val="000000" w:themeColor="text1"/>
          <w:lang w:val="en-GB"/>
        </w:rPr>
        <w:t>PPI-nonresponsive EoE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; 1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55 mg/kg, </w:t>
      </w:r>
      <w:r w:rsidR="00C205FC">
        <w:rPr>
          <w:rFonts w:ascii="Arial" w:eastAsia="Times New Roman" w:hAnsi="Arial" w:cs="Arial"/>
          <w:color w:val="000000" w:themeColor="text1"/>
          <w:lang w:val="en-GB"/>
        </w:rPr>
        <w:t>complete PPI-REE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; and 2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15 mg/kg/day, </w:t>
      </w:r>
      <w:r w:rsidR="00C205FC">
        <w:rPr>
          <w:rFonts w:ascii="Arial" w:eastAsia="Times New Roman" w:hAnsi="Arial" w:cs="Arial"/>
          <w:color w:val="000000" w:themeColor="text1"/>
          <w:lang w:val="en-GB"/>
        </w:rPr>
        <w:t>PPI-REE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) and one child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was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treated with omeprazole (1.69 mg/kg/day, </w:t>
      </w:r>
      <w:r w:rsidR="00C205FC" w:rsidRPr="00C205FC">
        <w:rPr>
          <w:rFonts w:ascii="Arial" w:eastAsia="Times New Roman" w:hAnsi="Arial" w:cs="Arial"/>
          <w:color w:val="000000" w:themeColor="text1"/>
          <w:lang w:val="en-GB"/>
        </w:rPr>
        <w:t>complete PPI-REE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).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 Due to known differences in pharmacokinetics / pharmacogenetics </w:t>
      </w:r>
      <w:r w:rsidR="00E55084">
        <w:rPr>
          <w:rFonts w:ascii="Arial" w:eastAsia="Times New Roman" w:hAnsi="Arial" w:cs="Arial"/>
          <w:color w:val="000000" w:themeColor="text1"/>
          <w:lang w:val="en-GB"/>
        </w:rPr>
        <w:t xml:space="preserve">and molecular weights 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>between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 different PPIs,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equal weight doses 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 xml:space="preserve">of different PPIs </w:t>
      </w:r>
      <w:r w:rsidR="00103B3D" w:rsidRPr="00D4614A">
        <w:rPr>
          <w:rFonts w:ascii="Arial" w:eastAsia="Times New Roman" w:hAnsi="Arial" w:cs="Arial"/>
          <w:color w:val="000000" w:themeColor="text1"/>
          <w:lang w:val="en-GB"/>
        </w:rPr>
        <w:t xml:space="preserve">have </w:t>
      </w:r>
      <w:r w:rsidR="0038732F" w:rsidRPr="00D4614A">
        <w:rPr>
          <w:rFonts w:ascii="Arial" w:eastAsia="Times New Roman" w:hAnsi="Arial" w:cs="Arial"/>
          <w:color w:val="000000" w:themeColor="text1"/>
          <w:lang w:val="en-GB"/>
        </w:rPr>
        <w:t>unequal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 efficacies.  </w:t>
      </w:r>
      <w:proofErr w:type="spellStart"/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>Kirchheiner</w:t>
      </w:r>
      <w:proofErr w:type="spellEnd"/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>, et al.</w: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begin">
          <w:fldData xml:space="preserve">PEVuZE5vdGU+PENpdGU+PEF1dGhvcj5LaXJjaGhlaW5lcjwvQXV0aG9yPjxZZWFyPjIwMDk8L1ll
YXI+PFJlY051bT41NzwvUmVjTnVtPjxEaXNwbGF5VGV4dD48c3R5bGUgZmFjZT0ic3VwZXJzY3Jp
cHQiPjE8L3N0eWxlPjwvRGlzcGxheVRleHQ+PHJlY29yZD48cmVjLW51bWJlcj41NzwvcmVjLW51
bWJlcj48Zm9yZWlnbi1rZXlzPjxrZXkgYXBwPSJFTiIgZGItaWQ9InJzZndzZDJ4bWZ3ZXd0ZWVl
OWFwcnA1M3IwdnQyYXh4ZGVyeCIgdGltZXN0YW1wPSIxNTYyNzA0OTg4Ij41Nzwva2V5PjwvZm9y
ZWlnbi1rZXlzPjxyZWYtdHlwZSBuYW1lPSJKb3VybmFsIEFydGljbGUiPjE3PC9yZWYtdHlwZT48
Y29udHJpYnV0b3JzPjxhdXRob3JzPjxhdXRob3I+S2lyY2hoZWluZXIsIEouPC9hdXRob3I+PGF1
dGhvcj5HbGF0dCwgUy48L2F1dGhvcj48YXV0aG9yPkZ1aHIsIFUuPC9hdXRob3I+PGF1dGhvcj5L
bG90eiwgVS48L2F1dGhvcj48YXV0aG9yPk1laW5la2UsIEkuPC9hdXRob3I+PGF1dGhvcj5TZXVm
ZmVybGVpbiwgVC48L2F1dGhvcj48YXV0aG9yPkJyb2NrbW9sbGVyLCBKLjwvYXV0aG9yPjwvYXV0
aG9ycz48L2NvbnRyaWJ1dG9ycz48YXV0aC1hZGRyZXNzPkluc3RpdHV0ZSBvZiBQaGFybWFjb2xv
Z3kgb2YgTmF0dXJhbCBQcm9kdWN0cyBhbmQgQ2xpbmljYWwgUGhhcm1hY29sb2d5LCBVbml2ZXJz
aXR5IG9mIFVsbSwgSGVsbWhvbHR6c3RyLiAyMCwgODkwODEgVWxtLCBHZXJtYW55LiBqdWxpYS5r
aXJjaGhlaW5lckB1bmktdWxtLmRlPC9hdXRoLWFkZHJlc3M+PHRpdGxlcz48dGl0bGU+UmVsYXRp
dmUgcG90ZW5jeSBvZiBwcm90b24tcHVtcCBpbmhpYml0b3JzLWNvbXBhcmlzb24gb2YgZWZmZWN0
cyBvbiBpbnRyYWdhc3RyaWMgcEg8L3RpdGxlPjxzZWNvbmRhcnktdGl0bGU+RXVyIEogQ2xpbiBQ
aGFybWFjb2w8L3NlY29uZGFyeS10aXRsZT48L3RpdGxlcz48cGVyaW9kaWNhbD48ZnVsbC10aXRs
ZT5FdXIgSiBDbGluIFBoYXJtYWNvbDwvZnVsbC10aXRsZT48L3BlcmlvZGljYWw+PHBhZ2VzPjE5
LTMxPC9wYWdlcz48dm9sdW1lPjY1PC92b2x1bWU+PG51bWJlcj4xPC9udW1iZXI+PGVkaXRpb24+
MjAwOC8xMC8xODwvZWRpdGlvbj48a2V5d29yZHM+PGtleXdvcmQ+RG9zZS1SZXNwb25zZSBSZWxh
dGlvbnNoaXAsIERydWc8L2tleXdvcmQ+PGtleXdvcmQ+RHJ1ZyBEb3NhZ2UgQ2FsY3VsYXRpb25z
PC9rZXl3b3JkPjxrZXl3b3JkPkdhc3RyaWMgQWNpZC8qbWV0YWJvbGlzbTwva2V5d29yZD48a2V5
d29yZD5HYXN0cmljIEFjaWRpdHkgRGV0ZXJtaW5hdGlvbjwva2V5d29yZD48a2V5d29yZD5HYXN0
cmljIE11Y29zYS8qZHJ1ZyBlZmZlY3RzL21ldGFib2xpc208L2tleXdvcmQ+PGtleXdvcmQ+R2Fz
dHJvZXNvcGhhZ2VhbCBSZWZsdXgvY29tcGxpY2F0aW9ucy8qZHJ1ZyB0aGVyYXB5L21ldGFib2xp
c208L2tleXdvcmQ+PGtleXdvcmQ+SGVsaWNvYmFjdGVyIEluZmVjdGlvbnMvY29tcGxpY2F0aW9u
cy9kcnVnIHRoZXJhcHkvbWljcm9iaW9sb2d5PC9rZXl3b3JkPjxrZXl3b3JkPkhlbGljb2JhY3Rl
ciBweWxvcmk8L2tleXdvcmQ+PGtleXdvcmQ+SHVtYW5zPC9rZXl3b3JkPjxrZXl3b3JkPkh5ZHJv
Z2VuLUlvbiBDb25jZW50cmF0aW9uPC9rZXl3b3JkPjxrZXl3b3JkPk1vZGVscywgQmlvbG9naWNh
bDwva2V5d29yZD48a2V5d29yZD5QcmFjdGljZSBHdWlkZWxpbmVzIGFzIFRvcGljPC9rZXl3b3Jk
PjxrZXl3b3JkPlByb3RvbiBQdW1wIEluaGliaXRvcnMvKmFkbWluaXN0cmF0aW9uICZhbXA7IGRv
c2FnZTwva2V5d29yZD48L2tleXdvcmRzPjxkYXRlcz48eWVhcj4yMDA5PC95ZWFyPjxwdWItZGF0
ZXM+PGRhdGU+SmFuPC9kYXRlPjwvcHViLWRhdGVzPjwvZGF0ZXM+PGlzYm4+MTQzMi0xMDQxIChF
bGVjdHJvbmljKSYjeEQ7MDAzMS02OTcwIChMaW5raW5nKTwvaXNibj48YWNjZXNzaW9uLW51bT4x
ODkyNTM5MTwvYWNjZXNzaW9uLW51bT48dXJscz48cmVsYXRlZC11cmxzPjx1cmw+aHR0cHM6Ly93
d3cubmNiaS5ubG0ubmloLmdvdi9wdWJtZWQvMTg5MjUzOTE8L3VybD48L3JlbGF0ZWQtdXJscz48
L3VybHM+PGVsZWN0cm9uaWMtcmVzb3VyY2UtbnVtPjEwLjEwMDcvczAwMjI4LTAwOC0wNTc2LTU8
L2VsZWN0cm9uaWMtcmVzb3VyY2UtbnVtPjwvcmVjb3JkPjwvQ2l0ZT48L0VuZE5vdGU+
</w:fldData>
        </w:fldChar>
      </w:r>
      <w:r w:rsidR="00E55084">
        <w:rPr>
          <w:rFonts w:ascii="Arial" w:eastAsia="Times New Roman" w:hAnsi="Arial" w:cs="Arial"/>
          <w:color w:val="000000" w:themeColor="text1"/>
          <w:lang w:val="en-GB"/>
        </w:rPr>
        <w:instrText xml:space="preserve"> ADDIN EN.CITE </w:instrTex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begin">
          <w:fldData xml:space="preserve">PEVuZE5vdGU+PENpdGU+PEF1dGhvcj5LaXJjaGhlaW5lcjwvQXV0aG9yPjxZZWFyPjIwMDk8L1ll
YXI+PFJlY051bT41NzwvUmVjTnVtPjxEaXNwbGF5VGV4dD48c3R5bGUgZmFjZT0ic3VwZXJzY3Jp
cHQiPjE8L3N0eWxlPjwvRGlzcGxheVRleHQ+PHJlY29yZD48cmVjLW51bWJlcj41NzwvcmVjLW51
bWJlcj48Zm9yZWlnbi1rZXlzPjxrZXkgYXBwPSJFTiIgZGItaWQ9InJzZndzZDJ4bWZ3ZXd0ZWVl
OWFwcnA1M3IwdnQyYXh4ZGVyeCIgdGltZXN0YW1wPSIxNTYyNzA0OTg4Ij41Nzwva2V5PjwvZm9y
ZWlnbi1rZXlzPjxyZWYtdHlwZSBuYW1lPSJKb3VybmFsIEFydGljbGUiPjE3PC9yZWYtdHlwZT48
Y29udHJpYnV0b3JzPjxhdXRob3JzPjxhdXRob3I+S2lyY2hoZWluZXIsIEouPC9hdXRob3I+PGF1
dGhvcj5HbGF0dCwgUy48L2F1dGhvcj48YXV0aG9yPkZ1aHIsIFUuPC9hdXRob3I+PGF1dGhvcj5L
bG90eiwgVS48L2F1dGhvcj48YXV0aG9yPk1laW5la2UsIEkuPC9hdXRob3I+PGF1dGhvcj5TZXVm
ZmVybGVpbiwgVC48L2F1dGhvcj48YXV0aG9yPkJyb2NrbW9sbGVyLCBKLjwvYXV0aG9yPjwvYXV0
aG9ycz48L2NvbnRyaWJ1dG9ycz48YXV0aC1hZGRyZXNzPkluc3RpdHV0ZSBvZiBQaGFybWFjb2xv
Z3kgb2YgTmF0dXJhbCBQcm9kdWN0cyBhbmQgQ2xpbmljYWwgUGhhcm1hY29sb2d5LCBVbml2ZXJz
aXR5IG9mIFVsbSwgSGVsbWhvbHR6c3RyLiAyMCwgODkwODEgVWxtLCBHZXJtYW55LiBqdWxpYS5r
aXJjaGhlaW5lckB1bmktdWxtLmRlPC9hdXRoLWFkZHJlc3M+PHRpdGxlcz48dGl0bGU+UmVsYXRp
dmUgcG90ZW5jeSBvZiBwcm90b24tcHVtcCBpbmhpYml0b3JzLWNvbXBhcmlzb24gb2YgZWZmZWN0
cyBvbiBpbnRyYWdhc3RyaWMgcEg8L3RpdGxlPjxzZWNvbmRhcnktdGl0bGU+RXVyIEogQ2xpbiBQ
aGFybWFjb2w8L3NlY29uZGFyeS10aXRsZT48L3RpdGxlcz48cGVyaW9kaWNhbD48ZnVsbC10aXRs
ZT5FdXIgSiBDbGluIFBoYXJtYWNvbDwvZnVsbC10aXRsZT48L3BlcmlvZGljYWw+PHBhZ2VzPjE5
LTMxPC9wYWdlcz48dm9sdW1lPjY1PC92b2x1bWU+PG51bWJlcj4xPC9udW1iZXI+PGVkaXRpb24+
MjAwOC8xMC8xODwvZWRpdGlvbj48a2V5d29yZHM+PGtleXdvcmQ+RG9zZS1SZXNwb25zZSBSZWxh
dGlvbnNoaXAsIERydWc8L2tleXdvcmQ+PGtleXdvcmQ+RHJ1ZyBEb3NhZ2UgQ2FsY3VsYXRpb25z
PC9rZXl3b3JkPjxrZXl3b3JkPkdhc3RyaWMgQWNpZC8qbWV0YWJvbGlzbTwva2V5d29yZD48a2V5
d29yZD5HYXN0cmljIEFjaWRpdHkgRGV0ZXJtaW5hdGlvbjwva2V5d29yZD48a2V5d29yZD5HYXN0
cmljIE11Y29zYS8qZHJ1ZyBlZmZlY3RzL21ldGFib2xpc208L2tleXdvcmQ+PGtleXdvcmQ+R2Fz
dHJvZXNvcGhhZ2VhbCBSZWZsdXgvY29tcGxpY2F0aW9ucy8qZHJ1ZyB0aGVyYXB5L21ldGFib2xp
c208L2tleXdvcmQ+PGtleXdvcmQ+SGVsaWNvYmFjdGVyIEluZmVjdGlvbnMvY29tcGxpY2F0aW9u
cy9kcnVnIHRoZXJhcHkvbWljcm9iaW9sb2d5PC9rZXl3b3JkPjxrZXl3b3JkPkhlbGljb2JhY3Rl
ciBweWxvcmk8L2tleXdvcmQ+PGtleXdvcmQ+SHVtYW5zPC9rZXl3b3JkPjxrZXl3b3JkPkh5ZHJv
Z2VuLUlvbiBDb25jZW50cmF0aW9uPC9rZXl3b3JkPjxrZXl3b3JkPk1vZGVscywgQmlvbG9naWNh
bDwva2V5d29yZD48a2V5d29yZD5QcmFjdGljZSBHdWlkZWxpbmVzIGFzIFRvcGljPC9rZXl3b3Jk
PjxrZXl3b3JkPlByb3RvbiBQdW1wIEluaGliaXRvcnMvKmFkbWluaXN0cmF0aW9uICZhbXA7IGRv
c2FnZTwva2V5d29yZD48L2tleXdvcmRzPjxkYXRlcz48eWVhcj4yMDA5PC95ZWFyPjxwdWItZGF0
ZXM+PGRhdGU+SmFuPC9kYXRlPjwvcHViLWRhdGVzPjwvZGF0ZXM+PGlzYm4+MTQzMi0xMDQxIChF
bGVjdHJvbmljKSYjeEQ7MDAzMS02OTcwIChMaW5raW5nKTwvaXNibj48YWNjZXNzaW9uLW51bT4x
ODkyNTM5MTwvYWNjZXNzaW9uLW51bT48dXJscz48cmVsYXRlZC11cmxzPjx1cmw+aHR0cHM6Ly93
d3cubmNiaS5ubG0ubmloLmdvdi9wdWJtZWQvMTg5MjUzOTE8L3VybD48L3JlbGF0ZWQtdXJscz48
L3VybHM+PGVsZWN0cm9uaWMtcmVzb3VyY2UtbnVtPjEwLjEwMDcvczAwMjI4LTAwOC0wNTc2LTU8
L2VsZWN0cm9uaWMtcmVzb3VyY2UtbnVtPjwvcmVjb3JkPjwvQ2l0ZT48L0VuZE5vdGU+
</w:fldData>
        </w:fldChar>
      </w:r>
      <w:r w:rsidR="00E55084">
        <w:rPr>
          <w:rFonts w:ascii="Arial" w:eastAsia="Times New Roman" w:hAnsi="Arial" w:cs="Arial"/>
          <w:color w:val="000000" w:themeColor="text1"/>
          <w:lang w:val="en-GB"/>
        </w:rPr>
        <w:instrText xml:space="preserve"> ADDIN EN.CITE.DATA </w:instrText>
      </w:r>
      <w:r w:rsidR="00E55084">
        <w:rPr>
          <w:rFonts w:ascii="Arial" w:eastAsia="Times New Roman" w:hAnsi="Arial" w:cs="Arial"/>
          <w:color w:val="000000" w:themeColor="text1"/>
          <w:lang w:val="en-GB"/>
        </w:rPr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end"/>
      </w:r>
      <w:r w:rsidR="00E55084">
        <w:rPr>
          <w:rFonts w:ascii="Arial" w:eastAsia="Times New Roman" w:hAnsi="Arial" w:cs="Arial"/>
          <w:color w:val="000000" w:themeColor="text1"/>
          <w:lang w:val="en-GB"/>
        </w:rPr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separate"/>
      </w:r>
      <w:r w:rsidR="00E55084" w:rsidRPr="00E55084">
        <w:rPr>
          <w:rFonts w:ascii="Arial" w:eastAsia="Times New Roman" w:hAnsi="Arial" w:cs="Arial"/>
          <w:noProof/>
          <w:color w:val="000000" w:themeColor="text1"/>
          <w:vertAlign w:val="superscript"/>
          <w:lang w:val="en-GB"/>
        </w:rPr>
        <w:t>1</w: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end"/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>empirically derived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equal efficacy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doses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for different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PPIs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using </w:t>
      </w:r>
      <w:r w:rsidRPr="00D4614A">
        <w:rPr>
          <w:rFonts w:ascii="Arial" w:eastAsia="Times New Roman" w:hAnsi="Arial" w:cs="Arial"/>
          <w:color w:val="000000" w:themeColor="text1"/>
          <w:lang w:val="en-GB"/>
        </w:rPr>
        <w:t>omeprazole equivalency (OE)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 xml:space="preserve"> as reference and time that </w:t>
      </w:r>
      <w:r w:rsidR="00103B3D" w:rsidRPr="00D4614A">
        <w:rPr>
          <w:rFonts w:ascii="Arial" w:eastAsia="Times New Roman" w:hAnsi="Arial" w:cs="Arial"/>
          <w:color w:val="000000" w:themeColor="text1"/>
          <w:lang w:val="en-GB"/>
        </w:rPr>
        <w:t xml:space="preserve">gastric 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>pH remains &gt;4 as efficacy benchmark</w:t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>, however our data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,</w:t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 xml:space="preserve">and data from others, </w:t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 xml:space="preserve">suggests that PPI efficacy for esophageal eosinophilia is not 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>a function of</w:t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 xml:space="preserve"> acid reduction but rather is consistent with a mechanism proposed by Chang, et al</w:t>
      </w:r>
      <w:r w:rsidR="005A45C1" w:rsidRPr="00D4614A">
        <w:rPr>
          <w:rFonts w:ascii="Arial" w:eastAsia="Times New Roman" w:hAnsi="Arial" w:cs="Arial"/>
          <w:color w:val="000000" w:themeColor="text1"/>
          <w:lang w:val="en-GB"/>
        </w:rPr>
        <w:t>.</w: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begin">
          <w:fldData xml:space="preserve">PEVuZE5vdGU+PENpdGU+PEF1dGhvcj5DaGVuZzwvQXV0aG9yPjxZZWFyPjIwMTM8L1llYXI+PFJl
Y051bT4xMjwvUmVjTnVtPjxEaXNwbGF5VGV4dD48c3R5bGUgZmFjZT0ic3VwZXJzY3JpcHQiPjI8
L3N0eWxlPjwvRGlzcGxheVRleHQ+PHJlY29yZD48cmVjLW51bWJlcj4xMjwvcmVjLW51bWJlcj48
Zm9yZWlnbi1rZXlzPjxrZXkgYXBwPSJFTiIgZGItaWQ9InJzZndzZDJ4bWZ3ZXd0ZWVlOWFwcnA1
M3IwdnQyYXh4ZGVyeCIgdGltZXN0YW1wPSIxNTU0ODI5OTI1Ij4xMjwva2V5PjwvZm9yZWlnbi1r
ZXlzPjxyZWYtdHlwZSBuYW1lPSJKb3VybmFsIEFydGljbGUiPjE3PC9yZWYtdHlwZT48Y29udHJp
YnV0b3JzPjxhdXRob3JzPjxhdXRob3I+Q2hlbmcsIEUuPC9hdXRob3I+PGF1dGhvcj5aaGFuZywg
WC48L2F1dGhvcj48YXV0aG9yPkh1bywgWC48L2F1dGhvcj48YXV0aG9yPll1LCBDLjwvYXV0aG9y
PjxhdXRob3I+WmhhbmcsIFEuPC9hdXRob3I+PGF1dGhvcj5XYW5nLCBELiBILjwvYXV0aG9yPjxh
dXRob3I+U3BlY2hsZXIsIFMuIEouPC9hdXRob3I+PGF1dGhvcj5Tb3V6YSwgUi4gRi48L2F1dGhv
cj48L2F1dGhvcnM+PC9jb250cmlidXRvcnM+PGF1dGgtYWRkcmVzcz5EZXBhcnRtZW50IG9mIFBl
ZGlhdHJpY3MsIFVuaXZlcnNpdHkgb2YgVGV4YXMgU291dGh3ZXN0ZXJuIE1lZGljYWwgQ2VudGVy
IGFuZCBDaGlsZHJlbiZhcG9zO3MgTWVkaWNhbCBDZW50ZXIsIERhbGxhcywgVGV4YXMsIFVTQS48
L2F1dGgtYWRkcmVzcz48dGl0bGVzPjx0aXRsZT5PbWVwcmF6b2xlIGJsb2NrcyBlb3RheGluLTMg
ZXhwcmVzc2lvbiBieSBvZXNvcGhhZ2VhbCBzcXVhbW91cyBjZWxscyBmcm9tIHBhdGllbnRzIHdp
dGggZW9zaW5vcGhpbGljIG9lc29waGFnaXRpcyBhbmQgR09SRDwvdGl0bGU+PHNlY29uZGFyeS10
aXRsZT5HdXQ8L3NlY29uZGFyeS10aXRsZT48L3RpdGxlcz48cGVyaW9kaWNhbD48ZnVsbC10aXRs
ZT5HdXQ8L2Z1bGwtdGl0bGU+PC9wZXJpb2RpY2FsPjxwYWdlcz44MjQtMzI8L3BhZ2VzPjx2b2x1
bWU+NjI8L3ZvbHVtZT48bnVtYmVyPjY8L251bWJlcj48ZWRpdGlvbj4yMDEyLzA1LzE1PC9lZGl0
aW9uPjxrZXl3b3Jkcz48a2V5d29yZD5BZHVsdDwva2V5d29yZD48a2V5d29yZD5DZWxscywgQ3Vs
dHVyZWQ8L2tleXdvcmQ+PGtleXdvcmQ+Q2hlbW9raW5lIENDTDI2PC9rZXl3b3JkPjxrZXl3b3Jk
PkNoZW1va2luZXMsIENDL2RydWcgZWZmZWN0cy9nZW5ldGljcy8qbWV0YWJvbGlzbTwva2V5d29y
ZD48a2V5d29yZD5Fbnp5bWUtTGlua2VkIEltbXVub3NvcmJlbnQgQXNzYXk8L2tleXdvcmQ+PGtl
eXdvcmQ+RW9zaW5vcGhpbGljIEVzb3BoYWdpdGlzLypkcnVnIHRoZXJhcHkvbWV0YWJvbGlzbTwv
a2V5d29yZD48a2V5d29yZD5FcGl0aGVsaWFsIENlbGxzL2RydWcgZWZmZWN0cy9tZXRhYm9saXNt
PC9rZXl3b3JkPjxrZXl3b3JkPkVzb3BoYWd1cy9wYXRob2xvZ3k8L2tleXdvcmQ+PGtleXdvcmQ+
RmVtYWxlPC9rZXl3b3JkPjxrZXl3b3JkPkdhc3Ryb2Vzb3BoYWdlYWwgUmVmbHV4LypkcnVnIHRo
ZXJhcHkvbWV0YWJvbGlzbTwva2V5d29yZD48a2V5d29yZD5HZW5lIEV4cHJlc3Npb24gUmVndWxh
dGlvbjwva2V5d29yZD48a2V5d29yZD5IdW1hbnM8L2tleXdvcmQ+PGtleXdvcmQ+SW50ZXJsZXVr
aW4tMTMvYW50YWdvbmlzdHMgJmFtcDsgaW5oaWJpdG9ycy9waGFybWFjb2xvZ3k8L2tleXdvcmQ+
PGtleXdvcmQ+SW50ZXJsZXVraW4tNC9hbnRhZ29uaXN0cyAmYW1wOyBpbmhpYml0b3JzL3BoYXJt
YWNvbG9neTwva2V5d29yZD48a2V5d29yZD5NYWxlPC9rZXl3b3JkPjxrZXl3b3JkPk1pZGRsZSBB
Z2VkPC9rZXl3b3JkPjxrZXl3b3JkPk9tZXByYXpvbGUvKnRoZXJhcGV1dGljIHVzZTwva2V5d29y
ZD48a2V5d29yZD5Qcm90b24gUHVtcCBJbmhpYml0b3JzLyp0aGVyYXBldXRpYyB1c2U8L2tleXdv
cmQ+PGtleXdvcmQ+Uk5BLCBNZXNzZW5nZXIvbWV0YWJvbGlzbTwva2V5d29yZD48a2V5d29yZD5S
ZWFsLVRpbWUgUG9seW1lcmFzZSBDaGFpbiBSZWFjdGlvbjwva2V5d29yZD48a2V5d29yZD5UaDIg
Q2VsbHMvcGh5c2lvbG9neTwva2V5d29yZD48L2tleXdvcmRzPjxkYXRlcz48eWVhcj4yMDEzPC95
ZWFyPjxwdWItZGF0ZXM+PGRhdGU+SnVuPC9kYXRlPjwvcHViLWRhdGVzPjwvZGF0ZXM+PGlzYm4+
MTQ2OC0zMjg4IChFbGVjdHJvbmljKSYjeEQ7MDAxNy01NzQ5IChMaW5raW5nKTwvaXNibj48YWNj
ZXNzaW9uLW51bT4yMjU4MDQxMzwvYWNjZXNzaW9uLW51bT48dXJscz48cmVsYXRlZC11cmxzPjx1
cmw+aHR0cHM6Ly93d3cubmNiaS5ubG0ubmloLmdvdi9wdWJtZWQvMjI1ODA0MTM8L3VybD48L3Jl
bGF0ZWQtdXJscz48L3VybHM+PGN1c3RvbTI+UE1DMzU1MjA0OTwvY3VzdG9tMj48ZWxlY3Ryb25p
Yy1yZXNvdXJjZS1udW0+MTAuMTEzNi9ndXRqbmwtMjAxMi0zMDIyNTA8L2VsZWN0cm9uaWMtcmVz
b3VyY2UtbnVtPjwvcmVjb3JkPjwvQ2l0ZT48L0VuZE5vdGU+AG==
</w:fldData>
        </w:fldChar>
      </w:r>
      <w:r w:rsidR="00E55084">
        <w:rPr>
          <w:rFonts w:ascii="Arial" w:eastAsia="Times New Roman" w:hAnsi="Arial" w:cs="Arial"/>
          <w:color w:val="000000" w:themeColor="text1"/>
          <w:lang w:val="en-GB"/>
        </w:rPr>
        <w:instrText xml:space="preserve"> ADDIN EN.CITE </w:instrTex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begin">
          <w:fldData xml:space="preserve">PEVuZE5vdGU+PENpdGU+PEF1dGhvcj5DaGVuZzwvQXV0aG9yPjxZZWFyPjIwMTM8L1llYXI+PFJl
Y051bT4xMjwvUmVjTnVtPjxEaXNwbGF5VGV4dD48c3R5bGUgZmFjZT0ic3VwZXJzY3JpcHQiPjI8
L3N0eWxlPjwvRGlzcGxheVRleHQ+PHJlY29yZD48cmVjLW51bWJlcj4xMjwvcmVjLW51bWJlcj48
Zm9yZWlnbi1rZXlzPjxrZXkgYXBwPSJFTiIgZGItaWQ9InJzZndzZDJ4bWZ3ZXd0ZWVlOWFwcnA1
M3IwdnQyYXh4ZGVyeCIgdGltZXN0YW1wPSIxNTU0ODI5OTI1Ij4xMjwva2V5PjwvZm9yZWlnbi1r
ZXlzPjxyZWYtdHlwZSBuYW1lPSJKb3VybmFsIEFydGljbGUiPjE3PC9yZWYtdHlwZT48Y29udHJp
YnV0b3JzPjxhdXRob3JzPjxhdXRob3I+Q2hlbmcsIEUuPC9hdXRob3I+PGF1dGhvcj5aaGFuZywg
WC48L2F1dGhvcj48YXV0aG9yPkh1bywgWC48L2F1dGhvcj48YXV0aG9yPll1LCBDLjwvYXV0aG9y
PjxhdXRob3I+WmhhbmcsIFEuPC9hdXRob3I+PGF1dGhvcj5XYW5nLCBELiBILjwvYXV0aG9yPjxh
dXRob3I+U3BlY2hsZXIsIFMuIEouPC9hdXRob3I+PGF1dGhvcj5Tb3V6YSwgUi4gRi48L2F1dGhv
cj48L2F1dGhvcnM+PC9jb250cmlidXRvcnM+PGF1dGgtYWRkcmVzcz5EZXBhcnRtZW50IG9mIFBl
ZGlhdHJpY3MsIFVuaXZlcnNpdHkgb2YgVGV4YXMgU291dGh3ZXN0ZXJuIE1lZGljYWwgQ2VudGVy
IGFuZCBDaGlsZHJlbiZhcG9zO3MgTWVkaWNhbCBDZW50ZXIsIERhbGxhcywgVGV4YXMsIFVTQS48
L2F1dGgtYWRkcmVzcz48dGl0bGVzPjx0aXRsZT5PbWVwcmF6b2xlIGJsb2NrcyBlb3RheGluLTMg
ZXhwcmVzc2lvbiBieSBvZXNvcGhhZ2VhbCBzcXVhbW91cyBjZWxscyBmcm9tIHBhdGllbnRzIHdp
dGggZW9zaW5vcGhpbGljIG9lc29waGFnaXRpcyBhbmQgR09SRDwvdGl0bGU+PHNlY29uZGFyeS10
aXRsZT5HdXQ8L3NlY29uZGFyeS10aXRsZT48L3RpdGxlcz48cGVyaW9kaWNhbD48ZnVsbC10aXRs
ZT5HdXQ8L2Z1bGwtdGl0bGU+PC9wZXJpb2RpY2FsPjxwYWdlcz44MjQtMzI8L3BhZ2VzPjx2b2x1
bWU+NjI8L3ZvbHVtZT48bnVtYmVyPjY8L251bWJlcj48ZWRpdGlvbj4yMDEyLzA1LzE1PC9lZGl0
aW9uPjxrZXl3b3Jkcz48a2V5d29yZD5BZHVsdDwva2V5d29yZD48a2V5d29yZD5DZWxscywgQ3Vs
dHVyZWQ8L2tleXdvcmQ+PGtleXdvcmQ+Q2hlbW9raW5lIENDTDI2PC9rZXl3b3JkPjxrZXl3b3Jk
PkNoZW1va2luZXMsIENDL2RydWcgZWZmZWN0cy9nZW5ldGljcy8qbWV0YWJvbGlzbTwva2V5d29y
ZD48a2V5d29yZD5Fbnp5bWUtTGlua2VkIEltbXVub3NvcmJlbnQgQXNzYXk8L2tleXdvcmQ+PGtl
eXdvcmQ+RW9zaW5vcGhpbGljIEVzb3BoYWdpdGlzLypkcnVnIHRoZXJhcHkvbWV0YWJvbGlzbTwv
a2V5d29yZD48a2V5d29yZD5FcGl0aGVsaWFsIENlbGxzL2RydWcgZWZmZWN0cy9tZXRhYm9saXNt
PC9rZXl3b3JkPjxrZXl3b3JkPkVzb3BoYWd1cy9wYXRob2xvZ3k8L2tleXdvcmQ+PGtleXdvcmQ+
RmVtYWxlPC9rZXl3b3JkPjxrZXl3b3JkPkdhc3Ryb2Vzb3BoYWdlYWwgUmVmbHV4LypkcnVnIHRo
ZXJhcHkvbWV0YWJvbGlzbTwva2V5d29yZD48a2V5d29yZD5HZW5lIEV4cHJlc3Npb24gUmVndWxh
dGlvbjwva2V5d29yZD48a2V5d29yZD5IdW1hbnM8L2tleXdvcmQ+PGtleXdvcmQ+SW50ZXJsZXVr
aW4tMTMvYW50YWdvbmlzdHMgJmFtcDsgaW5oaWJpdG9ycy9waGFybWFjb2xvZ3k8L2tleXdvcmQ+
PGtleXdvcmQ+SW50ZXJsZXVraW4tNC9hbnRhZ29uaXN0cyAmYW1wOyBpbmhpYml0b3JzL3BoYXJt
YWNvbG9neTwva2V5d29yZD48a2V5d29yZD5NYWxlPC9rZXl3b3JkPjxrZXl3b3JkPk1pZGRsZSBB
Z2VkPC9rZXl3b3JkPjxrZXl3b3JkPk9tZXByYXpvbGUvKnRoZXJhcGV1dGljIHVzZTwva2V5d29y
ZD48a2V5d29yZD5Qcm90b24gUHVtcCBJbmhpYml0b3JzLyp0aGVyYXBldXRpYyB1c2U8L2tleXdv
cmQ+PGtleXdvcmQ+Uk5BLCBNZXNzZW5nZXIvbWV0YWJvbGlzbTwva2V5d29yZD48a2V5d29yZD5S
ZWFsLVRpbWUgUG9seW1lcmFzZSBDaGFpbiBSZWFjdGlvbjwva2V5d29yZD48a2V5d29yZD5UaDIg
Q2VsbHMvcGh5c2lvbG9neTwva2V5d29yZD48L2tleXdvcmRzPjxkYXRlcz48eWVhcj4yMDEzPC95
ZWFyPjxwdWItZGF0ZXM+PGRhdGU+SnVuPC9kYXRlPjwvcHViLWRhdGVzPjwvZGF0ZXM+PGlzYm4+
MTQ2OC0zMjg4IChFbGVjdHJvbmljKSYjeEQ7MDAxNy01NzQ5IChMaW5raW5nKTwvaXNibj48YWNj
ZXNzaW9uLW51bT4yMjU4MDQxMzwvYWNjZXNzaW9uLW51bT48dXJscz48cmVsYXRlZC11cmxzPjx1
cmw+aHR0cHM6Ly93d3cubmNiaS5ubG0ubmloLmdvdi9wdWJtZWQvMjI1ODA0MTM8L3VybD48L3Jl
bGF0ZWQtdXJscz48L3VybHM+PGN1c3RvbTI+UE1DMzU1MjA0OTwvY3VzdG9tMj48ZWxlY3Ryb25p
Yy1yZXNvdXJjZS1udW0+MTAuMTEzNi9ndXRqbmwtMjAxMi0zMDIyNTA8L2VsZWN0cm9uaWMtcmVz
b3VyY2UtbnVtPjwvcmVjb3JkPjwvQ2l0ZT48L0VuZE5vdGU+AG==
</w:fldData>
        </w:fldChar>
      </w:r>
      <w:r w:rsidR="00E55084">
        <w:rPr>
          <w:rFonts w:ascii="Arial" w:eastAsia="Times New Roman" w:hAnsi="Arial" w:cs="Arial"/>
          <w:color w:val="000000" w:themeColor="text1"/>
          <w:lang w:val="en-GB"/>
        </w:rPr>
        <w:instrText xml:space="preserve"> ADDIN EN.CITE.DATA </w:instrText>
      </w:r>
      <w:r w:rsidR="00E55084">
        <w:rPr>
          <w:rFonts w:ascii="Arial" w:eastAsia="Times New Roman" w:hAnsi="Arial" w:cs="Arial"/>
          <w:color w:val="000000" w:themeColor="text1"/>
          <w:lang w:val="en-GB"/>
        </w:rPr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end"/>
      </w:r>
      <w:r w:rsidR="00E55084">
        <w:rPr>
          <w:rFonts w:ascii="Arial" w:eastAsia="Times New Roman" w:hAnsi="Arial" w:cs="Arial"/>
          <w:color w:val="000000" w:themeColor="text1"/>
          <w:lang w:val="en-GB"/>
        </w:rPr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separate"/>
      </w:r>
      <w:r w:rsidR="00E55084" w:rsidRPr="00E55084">
        <w:rPr>
          <w:rFonts w:ascii="Arial" w:eastAsia="Times New Roman" w:hAnsi="Arial" w:cs="Arial"/>
          <w:noProof/>
          <w:color w:val="000000" w:themeColor="text1"/>
          <w:vertAlign w:val="superscript"/>
          <w:lang w:val="en-GB"/>
        </w:rPr>
        <w:t>2</w:t>
      </w:r>
      <w:r w:rsidR="00E55084">
        <w:rPr>
          <w:rFonts w:ascii="Arial" w:eastAsia="Times New Roman" w:hAnsi="Arial" w:cs="Arial"/>
          <w:color w:val="000000" w:themeColor="text1"/>
          <w:lang w:val="en-GB"/>
        </w:rPr>
        <w:fldChar w:fldCharType="end"/>
      </w:r>
      <w:r w:rsidR="006828E2" w:rsidRPr="00D4614A">
        <w:rPr>
          <w:rFonts w:ascii="Arial" w:eastAsia="Times New Roman" w:hAnsi="Arial" w:cs="Arial"/>
          <w:color w:val="000000" w:themeColor="text1"/>
          <w:lang w:val="en-GB"/>
        </w:rPr>
        <w:t xml:space="preserve"> in which omeprazole was found to reduce Th2 cytokine stimulated eotaxin-3 expression in EoE esophageal squamous cell lines.  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 xml:space="preserve">Since it is unlikely that the two mechanisms will have similar dose-response profiles, we decided 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 xml:space="preserve">not 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 xml:space="preserve">to correct PPI dosages to omeprazole equivalency for the current analysis. </w:t>
      </w:r>
      <w:r w:rsidR="00103B3D" w:rsidRP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To determine if </w:t>
      </w:r>
      <w:r w:rsidR="004C1871">
        <w:rPr>
          <w:rFonts w:ascii="Arial" w:eastAsia="Times New Roman" w:hAnsi="Arial" w:cs="Arial"/>
          <w:color w:val="000000" w:themeColor="text1"/>
          <w:lang w:val="en-GB"/>
        </w:rPr>
        <w:t xml:space="preserve">PPI-REE outcome was influenced by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inclusion of patients 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>who received lansoprazole and omeprazole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, we ran a sub-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 xml:space="preserve">binary logistic regression 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analysis of just the patients who received esomeprazole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 xml:space="preserve"> (</w:t>
      </w:r>
      <w:r w:rsidR="00D0461D" w:rsidRPr="00D0461D">
        <w:rPr>
          <w:rFonts w:ascii="Arial" w:eastAsia="Times New Roman" w:hAnsi="Arial" w:cs="Arial"/>
          <w:color w:val="000000" w:themeColor="text1"/>
          <w:lang w:val="en-GB"/>
        </w:rPr>
        <w:t>dominant genetic model for CYP2C19*17 GOF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 xml:space="preserve"> or </w:t>
      </w:r>
      <w:r w:rsidR="00D0461D" w:rsidRPr="00D0461D">
        <w:rPr>
          <w:rFonts w:ascii="Arial" w:eastAsia="Times New Roman" w:hAnsi="Arial" w:cs="Arial"/>
          <w:color w:val="000000" w:themeColor="text1"/>
          <w:lang w:val="en-GB"/>
        </w:rPr>
        <w:t xml:space="preserve">rs1059513 with race, gender, age, </w:t>
      </w:r>
      <w:r w:rsidR="005615CA">
        <w:rPr>
          <w:rFonts w:ascii="Arial" w:eastAsia="Times New Roman" w:hAnsi="Arial" w:cs="Arial"/>
          <w:color w:val="000000" w:themeColor="text1"/>
          <w:lang w:val="en-GB"/>
        </w:rPr>
        <w:t xml:space="preserve">and </w:t>
      </w:r>
      <w:r w:rsidR="00D0461D" w:rsidRPr="00D0461D">
        <w:rPr>
          <w:rFonts w:ascii="Arial" w:eastAsia="Times New Roman" w:hAnsi="Arial" w:cs="Arial"/>
          <w:color w:val="000000" w:themeColor="text1"/>
          <w:lang w:val="en-GB"/>
        </w:rPr>
        <w:t>PPI dose included as covariates</w:t>
      </w:r>
      <w:r w:rsidR="00D0461D">
        <w:rPr>
          <w:rFonts w:ascii="Arial" w:eastAsia="Times New Roman" w:hAnsi="Arial" w:cs="Arial"/>
          <w:color w:val="000000" w:themeColor="text1"/>
          <w:lang w:val="en-GB"/>
        </w:rPr>
        <w:t>)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.  We found that exclusion of patients who received a PPI other than esomeprazole did not significantly influence the results of either the </w:t>
      </w:r>
      <w:r w:rsidRPr="007B7D84">
        <w:rPr>
          <w:rFonts w:ascii="Arial" w:eastAsia="Times New Roman" w:hAnsi="Arial" w:cs="Arial"/>
          <w:i/>
          <w:iCs/>
          <w:color w:val="000000" w:themeColor="text1"/>
          <w:lang w:val="en-GB"/>
        </w:rPr>
        <w:t>CYP</w:t>
      </w:r>
      <w:r w:rsidR="009560E4" w:rsidRPr="00D4614A">
        <w:rPr>
          <w:rFonts w:ascii="Arial" w:eastAsia="Times New Roman" w:hAnsi="Arial" w:cs="Arial"/>
          <w:i/>
          <w:iCs/>
          <w:color w:val="000000" w:themeColor="text1"/>
          <w:lang w:val="en-GB"/>
        </w:rPr>
        <w:t>2C19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 or </w:t>
      </w:r>
      <w:r w:rsidRPr="007B7D84">
        <w:rPr>
          <w:rFonts w:ascii="Arial" w:eastAsia="Times New Roman" w:hAnsi="Arial" w:cs="Arial"/>
          <w:i/>
          <w:iCs/>
          <w:color w:val="000000" w:themeColor="text1"/>
          <w:lang w:val="en-GB"/>
        </w:rPr>
        <w:t>STAT6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 xml:space="preserve"> analyses (</w:t>
      </w:r>
      <w:r w:rsidR="00C205FC">
        <w:rPr>
          <w:rFonts w:ascii="Arial" w:eastAsia="Times New Roman" w:hAnsi="Arial" w:cs="Arial"/>
          <w:color w:val="000000" w:themeColor="text1"/>
          <w:lang w:val="en-GB"/>
        </w:rPr>
        <w:t>Table S3</w:t>
      </w:r>
      <w:r w:rsidRPr="007B7D84">
        <w:rPr>
          <w:rFonts w:ascii="Arial" w:eastAsia="Times New Roman" w:hAnsi="Arial" w:cs="Arial"/>
          <w:color w:val="000000" w:themeColor="text1"/>
          <w:lang w:val="en-GB"/>
        </w:rPr>
        <w:t>)</w:t>
      </w:r>
      <w:r w:rsidR="009560E4" w:rsidRPr="00D4614A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37336AF5" w14:textId="087839F7" w:rsidR="007B7D84" w:rsidRDefault="007B7D84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</w:p>
    <w:p w14:paraId="07546E4F" w14:textId="3F6B0F9C" w:rsidR="00C205FC" w:rsidRDefault="00C205FC" w:rsidP="007B7D84">
      <w:pPr>
        <w:shd w:val="clear" w:color="auto" w:fill="FFFFFF"/>
        <w:spacing w:after="0" w:line="240" w:lineRule="auto"/>
        <w:rPr>
          <w:rFonts w:ascii="Arial" w:eastAsia="Times" w:hAnsi="Arial" w:cs="Arial"/>
          <w:b/>
          <w:bCs/>
          <w:iCs/>
          <w:color w:val="212121"/>
        </w:rPr>
      </w:pPr>
      <w:r w:rsidRPr="00C205FC">
        <w:rPr>
          <w:rFonts w:ascii="Arial" w:eastAsia="Times New Roman" w:hAnsi="Arial" w:cs="Arial"/>
          <w:b/>
          <w:bCs/>
          <w:color w:val="000000" w:themeColor="text1"/>
          <w:lang w:val="en-GB"/>
        </w:rPr>
        <w:t>Table S3</w:t>
      </w:r>
      <w:r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:  </w:t>
      </w:r>
      <w:r w:rsidRPr="00C205FC">
        <w:rPr>
          <w:rFonts w:ascii="Arial" w:eastAsia="Times" w:hAnsi="Arial" w:cs="Arial"/>
          <w:b/>
          <w:bCs/>
          <w:iCs/>
          <w:color w:val="212121"/>
        </w:rPr>
        <w:t>Sub-analysis of patients who received esomeprazole</w:t>
      </w:r>
      <w:r w:rsidRPr="00C205FC">
        <w:rPr>
          <w:rFonts w:ascii="Arial" w:hAnsi="Arial" w:cs="Arial"/>
          <w:b/>
          <w:bCs/>
        </w:rPr>
        <w:t xml:space="preserve"> </w:t>
      </w:r>
      <w:r w:rsidRPr="00C205FC">
        <w:rPr>
          <w:rFonts w:ascii="Arial" w:eastAsia="Times" w:hAnsi="Arial" w:cs="Arial"/>
          <w:b/>
          <w:bCs/>
          <w:iCs/>
          <w:color w:val="212121"/>
        </w:rPr>
        <w:t>therapy for esophageal eosinophilia</w:t>
      </w:r>
    </w:p>
    <w:p w14:paraId="0942B934" w14:textId="77777777" w:rsidR="00C205FC" w:rsidRPr="007B7D84" w:rsidRDefault="00C205FC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7"/>
        <w:gridCol w:w="937"/>
        <w:gridCol w:w="1261"/>
        <w:gridCol w:w="1807"/>
        <w:gridCol w:w="987"/>
        <w:gridCol w:w="2551"/>
        <w:gridCol w:w="1170"/>
      </w:tblGrid>
      <w:tr w:rsidR="0038732F" w:rsidRPr="00D4614A" w14:paraId="445C7C13" w14:textId="77777777" w:rsidTr="0038732F">
        <w:trPr>
          <w:trHeight w:val="315"/>
        </w:trPr>
        <w:tc>
          <w:tcPr>
            <w:tcW w:w="917" w:type="pct"/>
            <w:noWrap/>
            <w:vAlign w:val="bottom"/>
            <w:hideMark/>
          </w:tcPr>
          <w:p w14:paraId="59789B7A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Hlk13580555"/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Selection</w:t>
            </w:r>
          </w:p>
        </w:tc>
        <w:tc>
          <w:tcPr>
            <w:tcW w:w="417" w:type="pct"/>
            <w:noWrap/>
            <w:vAlign w:val="bottom"/>
            <w:hideMark/>
          </w:tcPr>
          <w:p w14:paraId="02F17E0D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Cohort</w:t>
            </w:r>
          </w:p>
        </w:tc>
        <w:tc>
          <w:tcPr>
            <w:tcW w:w="625" w:type="pct"/>
            <w:noWrap/>
            <w:vAlign w:val="bottom"/>
            <w:hideMark/>
          </w:tcPr>
          <w:p w14:paraId="057D6D54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Predictor</w:t>
            </w:r>
          </w:p>
        </w:tc>
        <w:tc>
          <w:tcPr>
            <w:tcW w:w="875" w:type="pct"/>
            <w:noWrap/>
            <w:vAlign w:val="bottom"/>
            <w:hideMark/>
          </w:tcPr>
          <w:p w14:paraId="37D7D043" w14:textId="5B842372" w:rsidR="007B7D84" w:rsidRPr="007B7D84" w:rsidRDefault="0038732F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PPI-REE </w:t>
            </w:r>
            <w:r w:rsidR="007B7D84" w:rsidRPr="007B7D84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</w:tc>
        <w:tc>
          <w:tcPr>
            <w:tcW w:w="500" w:type="pct"/>
            <w:noWrap/>
            <w:vAlign w:val="bottom"/>
            <w:hideMark/>
          </w:tcPr>
          <w:p w14:paraId="6D5D7345" w14:textId="26EF44E6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38732F" w:rsidRPr="00D4614A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1083" w:type="pct"/>
            <w:noWrap/>
            <w:vAlign w:val="bottom"/>
            <w:hideMark/>
          </w:tcPr>
          <w:p w14:paraId="351BFFEC" w14:textId="1DE49DE7" w:rsidR="007B7D84" w:rsidRPr="007B7D84" w:rsidRDefault="0038732F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Complete PPI-REE </w:t>
            </w:r>
            <w:r w:rsidR="007B7D84" w:rsidRPr="007B7D84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</w:tc>
        <w:tc>
          <w:tcPr>
            <w:tcW w:w="583" w:type="pct"/>
            <w:noWrap/>
            <w:vAlign w:val="bottom"/>
            <w:hideMark/>
          </w:tcPr>
          <w:p w14:paraId="0E35E345" w14:textId="46FBFBB2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38732F" w:rsidRPr="00D4614A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</w:tr>
      <w:bookmarkEnd w:id="0"/>
      <w:tr w:rsidR="0038732F" w:rsidRPr="00D4614A" w14:paraId="655AFDAC" w14:textId="77777777" w:rsidTr="0038732F">
        <w:trPr>
          <w:trHeight w:val="300"/>
        </w:trPr>
        <w:tc>
          <w:tcPr>
            <w:tcW w:w="9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0AC9C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All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AAFF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pH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E7C8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B943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0.12[0.02,0.67]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2E285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8D38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0.15[0.03,0.94]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8636C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38732F" w:rsidRPr="00D4614A" w14:paraId="7300CBA3" w14:textId="77777777" w:rsidTr="0038732F">
        <w:trPr>
          <w:trHeight w:val="300"/>
        </w:trPr>
        <w:tc>
          <w:tcPr>
            <w:tcW w:w="917" w:type="pct"/>
            <w:noWrap/>
            <w:vAlign w:val="bottom"/>
            <w:hideMark/>
          </w:tcPr>
          <w:p w14:paraId="6EC2AEB6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Esomeprazole only</w:t>
            </w:r>
          </w:p>
        </w:tc>
        <w:tc>
          <w:tcPr>
            <w:tcW w:w="417" w:type="pct"/>
            <w:noWrap/>
            <w:vAlign w:val="bottom"/>
            <w:hideMark/>
          </w:tcPr>
          <w:p w14:paraId="3DB5664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pH</w:t>
            </w:r>
          </w:p>
        </w:tc>
        <w:tc>
          <w:tcPr>
            <w:tcW w:w="625" w:type="pct"/>
            <w:noWrap/>
            <w:vAlign w:val="bottom"/>
            <w:hideMark/>
          </w:tcPr>
          <w:p w14:paraId="73220D8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noWrap/>
            <w:vAlign w:val="bottom"/>
            <w:hideMark/>
          </w:tcPr>
          <w:p w14:paraId="7C6EF745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0.12[0.02,0.67]</w:t>
            </w:r>
          </w:p>
        </w:tc>
        <w:tc>
          <w:tcPr>
            <w:tcW w:w="500" w:type="pct"/>
            <w:noWrap/>
            <w:vAlign w:val="bottom"/>
            <w:hideMark/>
          </w:tcPr>
          <w:p w14:paraId="4811077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1083" w:type="pct"/>
            <w:noWrap/>
            <w:vAlign w:val="bottom"/>
            <w:hideMark/>
          </w:tcPr>
          <w:p w14:paraId="5058C56F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0.15[0.03,0.94]</w:t>
            </w:r>
          </w:p>
        </w:tc>
        <w:tc>
          <w:tcPr>
            <w:tcW w:w="583" w:type="pct"/>
            <w:noWrap/>
            <w:vAlign w:val="bottom"/>
            <w:hideMark/>
          </w:tcPr>
          <w:p w14:paraId="789B25A9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38732F" w:rsidRPr="00D4614A" w14:paraId="64435003" w14:textId="77777777" w:rsidTr="0038732F">
        <w:trPr>
          <w:trHeight w:val="300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1272D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All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9FA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IQR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2576A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038D9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0.13[0.02,0.83]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1D7A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A7D5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0.28[0.04,1.72]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6D5C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0.168</w:t>
            </w:r>
          </w:p>
        </w:tc>
      </w:tr>
      <w:tr w:rsidR="0038732F" w:rsidRPr="00D4614A" w14:paraId="62D40D16" w14:textId="77777777" w:rsidTr="0038732F">
        <w:trPr>
          <w:trHeight w:val="300"/>
        </w:trPr>
        <w:tc>
          <w:tcPr>
            <w:tcW w:w="917" w:type="pct"/>
            <w:noWrap/>
            <w:vAlign w:val="bottom"/>
            <w:hideMark/>
          </w:tcPr>
          <w:p w14:paraId="05616972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Esomeprazole only</w:t>
            </w:r>
          </w:p>
        </w:tc>
        <w:tc>
          <w:tcPr>
            <w:tcW w:w="417" w:type="pct"/>
            <w:noWrap/>
            <w:vAlign w:val="bottom"/>
            <w:hideMark/>
          </w:tcPr>
          <w:p w14:paraId="0516F28A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IQR</w:t>
            </w:r>
          </w:p>
        </w:tc>
        <w:tc>
          <w:tcPr>
            <w:tcW w:w="625" w:type="pct"/>
            <w:noWrap/>
            <w:vAlign w:val="bottom"/>
            <w:hideMark/>
          </w:tcPr>
          <w:p w14:paraId="5C634D7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noWrap/>
            <w:vAlign w:val="bottom"/>
            <w:hideMark/>
          </w:tcPr>
          <w:p w14:paraId="68A04E1C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0.13[0.02,0.83]</w:t>
            </w:r>
          </w:p>
        </w:tc>
        <w:tc>
          <w:tcPr>
            <w:tcW w:w="500" w:type="pct"/>
            <w:noWrap/>
            <w:vAlign w:val="bottom"/>
            <w:hideMark/>
          </w:tcPr>
          <w:p w14:paraId="68E16D9F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0.032</w:t>
            </w:r>
          </w:p>
        </w:tc>
        <w:tc>
          <w:tcPr>
            <w:tcW w:w="1083" w:type="pct"/>
            <w:noWrap/>
            <w:vAlign w:val="bottom"/>
            <w:hideMark/>
          </w:tcPr>
          <w:p w14:paraId="2B376AB8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0.29[0.05,1.77]</w:t>
            </w:r>
          </w:p>
        </w:tc>
        <w:tc>
          <w:tcPr>
            <w:tcW w:w="583" w:type="pct"/>
            <w:noWrap/>
            <w:vAlign w:val="bottom"/>
            <w:hideMark/>
          </w:tcPr>
          <w:p w14:paraId="0805D549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0.179</w:t>
            </w:r>
          </w:p>
        </w:tc>
      </w:tr>
      <w:tr w:rsidR="0038732F" w:rsidRPr="00D4614A" w14:paraId="151DAFC3" w14:textId="77777777" w:rsidTr="0038732F">
        <w:trPr>
          <w:trHeight w:val="300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6EE57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All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26848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Full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7628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CB79A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0.47[0.17,1.29]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C7CD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0.143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F161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0.55[0.19,1.59]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FF242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0.270</w:t>
            </w:r>
          </w:p>
        </w:tc>
      </w:tr>
      <w:tr w:rsidR="0038732F" w:rsidRPr="00D4614A" w14:paraId="7869CD6F" w14:textId="77777777" w:rsidTr="0038732F">
        <w:trPr>
          <w:trHeight w:val="300"/>
        </w:trPr>
        <w:tc>
          <w:tcPr>
            <w:tcW w:w="917" w:type="pct"/>
            <w:noWrap/>
            <w:vAlign w:val="bottom"/>
            <w:hideMark/>
          </w:tcPr>
          <w:p w14:paraId="2EEC80E4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Esomeprazole only</w:t>
            </w:r>
          </w:p>
        </w:tc>
        <w:tc>
          <w:tcPr>
            <w:tcW w:w="417" w:type="pct"/>
            <w:noWrap/>
            <w:vAlign w:val="bottom"/>
            <w:hideMark/>
          </w:tcPr>
          <w:p w14:paraId="42197562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Full</w:t>
            </w:r>
          </w:p>
        </w:tc>
        <w:tc>
          <w:tcPr>
            <w:tcW w:w="625" w:type="pct"/>
            <w:noWrap/>
            <w:vAlign w:val="bottom"/>
            <w:hideMark/>
          </w:tcPr>
          <w:p w14:paraId="65B9002C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GOF</w:t>
            </w:r>
          </w:p>
        </w:tc>
        <w:tc>
          <w:tcPr>
            <w:tcW w:w="875" w:type="pct"/>
            <w:noWrap/>
            <w:vAlign w:val="bottom"/>
            <w:hideMark/>
          </w:tcPr>
          <w:p w14:paraId="05489472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0.47[0.17,1.28]</w:t>
            </w:r>
          </w:p>
        </w:tc>
        <w:tc>
          <w:tcPr>
            <w:tcW w:w="500" w:type="pct"/>
            <w:noWrap/>
            <w:vAlign w:val="bottom"/>
            <w:hideMark/>
          </w:tcPr>
          <w:p w14:paraId="4C73819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0.140</w:t>
            </w:r>
          </w:p>
        </w:tc>
        <w:tc>
          <w:tcPr>
            <w:tcW w:w="1083" w:type="pct"/>
            <w:noWrap/>
            <w:vAlign w:val="bottom"/>
            <w:hideMark/>
          </w:tcPr>
          <w:p w14:paraId="063ECC08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0.56[0.19,1.61]</w:t>
            </w:r>
          </w:p>
        </w:tc>
        <w:tc>
          <w:tcPr>
            <w:tcW w:w="583" w:type="pct"/>
            <w:noWrap/>
            <w:vAlign w:val="bottom"/>
            <w:hideMark/>
          </w:tcPr>
          <w:p w14:paraId="32260A67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0.279</w:t>
            </w:r>
          </w:p>
        </w:tc>
      </w:tr>
      <w:tr w:rsidR="0038732F" w:rsidRPr="00D4614A" w14:paraId="587AA7EA" w14:textId="77777777" w:rsidTr="0038732F">
        <w:trPr>
          <w:trHeight w:val="300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B0820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All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5D35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Full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BB330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_Hlk13838994"/>
            <w:r w:rsidRPr="007B7D84">
              <w:rPr>
                <w:rFonts w:ascii="Arial" w:eastAsia="Times New Roman" w:hAnsi="Arial" w:cs="Arial"/>
                <w:color w:val="000000"/>
              </w:rPr>
              <w:t>rs1059513</w:t>
            </w:r>
            <w:bookmarkEnd w:id="1"/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618DE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6.16[1.44,26.35]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4F416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4B826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7.02[1.98,24.9]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96092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  <w:tr w:rsidR="0038732F" w:rsidRPr="00D4614A" w14:paraId="7740E1AC" w14:textId="77777777" w:rsidTr="00090335">
        <w:trPr>
          <w:trHeight w:val="300"/>
        </w:trPr>
        <w:tc>
          <w:tcPr>
            <w:tcW w:w="917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7488A4FB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Esomeprazole only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392E1D61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Full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3929F72B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rs1059513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19FBF9CD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6.15[1.43,26.35]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72AAE464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  <w:tc>
          <w:tcPr>
            <w:tcW w:w="1083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2108D601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7.03[1.97,25.04]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noWrap/>
            <w:vAlign w:val="bottom"/>
            <w:hideMark/>
          </w:tcPr>
          <w:p w14:paraId="6B0699A3" w14:textId="77777777" w:rsidR="007B7D84" w:rsidRPr="007B7D84" w:rsidRDefault="007B7D84" w:rsidP="0038732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D8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</w:tbl>
    <w:p w14:paraId="2F9DBF34" w14:textId="77777777" w:rsidR="00E55084" w:rsidRDefault="00E55084" w:rsidP="007B7D84">
      <w:pPr>
        <w:spacing w:after="0" w:line="240" w:lineRule="auto"/>
        <w:rPr>
          <w:rFonts w:ascii="Arial" w:eastAsia="Times" w:hAnsi="Arial" w:cs="Arial"/>
          <w:iCs/>
          <w:color w:val="212121"/>
        </w:rPr>
      </w:pPr>
      <w:bookmarkStart w:id="2" w:name="_Hlk13581389"/>
    </w:p>
    <w:p w14:paraId="4AFEEA04" w14:textId="77777777" w:rsidR="00C205FC" w:rsidRDefault="00C205FC" w:rsidP="007B7D84">
      <w:pPr>
        <w:spacing w:after="0" w:line="240" w:lineRule="auto"/>
        <w:rPr>
          <w:rFonts w:ascii="Arial" w:eastAsia="Times" w:hAnsi="Arial" w:cs="Arial"/>
          <w:iCs/>
          <w:color w:val="212121"/>
        </w:rPr>
        <w:sectPr w:rsidR="00C205FC" w:rsidSect="00BD7C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B63678" w14:textId="686EC3E3" w:rsidR="00090335" w:rsidRPr="00E55084" w:rsidRDefault="00090335" w:rsidP="007B7D84">
      <w:pPr>
        <w:spacing w:after="0" w:line="240" w:lineRule="auto"/>
        <w:rPr>
          <w:rFonts w:ascii="Arial" w:eastAsia="Times" w:hAnsi="Arial" w:cs="Arial"/>
          <w:b/>
          <w:bCs/>
          <w:iCs/>
          <w:color w:val="212121"/>
        </w:rPr>
      </w:pPr>
      <w:r w:rsidRPr="00E55084">
        <w:rPr>
          <w:rFonts w:ascii="Arial" w:eastAsia="Times" w:hAnsi="Arial" w:cs="Arial"/>
          <w:b/>
          <w:bCs/>
          <w:iCs/>
          <w:color w:val="212121"/>
        </w:rPr>
        <w:lastRenderedPageBreak/>
        <w:t xml:space="preserve">B) Sub-analysis to determine the effect of treatment duration </w:t>
      </w:r>
      <w:bookmarkStart w:id="3" w:name="_Hlk13580153"/>
      <w:r w:rsidRPr="00E55084">
        <w:rPr>
          <w:rFonts w:ascii="Arial" w:eastAsia="Times" w:hAnsi="Arial" w:cs="Arial"/>
          <w:b/>
          <w:bCs/>
          <w:iCs/>
          <w:color w:val="212121"/>
        </w:rPr>
        <w:t>on outcome of PPI therapy for esophageal eosinophilia</w:t>
      </w:r>
    </w:p>
    <w:p w14:paraId="7CE80459" w14:textId="77777777" w:rsidR="00EC4B02" w:rsidRPr="00D4614A" w:rsidRDefault="00EC4B02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  <w:bookmarkStart w:id="4" w:name="_Hlk1549906"/>
      <w:bookmarkEnd w:id="2"/>
      <w:bookmarkEnd w:id="3"/>
    </w:p>
    <w:p w14:paraId="600BE6D6" w14:textId="2B1E754D" w:rsidR="007B7D84" w:rsidRPr="007B7D84" w:rsidRDefault="00EC4B02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  <w:r w:rsidRPr="00D4614A">
        <w:rPr>
          <w:rFonts w:ascii="Arial" w:eastAsia="Times New Roman" w:hAnsi="Arial" w:cs="Arial"/>
          <w:color w:val="000000" w:themeColor="text1"/>
          <w:lang w:val="en-GB"/>
        </w:rPr>
        <w:t xml:space="preserve">The target duration for PPI therapy was 8 weeks. 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Overall the </w:t>
      </w:r>
      <w:proofErr w:type="gramStart"/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mean(</w:t>
      </w:r>
      <w:proofErr w:type="gramEnd"/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SD) of PPI therapy duration was 10.0(1.4) weeks, with a high of 13.9 and a low of 4.6 weeks.  There were three patients who received PPI for less than 8 weeks (4.6 weeks, </w:t>
      </w:r>
      <w:r w:rsidR="008D2107" w:rsidRPr="008D2107">
        <w:rPr>
          <w:rFonts w:ascii="Arial" w:eastAsia="Times New Roman" w:hAnsi="Arial" w:cs="Arial"/>
          <w:color w:val="000000" w:themeColor="text1"/>
          <w:lang w:val="en-GB"/>
        </w:rPr>
        <w:t>PPI-nonresponsive EoE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; 6.9 weeks, </w:t>
      </w:r>
      <w:r w:rsidR="008D2107" w:rsidRPr="008D2107">
        <w:rPr>
          <w:rFonts w:ascii="Arial" w:eastAsia="Times New Roman" w:hAnsi="Arial" w:cs="Arial"/>
          <w:color w:val="000000" w:themeColor="text1"/>
          <w:lang w:val="en-GB"/>
        </w:rPr>
        <w:t>PPI-nonresponsive EoE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; and 7.7 weeks, complete 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PPI-REE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). </w:t>
      </w:r>
      <w:bookmarkEnd w:id="4"/>
      <w:r w:rsid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To determine if </w:t>
      </w:r>
      <w:r w:rsidR="004C1871">
        <w:rPr>
          <w:rFonts w:ascii="Arial" w:eastAsia="Times New Roman" w:hAnsi="Arial" w:cs="Arial"/>
          <w:color w:val="000000" w:themeColor="text1"/>
          <w:lang w:val="en-GB"/>
        </w:rPr>
        <w:t xml:space="preserve">PPI-REE outcome was influenced by </w:t>
      </w:r>
      <w:r w:rsidR="005615CA">
        <w:rPr>
          <w:rFonts w:ascii="Arial" w:eastAsia="Times New Roman" w:hAnsi="Arial" w:cs="Arial"/>
          <w:color w:val="000000" w:themeColor="text1"/>
          <w:lang w:val="en-GB"/>
        </w:rPr>
        <w:t>inclusion of patients who received less than 8 weeks of PPI therapy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, we performed a sub-</w:t>
      </w:r>
      <w:r w:rsidR="005615CA">
        <w:rPr>
          <w:rFonts w:ascii="Arial" w:eastAsia="Times New Roman" w:hAnsi="Arial" w:cs="Arial"/>
          <w:color w:val="000000" w:themeColor="text1"/>
          <w:lang w:val="en-GB"/>
        </w:rPr>
        <w:t xml:space="preserve">binary logistic regression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analysis of individuals who received &gt;= 8 weeks of PPI therapy</w:t>
      </w:r>
      <w:r w:rsidR="005615C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bookmarkStart w:id="5" w:name="_Hlk13839533"/>
      <w:r w:rsidR="005615CA" w:rsidRPr="005615CA">
        <w:rPr>
          <w:rFonts w:ascii="Arial" w:eastAsia="Times New Roman" w:hAnsi="Arial" w:cs="Arial"/>
          <w:color w:val="000000" w:themeColor="text1"/>
          <w:lang w:val="en-GB"/>
        </w:rPr>
        <w:t>(dominant genetic model for CYP2C19*17 GOF or rs1059513 with race, gender, age, PPI dose, and PPI type included as covariates)</w:t>
      </w:r>
      <w:bookmarkEnd w:id="5"/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.  We found that removal of individuals who received less than 8 weeks of PPI therapy improved the association of </w:t>
      </w:r>
      <w:r w:rsidR="00D4614A" w:rsidRPr="00D4614A">
        <w:rPr>
          <w:rFonts w:ascii="Arial" w:eastAsia="Times New Roman" w:hAnsi="Arial" w:cs="Arial"/>
          <w:i/>
          <w:iCs/>
          <w:color w:val="000000" w:themeColor="text1"/>
          <w:lang w:val="en-GB"/>
        </w:rPr>
        <w:t>CYP2C19</w:t>
      </w:r>
      <w:r w:rsidR="00D4614A" w:rsidRPr="00D4614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GOF with outcome in the full cohort</w:t>
      </w:r>
      <w:r w:rsidR="00C205FC">
        <w:rPr>
          <w:rFonts w:ascii="Arial" w:eastAsia="Times New Roman" w:hAnsi="Arial" w:cs="Arial"/>
          <w:color w:val="000000" w:themeColor="text1"/>
          <w:lang w:val="en-GB"/>
        </w:rPr>
        <w:t xml:space="preserve"> (Table S4)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43A380ED" w14:textId="70E79798" w:rsidR="007B7D84" w:rsidRDefault="007B7D84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</w:p>
    <w:p w14:paraId="727968E0" w14:textId="6E286001" w:rsidR="00C205FC" w:rsidRDefault="00C205FC" w:rsidP="00C205FC">
      <w:pPr>
        <w:shd w:val="clear" w:color="auto" w:fill="FFFFFF"/>
        <w:spacing w:after="0" w:line="240" w:lineRule="auto"/>
        <w:rPr>
          <w:rFonts w:ascii="Arial" w:eastAsia="Times" w:hAnsi="Arial" w:cs="Arial"/>
          <w:b/>
          <w:bCs/>
          <w:iCs/>
          <w:color w:val="212121"/>
        </w:rPr>
      </w:pPr>
      <w:r w:rsidRPr="00C205FC">
        <w:rPr>
          <w:rFonts w:ascii="Arial" w:eastAsia="Times New Roman" w:hAnsi="Arial" w:cs="Arial"/>
          <w:b/>
          <w:bCs/>
          <w:color w:val="000000" w:themeColor="text1"/>
          <w:lang w:val="en-GB"/>
        </w:rPr>
        <w:t>Table S</w:t>
      </w:r>
      <w:r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4:  </w:t>
      </w:r>
      <w:r w:rsidRPr="00C205FC">
        <w:rPr>
          <w:rFonts w:ascii="Arial" w:eastAsia="Times" w:hAnsi="Arial" w:cs="Arial"/>
          <w:b/>
          <w:bCs/>
          <w:iCs/>
          <w:color w:val="212121"/>
        </w:rPr>
        <w:t>Sub-analysis of patients who received &gt;= 8 weeks of esomeprazole</w:t>
      </w:r>
      <w:r w:rsidRPr="00C205FC">
        <w:rPr>
          <w:rFonts w:ascii="Arial" w:hAnsi="Arial" w:cs="Arial"/>
          <w:b/>
          <w:bCs/>
        </w:rPr>
        <w:t xml:space="preserve"> </w:t>
      </w:r>
      <w:r w:rsidRPr="00C205FC">
        <w:rPr>
          <w:rFonts w:ascii="Arial" w:eastAsia="Times" w:hAnsi="Arial" w:cs="Arial"/>
          <w:b/>
          <w:bCs/>
          <w:iCs/>
          <w:color w:val="212121"/>
        </w:rPr>
        <w:t>therapy for esophageal eosinophilia</w:t>
      </w:r>
    </w:p>
    <w:p w14:paraId="7FAFA1E5" w14:textId="77777777" w:rsidR="00C205FC" w:rsidRPr="007B7D84" w:rsidRDefault="00C205FC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</w:p>
    <w:tbl>
      <w:tblPr>
        <w:tblW w:w="10759" w:type="dxa"/>
        <w:tblLook w:val="04A0" w:firstRow="1" w:lastRow="0" w:firstColumn="1" w:lastColumn="0" w:noHBand="0" w:noVBand="1"/>
      </w:tblPr>
      <w:tblGrid>
        <w:gridCol w:w="2250"/>
        <w:gridCol w:w="937"/>
        <w:gridCol w:w="1223"/>
        <w:gridCol w:w="1710"/>
        <w:gridCol w:w="990"/>
        <w:gridCol w:w="2610"/>
        <w:gridCol w:w="1039"/>
      </w:tblGrid>
      <w:tr w:rsidR="00EC4B02" w:rsidRPr="00D4614A" w14:paraId="36713539" w14:textId="77777777" w:rsidTr="00D4614A">
        <w:trPr>
          <w:trHeight w:val="300"/>
        </w:trPr>
        <w:tc>
          <w:tcPr>
            <w:tcW w:w="22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27C033" w14:textId="19E0F697" w:rsidR="00EC4B02" w:rsidRPr="00D4614A" w:rsidRDefault="00EC4B02" w:rsidP="00D4614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Selection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054D20" w14:textId="14CE8EE8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Cohort</w:t>
            </w: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D6CB458" w14:textId="204EC637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Predictor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E4F6737" w14:textId="52D13DC7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PPI-REE </w:t>
            </w: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377B41" w14:textId="0E0BA2AD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803105" w14:textId="48D986B3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Complete PPI-REE </w:t>
            </w: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EE586CD" w14:textId="461B534B" w:rsidR="00EC4B02" w:rsidRPr="00D4614A" w:rsidRDefault="00D4614A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D4614A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</w:tr>
      <w:tr w:rsidR="00D4614A" w:rsidRPr="00D4614A" w14:paraId="267B7B5E" w14:textId="77777777" w:rsidTr="00D4614A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A5FA0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33A57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204CE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F2D94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0.12[0.02,0.67]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438F8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A5066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0.15[0.03,0.94]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B056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D4614A" w:rsidRPr="00D4614A" w14:paraId="3FEAFED7" w14:textId="77777777" w:rsidTr="00D4614A">
        <w:trPr>
          <w:trHeight w:val="300"/>
        </w:trPr>
        <w:tc>
          <w:tcPr>
            <w:tcW w:w="2250" w:type="dxa"/>
            <w:noWrap/>
            <w:vAlign w:val="bottom"/>
            <w:hideMark/>
          </w:tcPr>
          <w:p w14:paraId="6A38801D" w14:textId="25D719FF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&gt;= 8 weeks </w:t>
            </w:r>
            <w:r w:rsidR="00EC4B02" w:rsidRPr="00D4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937" w:type="dxa"/>
            <w:noWrap/>
            <w:vAlign w:val="bottom"/>
            <w:hideMark/>
          </w:tcPr>
          <w:p w14:paraId="1497D6DE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223" w:type="dxa"/>
            <w:noWrap/>
            <w:vAlign w:val="bottom"/>
            <w:hideMark/>
          </w:tcPr>
          <w:p w14:paraId="201ABF91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noWrap/>
            <w:vAlign w:val="bottom"/>
            <w:hideMark/>
          </w:tcPr>
          <w:p w14:paraId="3D33EB01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0.12[0.02,0.67]</w:t>
            </w:r>
          </w:p>
        </w:tc>
        <w:tc>
          <w:tcPr>
            <w:tcW w:w="990" w:type="dxa"/>
            <w:noWrap/>
            <w:vAlign w:val="bottom"/>
            <w:hideMark/>
          </w:tcPr>
          <w:p w14:paraId="0BCB4A3A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610" w:type="dxa"/>
            <w:noWrap/>
            <w:vAlign w:val="bottom"/>
            <w:hideMark/>
          </w:tcPr>
          <w:p w14:paraId="10EB43C7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0.15[0.03,0.94]</w:t>
            </w:r>
          </w:p>
        </w:tc>
        <w:tc>
          <w:tcPr>
            <w:tcW w:w="1039" w:type="dxa"/>
            <w:noWrap/>
            <w:vAlign w:val="bottom"/>
            <w:hideMark/>
          </w:tcPr>
          <w:p w14:paraId="2C93DF51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D4614A" w:rsidRPr="00D4614A" w14:paraId="6DCE4107" w14:textId="77777777" w:rsidTr="00D4614A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F64D5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1A57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B6913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AE633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0.13[0.02,0.83]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E2CBD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70BF4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0.28[0.04,1.72]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25973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</w:tr>
      <w:tr w:rsidR="00D4614A" w:rsidRPr="00D4614A" w14:paraId="7C099F2C" w14:textId="77777777" w:rsidTr="00D4614A">
        <w:trPr>
          <w:trHeight w:val="300"/>
        </w:trPr>
        <w:tc>
          <w:tcPr>
            <w:tcW w:w="2250" w:type="dxa"/>
            <w:noWrap/>
            <w:vAlign w:val="bottom"/>
            <w:hideMark/>
          </w:tcPr>
          <w:p w14:paraId="1CA1A8D9" w14:textId="558FFEE4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&gt;= 8 weeks </w:t>
            </w:r>
            <w:r w:rsidR="00EC4B02" w:rsidRPr="00D4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937" w:type="dxa"/>
            <w:noWrap/>
            <w:vAlign w:val="bottom"/>
            <w:hideMark/>
          </w:tcPr>
          <w:p w14:paraId="00D757B1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223" w:type="dxa"/>
            <w:noWrap/>
            <w:vAlign w:val="bottom"/>
            <w:hideMark/>
          </w:tcPr>
          <w:p w14:paraId="604BC005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noWrap/>
            <w:vAlign w:val="bottom"/>
            <w:hideMark/>
          </w:tcPr>
          <w:p w14:paraId="55126BCA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0.13[0.02,0.83]</w:t>
            </w:r>
          </w:p>
        </w:tc>
        <w:tc>
          <w:tcPr>
            <w:tcW w:w="990" w:type="dxa"/>
            <w:noWrap/>
            <w:vAlign w:val="bottom"/>
            <w:hideMark/>
          </w:tcPr>
          <w:p w14:paraId="3EBDFFDF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610" w:type="dxa"/>
            <w:noWrap/>
            <w:vAlign w:val="bottom"/>
            <w:hideMark/>
          </w:tcPr>
          <w:p w14:paraId="1A0DDF8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0.28[0.04,1.72]</w:t>
            </w:r>
          </w:p>
        </w:tc>
        <w:tc>
          <w:tcPr>
            <w:tcW w:w="1039" w:type="dxa"/>
            <w:noWrap/>
            <w:vAlign w:val="bottom"/>
            <w:hideMark/>
          </w:tcPr>
          <w:p w14:paraId="2145563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</w:tr>
      <w:tr w:rsidR="00D4614A" w:rsidRPr="00D4614A" w14:paraId="3AAC79B9" w14:textId="77777777" w:rsidTr="00D4614A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C4C5B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9EBCA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78F15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8E548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0.47[0.17,1.29]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0CE08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CB857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0.55[0.19,1.59]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89442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</w:t>
            </w:r>
          </w:p>
        </w:tc>
      </w:tr>
      <w:tr w:rsidR="00D4614A" w:rsidRPr="00D4614A" w14:paraId="0B88CEB4" w14:textId="77777777" w:rsidTr="00D4614A">
        <w:trPr>
          <w:trHeight w:val="300"/>
        </w:trPr>
        <w:tc>
          <w:tcPr>
            <w:tcW w:w="2250" w:type="dxa"/>
            <w:noWrap/>
            <w:vAlign w:val="bottom"/>
            <w:hideMark/>
          </w:tcPr>
          <w:p w14:paraId="05C68E92" w14:textId="6721FE8B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8 weeks of therapy</w:t>
            </w:r>
          </w:p>
        </w:tc>
        <w:tc>
          <w:tcPr>
            <w:tcW w:w="937" w:type="dxa"/>
            <w:noWrap/>
            <w:vAlign w:val="bottom"/>
            <w:hideMark/>
          </w:tcPr>
          <w:p w14:paraId="2D581AC8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223" w:type="dxa"/>
            <w:noWrap/>
            <w:vAlign w:val="bottom"/>
            <w:hideMark/>
          </w:tcPr>
          <w:p w14:paraId="280836C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710" w:type="dxa"/>
            <w:noWrap/>
            <w:vAlign w:val="bottom"/>
            <w:hideMark/>
          </w:tcPr>
          <w:p w14:paraId="5E2A857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0.36[0.13,1.03]</w:t>
            </w:r>
          </w:p>
        </w:tc>
        <w:tc>
          <w:tcPr>
            <w:tcW w:w="990" w:type="dxa"/>
            <w:noWrap/>
            <w:vAlign w:val="bottom"/>
            <w:hideMark/>
          </w:tcPr>
          <w:p w14:paraId="204F659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2610" w:type="dxa"/>
            <w:noWrap/>
            <w:vAlign w:val="bottom"/>
            <w:hideMark/>
          </w:tcPr>
          <w:p w14:paraId="20F974FA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0.44[0.14,1.32]</w:t>
            </w:r>
          </w:p>
        </w:tc>
        <w:tc>
          <w:tcPr>
            <w:tcW w:w="1039" w:type="dxa"/>
            <w:noWrap/>
            <w:vAlign w:val="bottom"/>
            <w:hideMark/>
          </w:tcPr>
          <w:p w14:paraId="1D095EDC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</w:t>
            </w:r>
          </w:p>
        </w:tc>
      </w:tr>
      <w:tr w:rsidR="00D4614A" w:rsidRPr="00D4614A" w14:paraId="592A34DA" w14:textId="77777777" w:rsidTr="003A05CF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A6E8C63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E0C5FE6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BC7BB4B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rs1059513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86903B1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6.16[1.44,26.35]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FBF4FCE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396555A6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7.02[1.98,24.9]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F93838A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D4614A" w:rsidRPr="00D4614A" w14:paraId="0C4120EA" w14:textId="77777777" w:rsidTr="003A05CF">
        <w:trPr>
          <w:trHeight w:val="300"/>
        </w:trPr>
        <w:tc>
          <w:tcPr>
            <w:tcW w:w="225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433A6271" w14:textId="5DB28DB4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8 weeks of therapy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31DF5B53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60BF438F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rs1059513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48FBEEF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5.3[1.22,23.04]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399CA593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4988CE92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6.29[1.74,22.67]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0698C89" w14:textId="77777777" w:rsidR="007B7D84" w:rsidRPr="007B7D84" w:rsidRDefault="007B7D84" w:rsidP="00EC4B0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</w:tr>
    </w:tbl>
    <w:p w14:paraId="13334CA0" w14:textId="77777777" w:rsidR="003A05CF" w:rsidRDefault="003A05CF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</w:p>
    <w:p w14:paraId="7BAB549A" w14:textId="76D98E41" w:rsidR="003A05CF" w:rsidRDefault="003A05CF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  <w:sectPr w:rsidR="003A05CF" w:rsidSect="00BD7C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8C65DA" w14:textId="5933BD3D" w:rsidR="003A05CF" w:rsidRPr="00E55084" w:rsidRDefault="003A05CF" w:rsidP="007B7D84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E55084">
        <w:rPr>
          <w:rFonts w:ascii="Arial" w:eastAsia="Calibri" w:hAnsi="Arial" w:cs="Arial"/>
          <w:b/>
          <w:color w:val="000000" w:themeColor="text1"/>
        </w:rPr>
        <w:lastRenderedPageBreak/>
        <w:t>C) Sub-analysis to determine the effect of PPI dosages at or below 1 mg/kg/day on outcome of PPI therapy for esophageal eosinophilia</w:t>
      </w:r>
    </w:p>
    <w:p w14:paraId="54E7F495" w14:textId="77777777" w:rsidR="003A05CF" w:rsidRDefault="003A05CF" w:rsidP="007B7D84">
      <w:pPr>
        <w:spacing w:after="0" w:line="240" w:lineRule="auto"/>
        <w:rPr>
          <w:rFonts w:ascii="Arial" w:eastAsia="Calibri" w:hAnsi="Arial" w:cs="Arial"/>
          <w:bCs/>
          <w:color w:val="000000" w:themeColor="text1"/>
        </w:rPr>
      </w:pPr>
    </w:p>
    <w:p w14:paraId="754CAB8E" w14:textId="03B55903" w:rsidR="007B7D84" w:rsidRPr="007B7D84" w:rsidRDefault="003A05CF" w:rsidP="007B7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/>
        </w:rPr>
      </w:pPr>
      <w:r>
        <w:rPr>
          <w:rFonts w:ascii="Arial" w:eastAsia="Times New Roman" w:hAnsi="Arial" w:cs="Arial"/>
          <w:bCs/>
          <w:color w:val="000000" w:themeColor="text1"/>
          <w:lang w:val="en-GB"/>
        </w:rPr>
        <w:t>T</w:t>
      </w:r>
      <w:r w:rsidR="007B7D84" w:rsidRPr="007B7D84">
        <w:rPr>
          <w:rFonts w:ascii="Arial" w:eastAsia="Times New Roman" w:hAnsi="Arial" w:cs="Arial"/>
          <w:bCs/>
          <w:color w:val="000000" w:themeColor="text1"/>
          <w:lang w:val="en-GB"/>
        </w:rPr>
        <w:t xml:space="preserve">he </w:t>
      </w:r>
      <w:r>
        <w:rPr>
          <w:rFonts w:ascii="Arial" w:eastAsia="Times New Roman" w:hAnsi="Arial" w:cs="Arial"/>
          <w:bCs/>
          <w:color w:val="000000" w:themeColor="text1"/>
          <w:lang w:val="en-GB"/>
        </w:rPr>
        <w:t>target dosage for the study was</w:t>
      </w:r>
      <w:r w:rsidR="007B7D84" w:rsidRPr="007B7D84">
        <w:rPr>
          <w:rFonts w:ascii="Arial" w:eastAsia="Times New Roman" w:hAnsi="Arial" w:cs="Arial"/>
          <w:bCs/>
          <w:color w:val="000000" w:themeColor="text1"/>
          <w:lang w:val="en-GB"/>
        </w:rPr>
        <w:t xml:space="preserve"> 2 mg/kg/day. </w:t>
      </w:r>
      <w:r>
        <w:rPr>
          <w:rFonts w:ascii="Arial" w:eastAsia="Times New Roman" w:hAnsi="Arial" w:cs="Arial"/>
          <w:bCs/>
          <w:color w:val="000000" w:themeColor="text1"/>
          <w:lang w:val="en-GB"/>
        </w:rPr>
        <w:t xml:space="preserve"> This target was successfully implemented for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87 patients to a maximum dose of 80 mg/day (maximum adult dose).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Variation in the dose range in these patients was due to either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their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weight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exceeding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40 kg or the limited granularity of available esomeprazole formulations (20 mg and 40 mg).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 Five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patients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inadvertently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receiv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ed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low dose PPI</w:t>
      </w:r>
      <w:r w:rsidR="00F03DFC" w:rsidRPr="00F03DFC">
        <w:t xml:space="preserve"> </w:t>
      </w:r>
      <w:r w:rsidR="00F03DFC">
        <w:t xml:space="preserve">due to a </w:t>
      </w:r>
      <w:r w:rsidR="00F03DFC" w:rsidRPr="00F03DFC">
        <w:rPr>
          <w:rFonts w:ascii="Arial" w:eastAsia="Times New Roman" w:hAnsi="Arial" w:cs="Arial"/>
          <w:color w:val="000000" w:themeColor="text1"/>
          <w:lang w:val="en-GB"/>
        </w:rPr>
        <w:t xml:space="preserve">misunderstanding in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>how to take the medication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.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Two of them received </w:t>
      </w:r>
      <w:r w:rsidR="004C1BE6">
        <w:rPr>
          <w:rFonts w:ascii="Arial" w:eastAsia="Times New Roman" w:hAnsi="Arial" w:cs="Arial"/>
          <w:color w:val="000000" w:themeColor="text1"/>
          <w:lang w:val="en-GB"/>
        </w:rPr>
        <w:t>&lt;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1 mg/kg/day and three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>received ~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1 mg/kg/day, 0,96, 1.12 and 1.18 mg/kg/day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. 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One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of these patients 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was PPI-REE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and four were </w:t>
      </w:r>
      <w:r w:rsidR="008D2107" w:rsidRPr="008D2107">
        <w:rPr>
          <w:rFonts w:ascii="Arial" w:eastAsia="Times New Roman" w:hAnsi="Arial" w:cs="Arial"/>
          <w:color w:val="000000" w:themeColor="text1"/>
          <w:lang w:val="en-GB"/>
        </w:rPr>
        <w:t>PPI-nonresponsive EoE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.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The whole population, including patients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>who received ≤</w:t>
      </w:r>
      <w:r w:rsidR="00F03DFC" w:rsidRPr="00F03DFC">
        <w:rPr>
          <w:rFonts w:ascii="Arial" w:eastAsia="Times New Roman" w:hAnsi="Arial" w:cs="Arial"/>
          <w:color w:val="000000" w:themeColor="text1"/>
          <w:lang w:val="en-GB"/>
        </w:rPr>
        <w:t>1 mg/kg/day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,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constitutes the Intention to Treat population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.  </w:t>
      </w:r>
      <w:r w:rsidR="008D2107">
        <w:rPr>
          <w:rFonts w:ascii="Arial" w:eastAsia="Times New Roman" w:hAnsi="Arial" w:cs="Arial"/>
          <w:color w:val="000000" w:themeColor="text1"/>
          <w:lang w:val="en-GB"/>
        </w:rPr>
        <w:t>Therefore,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 all patients regardless of dose were included in the analysis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. 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>D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ose variability </w:t>
      </w:r>
      <w:r w:rsidR="00F03DFC">
        <w:rPr>
          <w:rFonts w:ascii="Arial" w:eastAsia="Times New Roman" w:hAnsi="Arial" w:cs="Arial"/>
          <w:color w:val="000000" w:themeColor="text1"/>
          <w:lang w:val="en-GB"/>
        </w:rPr>
        <w:t xml:space="preserve">was corrected for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by including dose (mg/kg/day) as a covariate in all binary logistic regression models.  To determine if PPI-REE outcome was influenced by inclusion of the five patients who received ≤1mg/kg/day, we performed a sub-</w:t>
      </w:r>
      <w:r w:rsidR="005615CA">
        <w:rPr>
          <w:rFonts w:ascii="Arial" w:eastAsia="Times New Roman" w:hAnsi="Arial" w:cs="Arial"/>
          <w:color w:val="000000" w:themeColor="text1"/>
          <w:lang w:val="en-GB"/>
        </w:rPr>
        <w:t xml:space="preserve">binary logistic regression 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analysis of patients receiving </w:t>
      </w:r>
      <w:bookmarkStart w:id="6" w:name="_Hlk13584635"/>
      <w:r w:rsidR="004C1BE6">
        <w:rPr>
          <w:rFonts w:ascii="Arial" w:eastAsia="Times New Roman" w:hAnsi="Arial" w:cs="Arial"/>
          <w:color w:val="000000" w:themeColor="text1"/>
          <w:lang w:val="en-GB"/>
        </w:rPr>
        <w:t>&gt;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1 mg/kg/day</w:t>
      </w:r>
      <w:bookmarkEnd w:id="6"/>
      <w:r w:rsidR="005615CA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5615CA" w:rsidRPr="005615CA">
        <w:rPr>
          <w:rFonts w:ascii="Arial" w:eastAsia="Times New Roman" w:hAnsi="Arial" w:cs="Arial"/>
          <w:color w:val="000000" w:themeColor="text1"/>
          <w:lang w:val="en-GB"/>
        </w:rPr>
        <w:t>(dominant genetic model for CYP2C19*17 GOF or rs1059513 with race, gender, age, PPI dose, and PPI type included as covariates)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.  We found that removal of patients who received </w:t>
      </w:r>
      <w:r w:rsidR="00F03DFC" w:rsidRPr="007B7D84">
        <w:rPr>
          <w:rFonts w:ascii="Arial" w:eastAsia="Times New Roman" w:hAnsi="Arial" w:cs="Arial"/>
          <w:color w:val="000000" w:themeColor="text1"/>
          <w:lang w:val="en-GB"/>
        </w:rPr>
        <w:t>≤1mg/kg/day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of PPI did not significantly influence the association between </w:t>
      </w:r>
      <w:r w:rsidR="00F03DFC" w:rsidRPr="00F03DFC">
        <w:rPr>
          <w:rFonts w:ascii="Arial" w:eastAsia="Times New Roman" w:hAnsi="Arial" w:cs="Arial"/>
          <w:i/>
          <w:iCs/>
          <w:color w:val="000000" w:themeColor="text1"/>
          <w:lang w:val="en-GB"/>
        </w:rPr>
        <w:t>CYP2C19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or </w:t>
      </w:r>
      <w:r w:rsidR="007B7D84" w:rsidRPr="007B7D84">
        <w:rPr>
          <w:rFonts w:ascii="Arial" w:eastAsia="Times New Roman" w:hAnsi="Arial" w:cs="Arial"/>
          <w:i/>
          <w:iCs/>
          <w:color w:val="000000" w:themeColor="text1"/>
          <w:lang w:val="en-GB"/>
        </w:rPr>
        <w:t>STAT6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 xml:space="preserve"> SNP and outcome</w:t>
      </w:r>
      <w:r w:rsidR="004C1BE6">
        <w:rPr>
          <w:rFonts w:ascii="Arial" w:eastAsia="Times New Roman" w:hAnsi="Arial" w:cs="Arial"/>
          <w:color w:val="000000" w:themeColor="text1"/>
          <w:lang w:val="en-GB"/>
        </w:rPr>
        <w:t xml:space="preserve"> (Table S5)</w:t>
      </w:r>
      <w:r w:rsidR="007B7D84" w:rsidRPr="007B7D84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195E55EF" w14:textId="306469D4" w:rsidR="007B7D84" w:rsidRDefault="007B7D84" w:rsidP="007B7D8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lang w:val="en-GB"/>
        </w:rPr>
      </w:pPr>
    </w:p>
    <w:p w14:paraId="4FC319BA" w14:textId="64C66BFB" w:rsidR="004C1BE6" w:rsidRDefault="004C1BE6" w:rsidP="004C1BE6">
      <w:pPr>
        <w:shd w:val="clear" w:color="auto" w:fill="FFFFFF"/>
        <w:spacing w:after="0" w:line="240" w:lineRule="auto"/>
        <w:rPr>
          <w:rFonts w:ascii="Arial" w:eastAsia="Times" w:hAnsi="Arial" w:cs="Arial"/>
          <w:b/>
          <w:bCs/>
          <w:iCs/>
          <w:color w:val="212121"/>
        </w:rPr>
      </w:pPr>
      <w:r w:rsidRPr="00C205FC">
        <w:rPr>
          <w:rFonts w:ascii="Arial" w:eastAsia="Times New Roman" w:hAnsi="Arial" w:cs="Arial"/>
          <w:b/>
          <w:bCs/>
          <w:color w:val="000000" w:themeColor="text1"/>
          <w:lang w:val="en-GB"/>
        </w:rPr>
        <w:t>Table S</w:t>
      </w:r>
      <w:r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5:  </w:t>
      </w:r>
      <w:r w:rsidRPr="00C205FC">
        <w:rPr>
          <w:rFonts w:ascii="Arial" w:eastAsia="Times" w:hAnsi="Arial" w:cs="Arial"/>
          <w:b/>
          <w:bCs/>
          <w:iCs/>
          <w:color w:val="212121"/>
        </w:rPr>
        <w:t xml:space="preserve">Sub-analysis of patients who received </w:t>
      </w:r>
      <w:r w:rsidRPr="004C1BE6">
        <w:rPr>
          <w:rFonts w:ascii="Arial" w:eastAsia="Times" w:hAnsi="Arial" w:cs="Arial"/>
          <w:b/>
          <w:bCs/>
          <w:iCs/>
          <w:color w:val="212121"/>
        </w:rPr>
        <w:t xml:space="preserve">&gt; 1 mg/kg/day </w:t>
      </w:r>
      <w:r w:rsidRPr="00C205FC">
        <w:rPr>
          <w:rFonts w:ascii="Arial" w:eastAsia="Times" w:hAnsi="Arial" w:cs="Arial"/>
          <w:b/>
          <w:bCs/>
          <w:iCs/>
          <w:color w:val="212121"/>
        </w:rPr>
        <w:t>of esomeprazole</w:t>
      </w:r>
      <w:r w:rsidRPr="00C205FC">
        <w:rPr>
          <w:rFonts w:ascii="Arial" w:hAnsi="Arial" w:cs="Arial"/>
          <w:b/>
          <w:bCs/>
        </w:rPr>
        <w:t xml:space="preserve"> </w:t>
      </w:r>
      <w:r w:rsidRPr="00C205FC">
        <w:rPr>
          <w:rFonts w:ascii="Arial" w:eastAsia="Times" w:hAnsi="Arial" w:cs="Arial"/>
          <w:b/>
          <w:bCs/>
          <w:iCs/>
          <w:color w:val="212121"/>
        </w:rPr>
        <w:t>therapy for esophageal eosinophilia</w:t>
      </w:r>
    </w:p>
    <w:p w14:paraId="7BFB2F0A" w14:textId="77777777" w:rsidR="00C205FC" w:rsidRPr="007B7D84" w:rsidRDefault="00C205FC" w:rsidP="007B7D84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lang w:val="en-GB"/>
        </w:rPr>
      </w:pPr>
    </w:p>
    <w:tbl>
      <w:tblPr>
        <w:tblW w:w="10528" w:type="dxa"/>
        <w:tblLook w:val="04A0" w:firstRow="1" w:lastRow="0" w:firstColumn="1" w:lastColumn="0" w:noHBand="0" w:noVBand="1"/>
      </w:tblPr>
      <w:tblGrid>
        <w:gridCol w:w="1710"/>
        <w:gridCol w:w="900"/>
        <w:gridCol w:w="1350"/>
        <w:gridCol w:w="1662"/>
        <w:gridCol w:w="1128"/>
        <w:gridCol w:w="2520"/>
        <w:gridCol w:w="1258"/>
      </w:tblGrid>
      <w:tr w:rsidR="00E55084" w:rsidRPr="007B7D84" w14:paraId="4F717CC2" w14:textId="77777777" w:rsidTr="00E55084">
        <w:trPr>
          <w:trHeight w:val="315"/>
        </w:trPr>
        <w:tc>
          <w:tcPr>
            <w:tcW w:w="1710" w:type="dxa"/>
            <w:noWrap/>
            <w:vAlign w:val="bottom"/>
            <w:hideMark/>
          </w:tcPr>
          <w:p w14:paraId="6B9725D9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900" w:type="dxa"/>
            <w:noWrap/>
            <w:vAlign w:val="bottom"/>
            <w:hideMark/>
          </w:tcPr>
          <w:p w14:paraId="2093ED45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350" w:type="dxa"/>
            <w:noWrap/>
            <w:vAlign w:val="bottom"/>
            <w:hideMark/>
          </w:tcPr>
          <w:p w14:paraId="66023838" w14:textId="77777777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1662" w:type="dxa"/>
            <w:noWrap/>
            <w:vAlign w:val="bottom"/>
            <w:hideMark/>
          </w:tcPr>
          <w:p w14:paraId="7E33B978" w14:textId="0622F24B" w:rsidR="007B7D84" w:rsidRPr="007B7D84" w:rsidRDefault="00F03DFC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0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PPI-REE </w:t>
            </w: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28" w:type="dxa"/>
            <w:noWrap/>
            <w:vAlign w:val="bottom"/>
            <w:hideMark/>
          </w:tcPr>
          <w:p w14:paraId="215F3DD6" w14:textId="214FB724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03DFC" w:rsidRPr="00A40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2520" w:type="dxa"/>
            <w:noWrap/>
            <w:vAlign w:val="bottom"/>
            <w:hideMark/>
          </w:tcPr>
          <w:p w14:paraId="5DD3FD5A" w14:textId="03EDA11F" w:rsidR="007B7D84" w:rsidRPr="007B7D84" w:rsidRDefault="00A4084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0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Complete PPI-REE </w:t>
            </w: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58" w:type="dxa"/>
            <w:noWrap/>
            <w:vAlign w:val="bottom"/>
            <w:hideMark/>
          </w:tcPr>
          <w:p w14:paraId="28AB51E5" w14:textId="61F9D655" w:rsidR="007B7D84" w:rsidRPr="007B7D84" w:rsidRDefault="007B7D84" w:rsidP="007B7D8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03DFC" w:rsidRPr="00A40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E55084" w:rsidRPr="007B7D84" w14:paraId="6B73630B" w14:textId="77777777" w:rsidTr="00E55084">
        <w:trPr>
          <w:trHeight w:val="300"/>
        </w:trPr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EBA7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C42F4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169F4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A6AEB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0.12[0.02,0.67]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47277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1828CF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0.15[0.03,0.94]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23E0D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E55084" w:rsidRPr="007B7D84" w14:paraId="2947F976" w14:textId="77777777" w:rsidTr="00E5508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44AB939C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1 mg/kg/day</w:t>
            </w:r>
          </w:p>
        </w:tc>
        <w:tc>
          <w:tcPr>
            <w:tcW w:w="900" w:type="dxa"/>
            <w:noWrap/>
            <w:vAlign w:val="bottom"/>
            <w:hideMark/>
          </w:tcPr>
          <w:p w14:paraId="054A8FD5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350" w:type="dxa"/>
            <w:noWrap/>
            <w:vAlign w:val="bottom"/>
            <w:hideMark/>
          </w:tcPr>
          <w:p w14:paraId="187C8EC9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noWrap/>
            <w:vAlign w:val="bottom"/>
            <w:hideMark/>
          </w:tcPr>
          <w:p w14:paraId="7D7E7588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0.12[0.02,0.67]</w:t>
            </w:r>
          </w:p>
        </w:tc>
        <w:tc>
          <w:tcPr>
            <w:tcW w:w="1128" w:type="dxa"/>
            <w:noWrap/>
            <w:vAlign w:val="bottom"/>
            <w:hideMark/>
          </w:tcPr>
          <w:p w14:paraId="776FCB4E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520" w:type="dxa"/>
            <w:noWrap/>
            <w:vAlign w:val="bottom"/>
            <w:hideMark/>
          </w:tcPr>
          <w:p w14:paraId="16D7549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0.15[0.03,0.94]</w:t>
            </w:r>
          </w:p>
        </w:tc>
        <w:tc>
          <w:tcPr>
            <w:tcW w:w="1258" w:type="dxa"/>
            <w:noWrap/>
            <w:vAlign w:val="bottom"/>
            <w:hideMark/>
          </w:tcPr>
          <w:p w14:paraId="5DD4016F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E55084" w:rsidRPr="007B7D84" w14:paraId="1D76B635" w14:textId="77777777" w:rsidTr="00E5508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9DA31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457BA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650D0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71807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0.13[0.02,0.83]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7D9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ADFEC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0.28[0.04,1.72]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D15B6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</w:tr>
      <w:tr w:rsidR="00E55084" w:rsidRPr="007B7D84" w14:paraId="64D627F8" w14:textId="77777777" w:rsidTr="00E5508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6E38CB3B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1 mg/kg/day</w:t>
            </w:r>
          </w:p>
        </w:tc>
        <w:tc>
          <w:tcPr>
            <w:tcW w:w="900" w:type="dxa"/>
            <w:noWrap/>
            <w:vAlign w:val="bottom"/>
            <w:hideMark/>
          </w:tcPr>
          <w:p w14:paraId="13D992EE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350" w:type="dxa"/>
            <w:noWrap/>
            <w:vAlign w:val="bottom"/>
            <w:hideMark/>
          </w:tcPr>
          <w:p w14:paraId="1CE67354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noWrap/>
            <w:vAlign w:val="bottom"/>
            <w:hideMark/>
          </w:tcPr>
          <w:p w14:paraId="4FE32033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0.13[0.02,0.83]</w:t>
            </w:r>
          </w:p>
        </w:tc>
        <w:tc>
          <w:tcPr>
            <w:tcW w:w="1128" w:type="dxa"/>
            <w:noWrap/>
            <w:vAlign w:val="bottom"/>
            <w:hideMark/>
          </w:tcPr>
          <w:p w14:paraId="575737B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520" w:type="dxa"/>
            <w:noWrap/>
            <w:vAlign w:val="bottom"/>
            <w:hideMark/>
          </w:tcPr>
          <w:p w14:paraId="4800621C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0.28[0.04,1.72]</w:t>
            </w:r>
          </w:p>
        </w:tc>
        <w:tc>
          <w:tcPr>
            <w:tcW w:w="1258" w:type="dxa"/>
            <w:noWrap/>
            <w:vAlign w:val="bottom"/>
            <w:hideMark/>
          </w:tcPr>
          <w:p w14:paraId="51C099B9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</w:tr>
      <w:tr w:rsidR="00E55084" w:rsidRPr="007B7D84" w14:paraId="52532E2C" w14:textId="77777777" w:rsidTr="00E5508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8462A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87068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D13A2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6FD20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0.47[0.17,1.29]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99534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DF143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0.55[0.19,1.59]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D7D77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</w:t>
            </w:r>
          </w:p>
        </w:tc>
      </w:tr>
      <w:tr w:rsidR="00E55084" w:rsidRPr="007B7D84" w14:paraId="6FEAE61A" w14:textId="77777777" w:rsidTr="00E5508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C1F360F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1 mg/kg/day</w:t>
            </w:r>
          </w:p>
        </w:tc>
        <w:tc>
          <w:tcPr>
            <w:tcW w:w="900" w:type="dxa"/>
            <w:noWrap/>
            <w:vAlign w:val="bottom"/>
            <w:hideMark/>
          </w:tcPr>
          <w:p w14:paraId="3469C2C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50" w:type="dxa"/>
            <w:noWrap/>
            <w:vAlign w:val="bottom"/>
            <w:hideMark/>
          </w:tcPr>
          <w:p w14:paraId="58612FC4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</w:t>
            </w:r>
          </w:p>
        </w:tc>
        <w:tc>
          <w:tcPr>
            <w:tcW w:w="1662" w:type="dxa"/>
            <w:noWrap/>
            <w:vAlign w:val="bottom"/>
            <w:hideMark/>
          </w:tcPr>
          <w:p w14:paraId="23726140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0.43[0.15,1.21]</w:t>
            </w:r>
          </w:p>
        </w:tc>
        <w:tc>
          <w:tcPr>
            <w:tcW w:w="1128" w:type="dxa"/>
            <w:noWrap/>
            <w:vAlign w:val="bottom"/>
            <w:hideMark/>
          </w:tcPr>
          <w:p w14:paraId="76098F1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2520" w:type="dxa"/>
            <w:noWrap/>
            <w:vAlign w:val="bottom"/>
            <w:hideMark/>
          </w:tcPr>
          <w:p w14:paraId="67C26F91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0.48[0.16,1.42]</w:t>
            </w:r>
          </w:p>
        </w:tc>
        <w:tc>
          <w:tcPr>
            <w:tcW w:w="1258" w:type="dxa"/>
            <w:noWrap/>
            <w:vAlign w:val="bottom"/>
            <w:hideMark/>
          </w:tcPr>
          <w:p w14:paraId="293EF933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0.185</w:t>
            </w:r>
          </w:p>
        </w:tc>
      </w:tr>
      <w:tr w:rsidR="00E55084" w:rsidRPr="007B7D84" w14:paraId="2EAD007B" w14:textId="77777777" w:rsidTr="00E5508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A65B7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CD11B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ED86B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rs1059513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15205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6.16[1.44,26.35]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458CB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F2875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7.02[1.98,24.9]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FD9A3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E55084" w:rsidRPr="007B7D84" w14:paraId="45E8E3A1" w14:textId="77777777" w:rsidTr="00E5508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3DF8465A" w14:textId="77777777" w:rsidR="007B7D84" w:rsidRPr="007B7D84" w:rsidRDefault="007B7D84" w:rsidP="007B7D84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&gt;= 1 mg/kg/day</w:t>
            </w:r>
          </w:p>
        </w:tc>
        <w:tc>
          <w:tcPr>
            <w:tcW w:w="900" w:type="dxa"/>
            <w:noWrap/>
            <w:vAlign w:val="bottom"/>
            <w:hideMark/>
          </w:tcPr>
          <w:p w14:paraId="78AFB219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50" w:type="dxa"/>
            <w:noWrap/>
            <w:vAlign w:val="bottom"/>
            <w:hideMark/>
          </w:tcPr>
          <w:p w14:paraId="07506D42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rs1059513</w:t>
            </w:r>
          </w:p>
        </w:tc>
        <w:tc>
          <w:tcPr>
            <w:tcW w:w="1662" w:type="dxa"/>
            <w:noWrap/>
            <w:vAlign w:val="bottom"/>
            <w:hideMark/>
          </w:tcPr>
          <w:p w14:paraId="337C4057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6.04[1.37,26.56]</w:t>
            </w:r>
          </w:p>
        </w:tc>
        <w:tc>
          <w:tcPr>
            <w:tcW w:w="1128" w:type="dxa"/>
            <w:noWrap/>
            <w:vAlign w:val="bottom"/>
            <w:hideMark/>
          </w:tcPr>
          <w:p w14:paraId="40BD0865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520" w:type="dxa"/>
            <w:noWrap/>
            <w:vAlign w:val="bottom"/>
            <w:hideMark/>
          </w:tcPr>
          <w:p w14:paraId="2EF7ECC6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6.5[1.82,23.15]</w:t>
            </w:r>
          </w:p>
        </w:tc>
        <w:tc>
          <w:tcPr>
            <w:tcW w:w="1258" w:type="dxa"/>
            <w:noWrap/>
            <w:vAlign w:val="bottom"/>
            <w:hideMark/>
          </w:tcPr>
          <w:p w14:paraId="784338D9" w14:textId="77777777" w:rsidR="007B7D84" w:rsidRPr="007B7D84" w:rsidRDefault="007B7D84" w:rsidP="00A4084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D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</w:tbl>
    <w:p w14:paraId="1E9C51FD" w14:textId="77777777" w:rsidR="00E55084" w:rsidRDefault="00E55084" w:rsidP="00E5508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640C9351" w14:textId="06B2B189" w:rsidR="00E55084" w:rsidRDefault="00E55084" w:rsidP="00E5508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10518540" w14:textId="40CA116E" w:rsidR="004C1871" w:rsidRPr="004C1871" w:rsidRDefault="004C1871" w:rsidP="00E5508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</w:rPr>
      </w:pPr>
      <w:r w:rsidRPr="004C1871">
        <w:rPr>
          <w:rFonts w:ascii="Arial" w:hAnsi="Arial" w:cs="Arial"/>
          <w:b/>
          <w:bCs/>
        </w:rPr>
        <w:t>References</w:t>
      </w:r>
    </w:p>
    <w:p w14:paraId="0A83B7B9" w14:textId="77777777" w:rsidR="00E55084" w:rsidRPr="00E55084" w:rsidRDefault="00E55084" w:rsidP="00E55084">
      <w:pPr>
        <w:pStyle w:val="EndNoteBibliography"/>
        <w:spacing w:after="0"/>
        <w:ind w:left="720" w:hanging="72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E55084">
        <w:t>1.</w:t>
      </w:r>
      <w:r w:rsidRPr="00E55084">
        <w:tab/>
        <w:t xml:space="preserve">Kirchheiner J, Glatt S, Fuhr U, et al. Relative potency of proton-pump inhibitors-comparison of effects on intragastric pH. </w:t>
      </w:r>
      <w:r w:rsidRPr="00E55084">
        <w:rPr>
          <w:i/>
        </w:rPr>
        <w:t xml:space="preserve">Eur J Clin Pharmacol. </w:t>
      </w:r>
      <w:r w:rsidRPr="00E55084">
        <w:t>2009;65(1):19-31.</w:t>
      </w:r>
    </w:p>
    <w:p w14:paraId="161F9A6F" w14:textId="77777777" w:rsidR="00E55084" w:rsidRPr="00E55084" w:rsidRDefault="00E55084" w:rsidP="00E55084">
      <w:pPr>
        <w:pStyle w:val="EndNoteBibliography"/>
        <w:ind w:left="720" w:hanging="720"/>
      </w:pPr>
      <w:r w:rsidRPr="00E55084">
        <w:t>2.</w:t>
      </w:r>
      <w:r w:rsidRPr="00E55084">
        <w:tab/>
        <w:t xml:space="preserve">Cheng E, Zhang X, Huo X, et al. Omeprazole blocks eotaxin-3 expression by oesophageal squamous cells from patients with eosinophilic oesophagitis and GORD. </w:t>
      </w:r>
      <w:r w:rsidRPr="00E55084">
        <w:rPr>
          <w:i/>
        </w:rPr>
        <w:t xml:space="preserve">Gut. </w:t>
      </w:r>
      <w:r w:rsidRPr="00E55084">
        <w:t>2013;62(6):824-832.</w:t>
      </w:r>
    </w:p>
    <w:p w14:paraId="29D95EA3" w14:textId="4864C0DA" w:rsidR="00C141D4" w:rsidRPr="00D4614A" w:rsidRDefault="00E55084" w:rsidP="00E5508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7" w:name="_GoBack"/>
      <w:bookmarkEnd w:id="7"/>
    </w:p>
    <w:sectPr w:rsidR="00C141D4" w:rsidRPr="00D4614A" w:rsidSect="00BD7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D16"/>
    <w:multiLevelType w:val="hybridMultilevel"/>
    <w:tmpl w:val="A59CC16A"/>
    <w:lvl w:ilvl="0" w:tplc="B8DEA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86F15"/>
    <w:multiLevelType w:val="hybridMultilevel"/>
    <w:tmpl w:val="7B085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fwsd2xmfwewteee9aprp53r0vt2axxderx&quot;&gt;CYP_STAT 04092019&lt;record-ids&gt;&lt;item&gt;12&lt;/item&gt;&lt;item&gt;57&lt;/item&gt;&lt;/record-ids&gt;&lt;/item&gt;&lt;/Libraries&gt;"/>
  </w:docVars>
  <w:rsids>
    <w:rsidRoot w:val="00BD7C41"/>
    <w:rsid w:val="00090335"/>
    <w:rsid w:val="00103B3D"/>
    <w:rsid w:val="0038732F"/>
    <w:rsid w:val="003A05CF"/>
    <w:rsid w:val="004C1871"/>
    <w:rsid w:val="004C1BE6"/>
    <w:rsid w:val="00547256"/>
    <w:rsid w:val="005615CA"/>
    <w:rsid w:val="005A45C1"/>
    <w:rsid w:val="005F3A20"/>
    <w:rsid w:val="006828E2"/>
    <w:rsid w:val="007B7D84"/>
    <w:rsid w:val="008D2107"/>
    <w:rsid w:val="009560E4"/>
    <w:rsid w:val="00A40844"/>
    <w:rsid w:val="00B444A8"/>
    <w:rsid w:val="00BD7C41"/>
    <w:rsid w:val="00C141D4"/>
    <w:rsid w:val="00C205FC"/>
    <w:rsid w:val="00D0461D"/>
    <w:rsid w:val="00D4614A"/>
    <w:rsid w:val="00E55084"/>
    <w:rsid w:val="00EC4B02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FEFC"/>
  <w15:chartTrackingRefBased/>
  <w15:docId w15:val="{C8D285BB-CA5E-497C-A15A-2DF6118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C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550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50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550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508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Mougey</dc:creator>
  <cp:keywords/>
  <dc:description/>
  <cp:lastModifiedBy>Ed Mougey</cp:lastModifiedBy>
  <cp:revision>6</cp:revision>
  <dcterms:created xsi:type="dcterms:W3CDTF">2019-07-09T18:13:00Z</dcterms:created>
  <dcterms:modified xsi:type="dcterms:W3CDTF">2019-07-12T20:06:00Z</dcterms:modified>
</cp:coreProperties>
</file>