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6B" w:rsidRPr="00747200" w:rsidRDefault="000D786B" w:rsidP="00291A05">
      <w:pPr>
        <w:tabs>
          <w:tab w:val="clear" w:pos="0"/>
        </w:tabs>
        <w:spacing w:line="240" w:lineRule="auto"/>
        <w:outlineLvl w:val="9"/>
        <w:rPr>
          <w:rFonts w:cs="Arial"/>
          <w:b/>
        </w:rPr>
      </w:pPr>
      <w:bookmarkStart w:id="0" w:name="_GoBack"/>
      <w:bookmarkEnd w:id="0"/>
      <w:r w:rsidRPr="00747200">
        <w:rPr>
          <w:rFonts w:cs="Arial"/>
          <w:b/>
        </w:rPr>
        <w:t>Supplemental Digital Content 1</w:t>
      </w:r>
    </w:p>
    <w:p w:rsidR="000D786B" w:rsidRDefault="000D786B" w:rsidP="00291A05">
      <w:pPr>
        <w:tabs>
          <w:tab w:val="clear" w:pos="0"/>
        </w:tabs>
        <w:spacing w:line="240" w:lineRule="auto"/>
        <w:outlineLvl w:val="9"/>
        <w:rPr>
          <w:rFonts w:cs="Arial"/>
          <w:sz w:val="20"/>
          <w:szCs w:val="20"/>
        </w:rPr>
      </w:pPr>
    </w:p>
    <w:p w:rsidR="000D786B" w:rsidRPr="000A3E56" w:rsidRDefault="000D786B" w:rsidP="00747200">
      <w:pPr>
        <w:pStyle w:val="Kop2"/>
        <w:spacing w:line="276" w:lineRule="auto"/>
      </w:pPr>
      <w:r w:rsidRPr="000A3E56">
        <w:t xml:space="preserve">Table. Overview of Publications Identified Evaluating PEBD Clinical Outcomes in PFIC Patients  </w:t>
      </w:r>
    </w:p>
    <w:tbl>
      <w:tblPr>
        <w:tblW w:w="12798" w:type="dxa"/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2070"/>
        <w:gridCol w:w="1890"/>
        <w:gridCol w:w="5670"/>
      </w:tblGrid>
      <w:tr w:rsidR="000D786B" w:rsidRPr="000A3E56" w:rsidTr="00747200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786B" w:rsidRPr="000A3E56" w:rsidRDefault="000D786B" w:rsidP="00747200">
            <w:pPr>
              <w:keepNext/>
              <w:spacing w:before="60" w:after="6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>N</w:t>
            </w:r>
            <w:r w:rsidRPr="000A3E56">
              <w:rPr>
                <w:rFonts w:eastAsia="Calibri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 xml:space="preserve">Liver Biochemistry Parameters </w:t>
            </w:r>
            <w:proofErr w:type="spellStart"/>
            <w:r w:rsidRPr="00881368">
              <w:rPr>
                <w:rFonts w:eastAsia="Calibri" w:cs="Arial"/>
                <w:b/>
                <w:sz w:val="20"/>
                <w:szCs w:val="20"/>
              </w:rPr>
              <w:t>Reported</w:t>
            </w:r>
            <w:r w:rsidRPr="00881368">
              <w:rPr>
                <w:rFonts w:eastAsia="Calibri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>Outcomes Reported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>Responder Rate/Description</w:t>
            </w:r>
          </w:p>
        </w:tc>
      </w:tr>
      <w:tr w:rsidR="000D786B" w:rsidRPr="000A3E56" w:rsidTr="00747200">
        <w:trPr>
          <w:trHeight w:val="85"/>
        </w:trPr>
        <w:tc>
          <w:tcPr>
            <w:tcW w:w="127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D786B" w:rsidRPr="000A3E56" w:rsidRDefault="000D786B" w:rsidP="00B537D8">
            <w:pPr>
              <w:tabs>
                <w:tab w:val="clear" w:pos="0"/>
              </w:tabs>
              <w:spacing w:before="60"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>Aggregate data, early response</w:t>
            </w:r>
          </w:p>
        </w:tc>
      </w:tr>
      <w:tr w:rsidR="000D786B" w:rsidRPr="000A3E56" w:rsidTr="00747200">
        <w:trPr>
          <w:trHeight w:val="1944"/>
        </w:trPr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Ismail,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1999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 xml:space="preserve">ALT, BA, bilirubin 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Growth, histology, 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12/16 responders (complete clinical and biochemical improvement)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2/16 partial responders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2/16 non-responders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 xml:space="preserve">Biochemical improvement creates a bias toward </w:t>
            </w:r>
            <w:r w:rsidRPr="000922B6">
              <w:rPr>
                <w:rFonts w:cs="Arial"/>
                <w:sz w:val="20"/>
                <w:szCs w:val="20"/>
              </w:rPr>
              <w:t>liver biochemistry parameters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>Difficult to match bile acid levels to individuals; the group as such is regarded as “partial responders”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>Bilirubin levels are defined for 12 responders vs the rest; in the bilirubin analysis, data are therefore tabulated as responders and partial/non-responders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Melter,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2000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6</w:t>
            </w:r>
            <w:r w:rsidRPr="000A3E56">
              <w:rPr>
                <w:rFonts w:eastAsia="Calibri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  <w:lang w:val="sv-SE"/>
              </w:rPr>
            </w:pPr>
            <w:r w:rsidRPr="000A3E56">
              <w:rPr>
                <w:rFonts w:eastAsia="Calibri" w:cs="Arial"/>
                <w:sz w:val="20"/>
                <w:szCs w:val="20"/>
                <w:lang w:val="sv-SE"/>
              </w:rPr>
              <w:t xml:space="preserve">ALT, AST, BA, 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bilirubin</w:t>
            </w:r>
            <w:proofErr w:type="spellEnd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 xml:space="preserve">, GGT 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Growth, liver function, pruritus, QoL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6/6 responders (complete responses within 1 week with respect to pruritus and jaundice)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Kalicinski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2003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BA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Growth, 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15/20 responders (pruritus and jaundice resolved)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3/20 partial responders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2/20 non-responders (required liver transplant)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>As a group, this was considered as a partial-responding group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Yang,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2009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  <w:lang w:val="sv-SE"/>
              </w:rPr>
            </w:pPr>
            <w:r w:rsidRPr="000A3E56">
              <w:rPr>
                <w:rFonts w:eastAsia="Calibri" w:cs="Arial"/>
                <w:sz w:val="20"/>
                <w:szCs w:val="20"/>
                <w:lang w:val="sv-SE"/>
              </w:rPr>
              <w:t xml:space="preserve">ALT, ALP, AST, BA, 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bilirubin</w:t>
            </w:r>
            <w:proofErr w:type="spellEnd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, GGT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Growth, pruritus, sleep, QoL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5/11 responders (no pruritus)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3/11 partial responders (mild pruritus)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3/11 non-responders (severe pruritus)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Halaweish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2010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ALT, ALP, AST, bilirubin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6/7 responders (i</w:t>
            </w:r>
            <w:r>
              <w:rPr>
                <w:rFonts w:eastAsia="Calibri" w:cs="Arial"/>
                <w:sz w:val="20"/>
                <w:szCs w:val="20"/>
              </w:rPr>
              <w:t>.</w:t>
            </w:r>
            <w:r w:rsidRPr="000A3E56">
              <w:rPr>
                <w:rFonts w:eastAsia="Calibri" w:cs="Arial"/>
                <w:sz w:val="20"/>
                <w:szCs w:val="20"/>
              </w:rPr>
              <w:t>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  <w:r w:rsidRPr="000A3E56">
              <w:rPr>
                <w:rFonts w:eastAsia="Calibri" w:cs="Arial"/>
                <w:sz w:val="20"/>
                <w:szCs w:val="20"/>
              </w:rPr>
              <w:t xml:space="preserve"> complete or near-complete resolution of pruritus and jaundice during the initial 6 months)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lastRenderedPageBreak/>
              <w:t>Pruritus re-occurred later in some patients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>Defined as a partial-responding group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keepNext/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lastRenderedPageBreak/>
              <w:t>Schukfeh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keepNext/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2012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keepNext/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21</w:t>
            </w:r>
            <w:r w:rsidRPr="000A3E56">
              <w:rPr>
                <w:rFonts w:eastAsia="Calibri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keepNext/>
              <w:spacing w:before="60" w:after="60" w:line="240" w:lineRule="auto"/>
              <w:rPr>
                <w:rFonts w:eastAsia="Calibri" w:cs="Arial"/>
                <w:sz w:val="20"/>
                <w:szCs w:val="20"/>
                <w:lang w:val="sv-SE"/>
              </w:rPr>
            </w:pPr>
            <w:r w:rsidRPr="000A3E56">
              <w:rPr>
                <w:rFonts w:eastAsia="Calibri" w:cs="Arial"/>
                <w:sz w:val="20"/>
                <w:szCs w:val="20"/>
                <w:lang w:val="sv-SE"/>
              </w:rPr>
              <w:t xml:space="preserve">ALT, AST, BA, 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bilirubin</w:t>
            </w:r>
            <w:proofErr w:type="spellEnd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, GGT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keepNext/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Liver function, 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keepNext/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13/21 responders (relief of pruritus and bile acid normalization)</w:t>
            </w:r>
          </w:p>
          <w:p w:rsidR="000D786B" w:rsidRPr="000A3E56" w:rsidRDefault="000D786B" w:rsidP="000D786B">
            <w:pPr>
              <w:keepNext/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8/21 non-responders</w:t>
            </w:r>
          </w:p>
          <w:p w:rsidR="000D786B" w:rsidRPr="000A3E56" w:rsidRDefault="000D786B" w:rsidP="000D786B">
            <w:pPr>
              <w:keepNext/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>Bias toward BA</w:t>
            </w:r>
          </w:p>
          <w:p w:rsidR="000D786B" w:rsidRPr="000A3E56" w:rsidRDefault="000D786B" w:rsidP="000D786B">
            <w:pPr>
              <w:keepNext/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cs="Arial"/>
                <w:sz w:val="20"/>
                <w:szCs w:val="20"/>
              </w:rPr>
              <w:t>Defined as a partial-responding group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Jankowska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2016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26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BA, bilirubin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18/26 responders (complete relief from pruritus and normalization of total bilirubin and BA)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8/26 non-responders</w:t>
            </w:r>
          </w:p>
        </w:tc>
      </w:tr>
      <w:tr w:rsidR="000D786B" w:rsidRPr="000A3E56" w:rsidTr="00747200">
        <w:trPr>
          <w:trHeight w:val="95"/>
        </w:trPr>
        <w:tc>
          <w:tcPr>
            <w:tcW w:w="12798" w:type="dxa"/>
            <w:gridSpan w:val="5"/>
            <w:shd w:val="clear" w:color="auto" w:fill="auto"/>
          </w:tcPr>
          <w:p w:rsidR="000D786B" w:rsidRPr="000A3E56" w:rsidRDefault="000D786B" w:rsidP="00B537D8">
            <w:pPr>
              <w:tabs>
                <w:tab w:val="clear" w:pos="0"/>
              </w:tabs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t>Individual patient data, early response</w:t>
            </w:r>
          </w:p>
        </w:tc>
      </w:tr>
      <w:tr w:rsidR="000D786B" w:rsidRPr="000A3E56" w:rsidTr="00747200">
        <w:trPr>
          <w:trHeight w:val="503"/>
        </w:trPr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Whitington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1988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8</w:t>
            </w:r>
            <w:r w:rsidRPr="000A3E56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ALT, ALP, BA, bilirubin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Growth, histology, pruritus, QoL</w:t>
            </w:r>
            <w:r w:rsidRPr="000A3E56" w:rsidDel="00B5501A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4/4 responders (complete clinical remission from pruritus within 48 hours)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Ng,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2000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ALT, BA, bilirubin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Histology, 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3/3 responders (resolution of pruritus)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Kurbegov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2003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  <w:lang w:val="sv-SE"/>
              </w:rPr>
            </w:pPr>
            <w:r w:rsidRPr="000A3E56">
              <w:rPr>
                <w:rFonts w:eastAsia="Calibri" w:cs="Arial"/>
                <w:sz w:val="20"/>
                <w:szCs w:val="20"/>
                <w:lang w:val="sv-SE"/>
              </w:rPr>
              <w:t xml:space="preserve">ALT, ALP, AST, 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bBA</w:t>
            </w:r>
            <w:proofErr w:type="spellEnd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bilirubin</w:t>
            </w:r>
            <w:proofErr w:type="spellEnd"/>
            <w:r w:rsidRPr="000A3E56">
              <w:rPr>
                <w:rFonts w:eastAsia="Calibri" w:cs="Arial"/>
                <w:sz w:val="20"/>
                <w:szCs w:val="20"/>
                <w:lang w:val="sv-SE"/>
              </w:rPr>
              <w:t>, GGT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Histology, pruritus, growth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3/3 responders (resolution of jaundice, pruritus, improved growth, morphological improvement)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Ekinci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2008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ALP, BA, bilirubin, GGT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2/2 responders (pruritus ceased within 2 weeks, appetite and sleep improved)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Arnell, 2008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12</w:t>
            </w:r>
            <w:r w:rsidRPr="000A3E56">
              <w:rPr>
                <w:rFonts w:eastAsia="Calibri" w:cs="Arial"/>
                <w:sz w:val="20"/>
                <w:szCs w:val="20"/>
                <w:vertAlign w:val="superscript"/>
              </w:rPr>
              <w:t>,d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ALT, BA, bilirubin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Growth, histology, 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7/12 responders (pruritus resolved)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2/12 partial responders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3/12 non-responders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Schukfeh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2014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BA</w:t>
            </w:r>
            <w:r>
              <w:rPr>
                <w:rFonts w:eastAsia="Calibri" w:cs="Arial"/>
                <w:sz w:val="20"/>
                <w:szCs w:val="20"/>
              </w:rPr>
              <w:t xml:space="preserve">, </w:t>
            </w:r>
            <w:r w:rsidRPr="00AB71A1">
              <w:rPr>
                <w:rFonts w:eastAsia="Calibri" w:cs="Arial"/>
                <w:sz w:val="20"/>
                <w:szCs w:val="20"/>
              </w:rPr>
              <w:t xml:space="preserve">bilirubin 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Pruritus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2/2 responders (total relief of pruritus within 6 weeks)</w:t>
            </w:r>
          </w:p>
        </w:tc>
      </w:tr>
      <w:tr w:rsidR="000D786B" w:rsidRPr="000A3E56" w:rsidTr="00747200">
        <w:tc>
          <w:tcPr>
            <w:tcW w:w="12798" w:type="dxa"/>
            <w:gridSpan w:val="5"/>
            <w:shd w:val="clear" w:color="auto" w:fill="auto"/>
          </w:tcPr>
          <w:p w:rsidR="000D786B" w:rsidRPr="000A3E56" w:rsidRDefault="000D786B" w:rsidP="00B537D8">
            <w:pPr>
              <w:keepNext/>
              <w:tabs>
                <w:tab w:val="clear" w:pos="0"/>
              </w:tabs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Individual patient data, early response and/or long-term outcomes 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keepNext/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Arnell,</w:t>
            </w:r>
          </w:p>
          <w:p w:rsidR="000D786B" w:rsidRPr="000A3E56" w:rsidRDefault="000D786B" w:rsidP="008D11B9">
            <w:pPr>
              <w:keepNext/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2010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14</w:t>
            </w:r>
            <w:r w:rsidRPr="000A3E56">
              <w:rPr>
                <w:rFonts w:eastAsia="Calibri" w:cs="Arial"/>
                <w:sz w:val="20"/>
                <w:szCs w:val="20"/>
                <w:vertAlign w:val="superscript"/>
              </w:rPr>
              <w:t xml:space="preserve">,d,e 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Data from Arnell, 2008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Histology, LTX, death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 xml:space="preserve">Used only for long-term 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outcomes</w:t>
            </w:r>
            <w:r w:rsidRPr="000A3E56">
              <w:rPr>
                <w:rFonts w:eastAsia="Calibri" w:cs="Arial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11 patients followed for &gt;5 years; 2 needed LTX or died</w:t>
            </w:r>
          </w:p>
        </w:tc>
      </w:tr>
      <w:tr w:rsidR="000D786B" w:rsidRPr="000A3E56" w:rsidTr="00747200">
        <w:tc>
          <w:tcPr>
            <w:tcW w:w="2268" w:type="dxa"/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Emerick,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2008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ALT, BA, bilirubin</w:t>
            </w:r>
          </w:p>
        </w:tc>
        <w:tc>
          <w:tcPr>
            <w:tcW w:w="1890" w:type="dxa"/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Histology, pruritus, LTX, death</w:t>
            </w:r>
          </w:p>
        </w:tc>
        <w:tc>
          <w:tcPr>
            <w:tcW w:w="5670" w:type="dxa"/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4/7 responders (reduction in pruritus by 2 units or BA &lt;40 µ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mol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/L); 3/7 non-responders (pruritus change &lt;1 unit or BA &gt;40 µ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mol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/L)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5 needed LTX or died</w:t>
            </w:r>
          </w:p>
        </w:tc>
      </w:tr>
      <w:tr w:rsidR="000D786B" w:rsidRPr="000A3E56" w:rsidTr="0074720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86B" w:rsidRPr="000A3E56" w:rsidRDefault="000D786B" w:rsidP="00747200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Davit-</w:t>
            </w:r>
            <w:proofErr w:type="spellStart"/>
            <w:r w:rsidRPr="000A3E56">
              <w:rPr>
                <w:rFonts w:eastAsia="Calibri" w:cs="Arial"/>
                <w:sz w:val="20"/>
                <w:szCs w:val="20"/>
              </w:rPr>
              <w:t>Spraul</w:t>
            </w:r>
            <w:proofErr w:type="spellEnd"/>
            <w:r w:rsidRPr="000A3E56">
              <w:rPr>
                <w:rFonts w:eastAsia="Calibri" w:cs="Arial"/>
                <w:sz w:val="20"/>
                <w:szCs w:val="20"/>
              </w:rPr>
              <w:t>,</w:t>
            </w:r>
          </w:p>
          <w:p w:rsidR="000D786B" w:rsidRPr="000A3E56" w:rsidRDefault="000D786B" w:rsidP="008D11B9">
            <w:pPr>
              <w:tabs>
                <w:tab w:val="clear" w:pos="0"/>
              </w:tabs>
              <w:spacing w:before="60" w:after="6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2010</w:t>
            </w:r>
            <w:r w:rsidRPr="008D11B9">
              <w:rPr>
                <w:rFonts w:eastAsia="Calibri" w:cs="Arial"/>
                <w:noProof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BA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D786B" w:rsidRPr="000A3E56" w:rsidRDefault="000D786B" w:rsidP="00747200">
            <w:pPr>
              <w:spacing w:before="60" w:after="60" w:line="240" w:lineRule="auto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Histology, pruritus, LTX, death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4/15 responders (disappearance of jaundice and pruritus)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4/15 partial responders (disappearance of pruritus only)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7/15 non-responders (no effect on pruritus or jaundice)</w:t>
            </w:r>
          </w:p>
          <w:p w:rsidR="000D786B" w:rsidRPr="000A3E56" w:rsidRDefault="000D786B" w:rsidP="000D786B">
            <w:pPr>
              <w:numPr>
                <w:ilvl w:val="0"/>
                <w:numId w:val="18"/>
              </w:numPr>
              <w:spacing w:before="60" w:after="60" w:line="240" w:lineRule="auto"/>
              <w:ind w:left="252" w:hanging="198"/>
              <w:rPr>
                <w:rFonts w:eastAsia="Calibri" w:cs="Arial"/>
                <w:sz w:val="20"/>
                <w:szCs w:val="20"/>
              </w:rPr>
            </w:pPr>
            <w:r w:rsidRPr="000A3E56">
              <w:rPr>
                <w:rFonts w:eastAsia="Calibri" w:cs="Arial"/>
                <w:sz w:val="20"/>
                <w:szCs w:val="20"/>
              </w:rPr>
              <w:t>6/15 had LTX and 2 were planned</w:t>
            </w:r>
          </w:p>
        </w:tc>
      </w:tr>
    </w:tbl>
    <w:p w:rsidR="000D786B" w:rsidRPr="000A3E56" w:rsidRDefault="000D786B" w:rsidP="00747200">
      <w:pPr>
        <w:spacing w:after="120" w:line="240" w:lineRule="auto"/>
        <w:rPr>
          <w:rFonts w:cs="Arial"/>
          <w:sz w:val="20"/>
          <w:szCs w:val="20"/>
        </w:rPr>
      </w:pPr>
      <w:proofErr w:type="spellStart"/>
      <w:r w:rsidRPr="000A3E56">
        <w:rPr>
          <w:rFonts w:cs="Arial"/>
          <w:sz w:val="20"/>
          <w:szCs w:val="20"/>
          <w:vertAlign w:val="superscript"/>
        </w:rPr>
        <w:t>a</w:t>
      </w:r>
      <w:r w:rsidRPr="000A3E56">
        <w:rPr>
          <w:rFonts w:cs="Arial"/>
          <w:sz w:val="20"/>
          <w:szCs w:val="20"/>
        </w:rPr>
        <w:t>N</w:t>
      </w:r>
      <w:proofErr w:type="spellEnd"/>
      <w:r w:rsidRPr="000A3E56">
        <w:rPr>
          <w:rFonts w:cs="Arial"/>
          <w:sz w:val="20"/>
          <w:szCs w:val="20"/>
        </w:rPr>
        <w:t xml:space="preserve">=number of PFIC patients for whom liver biochemistry data could be extracted; total N may be higher. </w:t>
      </w:r>
    </w:p>
    <w:p w:rsidR="000D786B" w:rsidRPr="000A3E56" w:rsidRDefault="000D786B" w:rsidP="00747200">
      <w:pPr>
        <w:spacing w:after="120" w:line="240" w:lineRule="auto"/>
        <w:rPr>
          <w:rFonts w:cs="Arial"/>
          <w:sz w:val="20"/>
          <w:szCs w:val="20"/>
        </w:rPr>
      </w:pPr>
      <w:proofErr w:type="spellStart"/>
      <w:r w:rsidRPr="00881368">
        <w:rPr>
          <w:rFonts w:cs="Arial"/>
          <w:sz w:val="20"/>
          <w:szCs w:val="20"/>
          <w:vertAlign w:val="superscript"/>
        </w:rPr>
        <w:t>b</w:t>
      </w:r>
      <w:r w:rsidRPr="00881368">
        <w:rPr>
          <w:rFonts w:cs="Arial"/>
          <w:sz w:val="20"/>
          <w:szCs w:val="20"/>
        </w:rPr>
        <w:t>Not</w:t>
      </w:r>
      <w:proofErr w:type="spellEnd"/>
      <w:r w:rsidRPr="000A3E56">
        <w:rPr>
          <w:rFonts w:cs="Arial"/>
          <w:sz w:val="20"/>
          <w:szCs w:val="20"/>
        </w:rPr>
        <w:t xml:space="preserve"> all reported parameters could be included in this analysis due to limitations such as inability extract values or to </w:t>
      </w:r>
      <w:r>
        <w:rPr>
          <w:rFonts w:cs="Arial"/>
          <w:sz w:val="20"/>
          <w:szCs w:val="20"/>
        </w:rPr>
        <w:t>l</w:t>
      </w:r>
      <w:r w:rsidRPr="000A3E56">
        <w:rPr>
          <w:rFonts w:cs="Arial"/>
          <w:sz w:val="20"/>
          <w:szCs w:val="20"/>
        </w:rPr>
        <w:t>ink specific values to specific patients and/or outcomes.</w:t>
      </w:r>
    </w:p>
    <w:p w:rsidR="000D786B" w:rsidRPr="000A3E56" w:rsidRDefault="000D786B" w:rsidP="00747200">
      <w:pPr>
        <w:spacing w:before="60" w:after="120" w:line="240" w:lineRule="auto"/>
        <w:rPr>
          <w:rFonts w:eastAsia="Calibri" w:cs="Arial"/>
          <w:sz w:val="20"/>
          <w:szCs w:val="20"/>
        </w:rPr>
      </w:pPr>
      <w:r w:rsidRPr="000A3E56">
        <w:rPr>
          <w:rFonts w:eastAsia="Calibri" w:cs="Arial"/>
          <w:sz w:val="20"/>
          <w:szCs w:val="20"/>
          <w:vertAlign w:val="superscript"/>
        </w:rPr>
        <w:t>c</w:t>
      </w:r>
      <w:r w:rsidRPr="000A3E56">
        <w:rPr>
          <w:rFonts w:eastAsia="Calibri" w:cs="Arial"/>
          <w:sz w:val="20"/>
          <w:szCs w:val="20"/>
        </w:rPr>
        <w:t xml:space="preserve">6/21 patients in </w:t>
      </w:r>
      <w:proofErr w:type="spellStart"/>
      <w:r w:rsidRPr="000A3E56">
        <w:rPr>
          <w:rFonts w:eastAsia="Calibri" w:cs="Arial"/>
          <w:sz w:val="20"/>
          <w:szCs w:val="20"/>
        </w:rPr>
        <w:t>Schukfeh</w:t>
      </w:r>
      <w:proofErr w:type="spellEnd"/>
      <w:r w:rsidRPr="000A3E56">
        <w:rPr>
          <w:rFonts w:eastAsia="Calibri" w:cs="Arial"/>
          <w:sz w:val="20"/>
          <w:szCs w:val="20"/>
        </w:rPr>
        <w:t xml:space="preserve"> 2012 were also reported in Melter 2000.</w:t>
      </w:r>
    </w:p>
    <w:p w:rsidR="000D786B" w:rsidRPr="000A3E56" w:rsidRDefault="000D786B" w:rsidP="00747200">
      <w:pPr>
        <w:spacing w:line="240" w:lineRule="auto"/>
        <w:rPr>
          <w:rFonts w:cs="Arial"/>
          <w:sz w:val="20"/>
          <w:szCs w:val="20"/>
        </w:rPr>
      </w:pPr>
      <w:proofErr w:type="spellStart"/>
      <w:r w:rsidRPr="000A3E56">
        <w:rPr>
          <w:rFonts w:cs="Arial"/>
          <w:sz w:val="20"/>
          <w:szCs w:val="20"/>
          <w:vertAlign w:val="superscript"/>
        </w:rPr>
        <w:t>d</w:t>
      </w:r>
      <w:r w:rsidRPr="000A3E56">
        <w:rPr>
          <w:rFonts w:cs="Arial"/>
          <w:sz w:val="20"/>
          <w:szCs w:val="20"/>
        </w:rPr>
        <w:t>Arnell</w:t>
      </w:r>
      <w:proofErr w:type="spellEnd"/>
      <w:r w:rsidRPr="000A3E56">
        <w:rPr>
          <w:rFonts w:cs="Arial"/>
          <w:sz w:val="20"/>
          <w:szCs w:val="20"/>
        </w:rPr>
        <w:t xml:space="preserve"> 2008 and Arnell 2010 report short- and long-term outcomes, respectively, for the same 12 individuals.</w:t>
      </w:r>
      <w:r>
        <w:rPr>
          <w:rFonts w:cs="Arial"/>
          <w:sz w:val="20"/>
          <w:szCs w:val="20"/>
        </w:rPr>
        <w:t xml:space="preserve"> </w:t>
      </w:r>
      <w:r w:rsidRPr="00E27480">
        <w:rPr>
          <w:rFonts w:cs="Arial"/>
          <w:sz w:val="20"/>
          <w:szCs w:val="20"/>
        </w:rPr>
        <w:t xml:space="preserve">Individual </w:t>
      </w:r>
      <w:r w:rsidRPr="00DB7453">
        <w:rPr>
          <w:rFonts w:cs="Arial"/>
          <w:sz w:val="20"/>
          <w:szCs w:val="20"/>
        </w:rPr>
        <w:t>liver biochemistry parameter</w:t>
      </w:r>
      <w:r w:rsidRPr="00E27480">
        <w:rPr>
          <w:rFonts w:cs="Arial"/>
          <w:sz w:val="20"/>
          <w:szCs w:val="20"/>
        </w:rPr>
        <w:t xml:space="preserve"> data w</w:t>
      </w:r>
      <w:r>
        <w:rPr>
          <w:rFonts w:cs="Arial"/>
          <w:sz w:val="20"/>
          <w:szCs w:val="20"/>
        </w:rPr>
        <w:t>ere</w:t>
      </w:r>
      <w:r w:rsidRPr="00E27480">
        <w:rPr>
          <w:rFonts w:cs="Arial"/>
          <w:sz w:val="20"/>
          <w:szCs w:val="20"/>
        </w:rPr>
        <w:t xml:space="preserve"> provided </w:t>
      </w:r>
      <w:r>
        <w:rPr>
          <w:rFonts w:cs="Arial"/>
          <w:sz w:val="20"/>
          <w:szCs w:val="20"/>
        </w:rPr>
        <w:t>and</w:t>
      </w:r>
      <w:r w:rsidRPr="00E27480">
        <w:rPr>
          <w:rFonts w:cs="Arial"/>
          <w:sz w:val="20"/>
          <w:szCs w:val="20"/>
        </w:rPr>
        <w:t xml:space="preserve"> used in the current analysis in agreement with the authors and with ethical approval.</w:t>
      </w:r>
    </w:p>
    <w:p w:rsidR="000D786B" w:rsidRPr="000A3E56" w:rsidRDefault="000D786B" w:rsidP="00747200">
      <w:pPr>
        <w:spacing w:before="60" w:after="120" w:line="240" w:lineRule="auto"/>
        <w:rPr>
          <w:rFonts w:eastAsia="Calibri" w:cs="Arial"/>
          <w:sz w:val="20"/>
          <w:szCs w:val="20"/>
        </w:rPr>
      </w:pPr>
      <w:proofErr w:type="spellStart"/>
      <w:r w:rsidRPr="000A3E56">
        <w:rPr>
          <w:rFonts w:cs="Arial"/>
          <w:sz w:val="20"/>
          <w:szCs w:val="20"/>
          <w:vertAlign w:val="superscript"/>
        </w:rPr>
        <w:t>e</w:t>
      </w:r>
      <w:r w:rsidRPr="000A3E56">
        <w:rPr>
          <w:rFonts w:cs="Arial"/>
          <w:sz w:val="20"/>
          <w:szCs w:val="20"/>
        </w:rPr>
        <w:t>For</w:t>
      </w:r>
      <w:proofErr w:type="spellEnd"/>
      <w:r w:rsidRPr="000A3E56">
        <w:rPr>
          <w:rFonts w:cs="Arial"/>
          <w:sz w:val="20"/>
          <w:szCs w:val="20"/>
        </w:rPr>
        <w:t xml:space="preserve"> early outcomes and </w:t>
      </w:r>
      <w:r w:rsidRPr="000922B6">
        <w:rPr>
          <w:rFonts w:cs="Arial"/>
          <w:sz w:val="20"/>
          <w:szCs w:val="20"/>
        </w:rPr>
        <w:t>liver biochemistry parameters</w:t>
      </w:r>
      <w:r w:rsidRPr="000A3E56">
        <w:rPr>
          <w:rFonts w:cs="Arial"/>
          <w:sz w:val="20"/>
          <w:szCs w:val="20"/>
        </w:rPr>
        <w:t>, see Arnell et al, 2008.</w:t>
      </w:r>
      <w:r w:rsidRPr="008D11B9">
        <w:rPr>
          <w:rFonts w:cs="Arial"/>
          <w:noProof/>
          <w:sz w:val="20"/>
          <w:szCs w:val="20"/>
          <w:vertAlign w:val="superscript"/>
        </w:rPr>
        <w:t>12</w:t>
      </w:r>
    </w:p>
    <w:p w:rsidR="000D786B" w:rsidRDefault="000D786B" w:rsidP="00747200">
      <w:pPr>
        <w:spacing w:after="120" w:line="240" w:lineRule="auto"/>
        <w:rPr>
          <w:rFonts w:cs="Arial"/>
          <w:sz w:val="20"/>
          <w:szCs w:val="20"/>
        </w:rPr>
      </w:pPr>
      <w:r w:rsidRPr="000A3E56">
        <w:rPr>
          <w:rFonts w:cs="Arial"/>
          <w:sz w:val="20"/>
          <w:szCs w:val="20"/>
        </w:rPr>
        <w:t xml:space="preserve">ALP, alkaline phosphatase; ALT, alanine transaminase; AST, aspartate transaminase; BA, bile acids; </w:t>
      </w:r>
      <w:proofErr w:type="spellStart"/>
      <w:r w:rsidRPr="000A3E56">
        <w:rPr>
          <w:rFonts w:cs="Arial"/>
          <w:sz w:val="20"/>
          <w:szCs w:val="20"/>
        </w:rPr>
        <w:t>bBA</w:t>
      </w:r>
      <w:proofErr w:type="spellEnd"/>
      <w:r w:rsidRPr="000A3E56">
        <w:rPr>
          <w:rFonts w:cs="Arial"/>
          <w:sz w:val="20"/>
          <w:szCs w:val="20"/>
        </w:rPr>
        <w:t>, biliary bile acids (not included in analysis of bile acids); GGT, gamma-glutamyl transferase; LTX, liver transplant; PEBD, partial external biliary diversion; PFIC, progressive familial intrahepatic cholestasis; QoL, quality of life.</w:t>
      </w:r>
    </w:p>
    <w:p w:rsidR="00607AC6" w:rsidRPr="000A3E56" w:rsidRDefault="00607AC6" w:rsidP="00747200">
      <w:pPr>
        <w:spacing w:after="120" w:line="240" w:lineRule="auto"/>
        <w:rPr>
          <w:rFonts w:cs="Arial"/>
          <w:sz w:val="20"/>
          <w:szCs w:val="20"/>
        </w:rPr>
      </w:pPr>
    </w:p>
    <w:p w:rsidR="000D786B" w:rsidRDefault="000D786B">
      <w:pPr>
        <w:tabs>
          <w:tab w:val="clear" w:pos="0"/>
        </w:tabs>
        <w:spacing w:line="240" w:lineRule="auto"/>
        <w:outlineLvl w:val="9"/>
        <w:sectPr w:rsidR="000D786B" w:rsidSect="00607AC6">
          <w:footerReference w:type="default" r:id="rId7"/>
          <w:footerReference w:type="firs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D786B" w:rsidRDefault="000D786B" w:rsidP="00747200">
      <w:pPr>
        <w:keepNext/>
        <w:rPr>
          <w:rFonts w:cs="Arial"/>
          <w:b/>
        </w:rPr>
      </w:pPr>
      <w:r>
        <w:rPr>
          <w:rFonts w:cs="Arial"/>
          <w:b/>
        </w:rPr>
        <w:lastRenderedPageBreak/>
        <w:t>Supplemental Digital Content 2</w:t>
      </w:r>
    </w:p>
    <w:p w:rsidR="000D786B" w:rsidRPr="000A3E56" w:rsidRDefault="000D786B" w:rsidP="00747200">
      <w:pPr>
        <w:keepNext/>
        <w:spacing w:line="360" w:lineRule="auto"/>
      </w:pPr>
      <w:r>
        <w:rPr>
          <w:rFonts w:cs="Arial"/>
          <w:b/>
        </w:rPr>
        <w:t>Figure</w:t>
      </w:r>
      <w:r w:rsidRPr="000A3E56">
        <w:rPr>
          <w:rFonts w:cs="Arial"/>
          <w:b/>
        </w:rPr>
        <w:t xml:space="preserve">. Pre-PEBD Levels of </w:t>
      </w:r>
      <w:r>
        <w:rPr>
          <w:rFonts w:cs="Arial"/>
          <w:b/>
        </w:rPr>
        <w:t>L</w:t>
      </w:r>
      <w:r w:rsidRPr="005A2A48">
        <w:rPr>
          <w:rFonts w:cs="Arial"/>
          <w:b/>
        </w:rPr>
        <w:t xml:space="preserve">iver </w:t>
      </w:r>
      <w:r>
        <w:rPr>
          <w:rFonts w:cs="Arial"/>
          <w:b/>
        </w:rPr>
        <w:t>B</w:t>
      </w:r>
      <w:r w:rsidRPr="00DB7453">
        <w:rPr>
          <w:rFonts w:cs="Arial"/>
          <w:b/>
        </w:rPr>
        <w:t xml:space="preserve">iochemistry </w:t>
      </w:r>
      <w:r>
        <w:rPr>
          <w:rFonts w:cs="Arial"/>
          <w:b/>
        </w:rPr>
        <w:t>P</w:t>
      </w:r>
      <w:r w:rsidRPr="00DB7453">
        <w:rPr>
          <w:rFonts w:cs="Arial"/>
          <w:b/>
        </w:rPr>
        <w:t>arameters</w:t>
      </w:r>
      <w:r w:rsidRPr="000A3E56">
        <w:rPr>
          <w:rFonts w:cs="Arial"/>
          <w:b/>
        </w:rPr>
        <w:t>. A)</w:t>
      </w:r>
      <w:r w:rsidRPr="000A3E56">
        <w:rPr>
          <w:rFonts w:cs="Arial"/>
        </w:rPr>
        <w:t xml:space="preserve"> Individual pre-BEBD serum bile acid levels in </w:t>
      </w:r>
      <w:r w:rsidRPr="000A3E56">
        <w:t>42 patients from 7 studies.</w:t>
      </w:r>
      <w:r w:rsidRPr="008D11B9">
        <w:rPr>
          <w:noProof/>
          <w:vertAlign w:val="superscript"/>
        </w:rPr>
        <w:t>8,9,11-13,15,16</w:t>
      </w:r>
      <w:r w:rsidRPr="000A3E56">
        <w:t xml:space="preserve"> </w:t>
      </w:r>
      <w:r w:rsidRPr="000A3E56">
        <w:rPr>
          <w:b/>
        </w:rPr>
        <w:t>B)</w:t>
      </w:r>
      <w:r w:rsidRPr="000A3E56">
        <w:t xml:space="preserve"> Individual pre-PEBD serum bilirubin levels in 31 patients from 7 studies.</w:t>
      </w:r>
      <w:r w:rsidRPr="008D11B9">
        <w:rPr>
          <w:noProof/>
          <w:vertAlign w:val="superscript"/>
        </w:rPr>
        <w:t>8-13,15</w:t>
      </w:r>
      <w:r w:rsidRPr="000A3E56">
        <w:t xml:space="preserve"> </w:t>
      </w:r>
      <w:r w:rsidRPr="000A3E56">
        <w:rPr>
          <w:b/>
        </w:rPr>
        <w:t>C)</w:t>
      </w:r>
      <w:r w:rsidRPr="000A3E56">
        <w:t xml:space="preserve"> Individual pre-PEBD ALT levels in 28 patients from 5 studies.</w:t>
      </w:r>
      <w:r w:rsidRPr="008D11B9">
        <w:rPr>
          <w:noProof/>
          <w:vertAlign w:val="superscript"/>
        </w:rPr>
        <w:t>8-10,12,15</w:t>
      </w:r>
      <w:r w:rsidRPr="000A3E56">
        <w:t xml:space="preserve"> </w:t>
      </w:r>
      <w:r w:rsidRPr="000A3E56">
        <w:rPr>
          <w:rFonts w:cs="Arial"/>
        </w:rPr>
        <w:t xml:space="preserve">Solid horizontal bars indicate the median value for each group; dotted horizontal lines indicate </w:t>
      </w:r>
      <w:r>
        <w:rPr>
          <w:rFonts w:cs="Arial"/>
        </w:rPr>
        <w:t>upper limit of normal</w:t>
      </w:r>
      <w:r w:rsidRPr="000A3E56">
        <w:rPr>
          <w:rFonts w:cs="Arial"/>
        </w:rPr>
        <w:t>.</w:t>
      </w:r>
      <w:r>
        <w:rPr>
          <w:rFonts w:cs="Arial"/>
        </w:rPr>
        <w:t xml:space="preserve"> </w:t>
      </w:r>
      <w:r w:rsidRPr="000A3E56">
        <w:t xml:space="preserve">ALT, alanine transaminase; PEBD, partial external biliary diversion.  </w:t>
      </w:r>
    </w:p>
    <w:p w:rsidR="000D786B" w:rsidRDefault="000D786B" w:rsidP="00291A05">
      <w:pPr>
        <w:tabs>
          <w:tab w:val="clear" w:pos="0"/>
        </w:tabs>
        <w:spacing w:line="240" w:lineRule="auto"/>
        <w:outlineLvl w:val="9"/>
        <w:rPr>
          <w:noProof/>
          <w:lang w:val="sv-SE" w:eastAsia="sv-SE"/>
        </w:rPr>
      </w:pPr>
      <w:r>
        <w:rPr>
          <w:noProof/>
        </w:rPr>
        <w:drawing>
          <wp:inline distT="0" distB="0" distL="0" distR="0" wp14:anchorId="019AF867" wp14:editId="31383C52">
            <wp:extent cx="2614930" cy="5803900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9EC">
        <w:rPr>
          <w:noProof/>
          <w:lang w:val="sv-SE" w:eastAsia="sv-SE"/>
        </w:rPr>
        <w:t xml:space="preserve">  </w:t>
      </w:r>
    </w:p>
    <w:p w:rsidR="000D786B" w:rsidRDefault="000D786B" w:rsidP="00291A05">
      <w:pPr>
        <w:tabs>
          <w:tab w:val="clear" w:pos="0"/>
        </w:tabs>
        <w:spacing w:line="240" w:lineRule="auto"/>
        <w:outlineLvl w:val="9"/>
        <w:rPr>
          <w:noProof/>
          <w:lang w:val="sv-SE" w:eastAsia="sv-SE"/>
        </w:rPr>
      </w:pPr>
    </w:p>
    <w:p w:rsidR="000D786B" w:rsidRDefault="000D786B" w:rsidP="00607AC6">
      <w:pPr>
        <w:tabs>
          <w:tab w:val="clear" w:pos="0"/>
        </w:tabs>
        <w:spacing w:line="240" w:lineRule="auto"/>
        <w:outlineLvl w:val="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References</w:t>
      </w:r>
    </w:p>
    <w:p w:rsidR="00607AC6" w:rsidRDefault="00607AC6" w:rsidP="00607AC6">
      <w:pPr>
        <w:tabs>
          <w:tab w:val="clear" w:pos="0"/>
        </w:tabs>
        <w:spacing w:line="240" w:lineRule="auto"/>
        <w:outlineLvl w:val="9"/>
        <w:rPr>
          <w:b/>
        </w:rPr>
      </w:pPr>
    </w:p>
    <w:p w:rsidR="000D786B" w:rsidRPr="008D11B9" w:rsidRDefault="000D786B" w:rsidP="008D11B9">
      <w:pPr>
        <w:pStyle w:val="EndNoteBibliography"/>
        <w:ind w:left="720" w:hanging="720"/>
      </w:pPr>
      <w:r w:rsidRPr="008D11B9">
        <w:t>1.</w:t>
      </w:r>
      <w:r w:rsidRPr="008D11B9">
        <w:tab/>
        <w:t xml:space="preserve">Ismail H, Kalicinski P, Markiewicz M, et al. Treatment of progressive familial intrahepatic cholestasis: liver transplantation or partial external biliary diversion. </w:t>
      </w:r>
      <w:r w:rsidRPr="008D11B9">
        <w:rPr>
          <w:i/>
        </w:rPr>
        <w:t xml:space="preserve">Pediatr Transplant. </w:t>
      </w:r>
      <w:r w:rsidRPr="008D11B9">
        <w:t>1999;3(3):219-224.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2.</w:t>
      </w:r>
      <w:r w:rsidRPr="008D11B9">
        <w:tab/>
        <w:t xml:space="preserve">Melter M, Rodeck B, Kardorff R, et al. Progressive familial intrahepatic cholestasis: partial biliary diversion normalizes serum lipids and improves growth in noncirrhotic patients. </w:t>
      </w:r>
      <w:r w:rsidRPr="008D11B9">
        <w:rPr>
          <w:i/>
        </w:rPr>
        <w:t xml:space="preserve">Am J Gastroenterol. </w:t>
      </w:r>
      <w:r w:rsidRPr="008D11B9">
        <w:t>2000;95(12):3522-3528.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3.</w:t>
      </w:r>
      <w:r w:rsidRPr="008D11B9">
        <w:tab/>
        <w:t xml:space="preserve">Kalicinski PJ, Ismail H, Jankowska I, et al. Surgical treatment of progressive familial intrahepatic cholestasis: comparison of partial external biliary diversion and ileal bypass. </w:t>
      </w:r>
      <w:r w:rsidRPr="008D11B9">
        <w:rPr>
          <w:i/>
        </w:rPr>
        <w:t xml:space="preserve">Eur J Pediatr Surg. </w:t>
      </w:r>
      <w:r w:rsidRPr="008D11B9">
        <w:t>2003;13(5):307-311.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4.</w:t>
      </w:r>
      <w:r w:rsidRPr="008D11B9">
        <w:tab/>
        <w:t xml:space="preserve">Yang H, Porte RJ, Verkade HJ, De Langen ZJ, Hulscher JB. Partial external biliary diversion in children with progressive familial intrahepatic cholestasis and Alagille disease. </w:t>
      </w:r>
      <w:r w:rsidRPr="008D11B9">
        <w:rPr>
          <w:i/>
        </w:rPr>
        <w:t xml:space="preserve">J Pediatr Gastroenterol Nutr. </w:t>
      </w:r>
      <w:r w:rsidRPr="008D11B9">
        <w:t>2009;49(2):216-221.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5.</w:t>
      </w:r>
      <w:r w:rsidRPr="008D11B9">
        <w:tab/>
        <w:t xml:space="preserve">Halaweish I, Chwals WJ. Long-term outcome after partial external biliary diversion for progressive familial intrahepatic cholestasis. </w:t>
      </w:r>
      <w:r w:rsidRPr="008D11B9">
        <w:rPr>
          <w:i/>
        </w:rPr>
        <w:t xml:space="preserve">J Pediatr Surg. </w:t>
      </w:r>
      <w:r w:rsidRPr="008D11B9">
        <w:t>2010;45(5):934-937.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6.</w:t>
      </w:r>
      <w:r w:rsidRPr="008D11B9">
        <w:tab/>
        <w:t xml:space="preserve">Schukfeh N, Metzelder ML, Petersen C, et al. Normalization of serum bile acids after partial external biliary diversion indicates an excellent long-term outcome in children with progressive familial intrahepatic cholestasis. </w:t>
      </w:r>
      <w:r w:rsidRPr="008D11B9">
        <w:rPr>
          <w:i/>
        </w:rPr>
        <w:t xml:space="preserve">J Pediatr Surg. </w:t>
      </w:r>
      <w:r w:rsidRPr="008D11B9">
        <w:t>2012;47(3):501-505.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7.</w:t>
      </w:r>
      <w:r w:rsidRPr="008D11B9">
        <w:tab/>
        <w:t xml:space="preserve">Jankowska I, Czubkowski P, Wierzbicka A, Pawlowska J, Kalicinski P, Socha P. Influence of partial external biliary diversion on the lipid profile in children with </w:t>
      </w:r>
      <w:r w:rsidRPr="008D11B9">
        <w:lastRenderedPageBreak/>
        <w:t xml:space="preserve">progressive familial intrahepatic cholestasis. </w:t>
      </w:r>
      <w:r w:rsidRPr="008D11B9">
        <w:rPr>
          <w:i/>
        </w:rPr>
        <w:t xml:space="preserve">J Pediatr Gastroenterol Nutr. </w:t>
      </w:r>
      <w:r w:rsidRPr="008D11B9">
        <w:t>2016;63(6):598-602.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8.</w:t>
      </w:r>
      <w:r w:rsidRPr="008D11B9">
        <w:tab/>
        <w:t xml:space="preserve">Whitington PF, Whitington GL. Partial external diversion of bile for the treatment of intractable pruritus associated with intrahepatic cholestasis. </w:t>
      </w:r>
      <w:r w:rsidRPr="008D11B9">
        <w:rPr>
          <w:i/>
        </w:rPr>
        <w:t xml:space="preserve">Gastroenterology. </w:t>
      </w:r>
      <w:r w:rsidRPr="008D11B9">
        <w:t>1988;95(1):130-136.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9.</w:t>
      </w:r>
      <w:r w:rsidRPr="008D11B9">
        <w:tab/>
        <w:t xml:space="preserve">Ng VL, Ryckman FC, Porta G, et al. Long-term outcome after partial external biliary diversion for intractable pruritus in patients with intrahepatic cholestasis. </w:t>
      </w:r>
      <w:r w:rsidRPr="008D11B9">
        <w:rPr>
          <w:i/>
        </w:rPr>
        <w:t xml:space="preserve">J Pediatr Gastroenterol Nutr. </w:t>
      </w:r>
      <w:r w:rsidRPr="008D11B9">
        <w:t>2000;30(2):152-156.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10.</w:t>
      </w:r>
      <w:r w:rsidRPr="008D11B9">
        <w:tab/>
        <w:t xml:space="preserve">Kurbegov AC, Setchell KD, Haas JE, et al. Biliary diversion for progressive familial intrahepatic cholestasis: improved liver morphology and bile acid profile. </w:t>
      </w:r>
      <w:r w:rsidRPr="008D11B9">
        <w:rPr>
          <w:i/>
        </w:rPr>
        <w:t xml:space="preserve">Gastroenterology. </w:t>
      </w:r>
      <w:r w:rsidRPr="008D11B9">
        <w:t>2003;125(4):1227-1234.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11.</w:t>
      </w:r>
      <w:r w:rsidRPr="008D11B9">
        <w:tab/>
        <w:t xml:space="preserve">Ekinci S, Karnak I, Gurakan F, et al. Partial external biliary diversion for the treatment of intractable pruritus in children with progressive familial intrahepatic cholestasis: report of two cases. </w:t>
      </w:r>
      <w:r w:rsidRPr="008D11B9">
        <w:rPr>
          <w:i/>
        </w:rPr>
        <w:t xml:space="preserve">Surg Today. </w:t>
      </w:r>
      <w:r w:rsidRPr="008D11B9">
        <w:t>2008;38(8):726-730.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12.</w:t>
      </w:r>
      <w:r w:rsidRPr="008D11B9">
        <w:tab/>
        <w:t xml:space="preserve">Arnell H, Bergdahl S, Papadogiannakis N, Nemeth A, Fischler B. Preoperative observations and short-term outcome after partial external biliary diversion in 13 patients with progressive familial intrahepatic cholestasis. </w:t>
      </w:r>
      <w:r w:rsidRPr="008D11B9">
        <w:rPr>
          <w:i/>
        </w:rPr>
        <w:t xml:space="preserve">J Pediatr Surg. </w:t>
      </w:r>
      <w:r w:rsidRPr="008D11B9">
        <w:t>2008;43(7):1312-1320.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13.</w:t>
      </w:r>
      <w:r w:rsidRPr="008D11B9">
        <w:tab/>
        <w:t xml:space="preserve">Schukfeh N, Gerner P, Paul A, Kathemann S, Metzelder M. Laparoscopic button cholecystostomy for progressive familial intrahepatic cholestasis in two children. </w:t>
      </w:r>
      <w:r w:rsidRPr="008D11B9">
        <w:rPr>
          <w:i/>
        </w:rPr>
        <w:t xml:space="preserve">Eur J Pediatr Surg. </w:t>
      </w:r>
      <w:r w:rsidRPr="008D11B9">
        <w:t>2014;24(5):433-436.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14.</w:t>
      </w:r>
      <w:r w:rsidRPr="008D11B9">
        <w:tab/>
        <w:t xml:space="preserve">Arnell H, Papadogiannakis N, Zemack H, Knisely AS, Nemeth A, Fischler B. Follow-up in children with progressive familial intrahepatic cholestasis after </w:t>
      </w:r>
      <w:r w:rsidRPr="008D11B9">
        <w:lastRenderedPageBreak/>
        <w:t xml:space="preserve">partial external biliary diversion. </w:t>
      </w:r>
      <w:r w:rsidRPr="008D11B9">
        <w:rPr>
          <w:i/>
        </w:rPr>
        <w:t xml:space="preserve">J Pediatr Gastroenterol Nutr. </w:t>
      </w:r>
      <w:r w:rsidRPr="008D11B9">
        <w:t>2010;51(4):494-499.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15.</w:t>
      </w:r>
      <w:r w:rsidRPr="008D11B9">
        <w:tab/>
        <w:t>Emerick KM, Elias MS, Melin-Aldana H, et al</w:t>
      </w:r>
      <w:r>
        <w:t xml:space="preserve">. Bile composition in Alagille </w:t>
      </w:r>
      <w:r>
        <w:rPr>
          <w:lang w:val="en-US"/>
        </w:rPr>
        <w:t>s</w:t>
      </w:r>
      <w:r w:rsidRPr="008D11B9">
        <w:t xml:space="preserve">yndrome and PFIC patients having partial external biliary diversion. </w:t>
      </w:r>
      <w:r w:rsidRPr="008D11B9">
        <w:rPr>
          <w:i/>
        </w:rPr>
        <w:t xml:space="preserve">BMC Gastroenterol. </w:t>
      </w:r>
      <w:r w:rsidRPr="008D11B9">
        <w:t>2008;8:47.</w:t>
      </w:r>
    </w:p>
    <w:p w:rsidR="000D786B" w:rsidRPr="008D11B9" w:rsidRDefault="000D786B" w:rsidP="008D11B9">
      <w:pPr>
        <w:pStyle w:val="EndNoteBibliography"/>
        <w:ind w:left="720" w:hanging="720"/>
      </w:pPr>
      <w:r w:rsidRPr="008D11B9">
        <w:t>16.</w:t>
      </w:r>
      <w:r w:rsidRPr="008D11B9">
        <w:tab/>
        <w:t xml:space="preserve">Davit-Spraul A, Fabre M, Branchereau S, et al. ATP8B1 and ABCB11 analysis in 62 children with normal gamma-glutamyl transferase progressive familial intrahepatic cholestasis (PFIC): phenotypic differences between PFIC1 and PFIC2 and natural history. </w:t>
      </w:r>
      <w:r w:rsidRPr="008D11B9">
        <w:rPr>
          <w:i/>
        </w:rPr>
        <w:t xml:space="preserve">Hepatology. </w:t>
      </w:r>
      <w:r w:rsidRPr="008D11B9">
        <w:t>2010;51(5):1645-1655.</w:t>
      </w:r>
    </w:p>
    <w:p w:rsidR="000D786B" w:rsidRPr="00747200" w:rsidRDefault="000D786B" w:rsidP="00291A05">
      <w:pPr>
        <w:tabs>
          <w:tab w:val="clear" w:pos="0"/>
        </w:tabs>
        <w:spacing w:line="240" w:lineRule="auto"/>
        <w:outlineLvl w:val="9"/>
        <w:rPr>
          <w:rFonts w:cs="Arial"/>
          <w:b/>
        </w:rPr>
      </w:pPr>
    </w:p>
    <w:p w:rsidR="002236F9" w:rsidRDefault="002236F9"/>
    <w:sectPr w:rsidR="002236F9" w:rsidSect="00607AC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2F" w:rsidRDefault="002F202F" w:rsidP="00607AC6">
      <w:pPr>
        <w:spacing w:line="240" w:lineRule="auto"/>
      </w:pPr>
      <w:r>
        <w:separator/>
      </w:r>
    </w:p>
  </w:endnote>
  <w:endnote w:type="continuationSeparator" w:id="0">
    <w:p w:rsidR="002F202F" w:rsidRDefault="002F202F" w:rsidP="00607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RBPW+ArialMT">
    <w:altName w:val="FMRBPW+ArialM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8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AC6" w:rsidRDefault="00607AC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7AC6" w:rsidRDefault="00607A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282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AC6" w:rsidRDefault="00607AC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7AC6" w:rsidRDefault="00607A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2F" w:rsidRDefault="002F202F" w:rsidP="00607AC6">
      <w:pPr>
        <w:spacing w:line="240" w:lineRule="auto"/>
      </w:pPr>
      <w:r>
        <w:separator/>
      </w:r>
    </w:p>
  </w:footnote>
  <w:footnote w:type="continuationSeparator" w:id="0">
    <w:p w:rsidR="002F202F" w:rsidRDefault="002F202F" w:rsidP="00607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49"/>
    <w:multiLevelType w:val="hybridMultilevel"/>
    <w:tmpl w:val="E718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B02"/>
    <w:multiLevelType w:val="hybridMultilevel"/>
    <w:tmpl w:val="7CDA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676C"/>
    <w:multiLevelType w:val="hybridMultilevel"/>
    <w:tmpl w:val="D890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D3D4B"/>
    <w:multiLevelType w:val="hybridMultilevel"/>
    <w:tmpl w:val="AAB8FAF0"/>
    <w:lvl w:ilvl="0" w:tplc="064002E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64A0"/>
    <w:multiLevelType w:val="hybridMultilevel"/>
    <w:tmpl w:val="2C60E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FD9"/>
    <w:multiLevelType w:val="hybridMultilevel"/>
    <w:tmpl w:val="422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7E74"/>
    <w:multiLevelType w:val="multilevel"/>
    <w:tmpl w:val="14045E8A"/>
    <w:lvl w:ilvl="0">
      <w:start w:val="1"/>
      <w:numFmt w:val="decimal"/>
      <w:lvlText w:val="(%1)"/>
      <w:lvlJc w:val="left"/>
      <w:pPr>
        <w:tabs>
          <w:tab w:val="num" w:pos="6030"/>
        </w:tabs>
        <w:ind w:left="718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A133A1"/>
    <w:multiLevelType w:val="multilevel"/>
    <w:tmpl w:val="C50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B24988"/>
    <w:multiLevelType w:val="hybridMultilevel"/>
    <w:tmpl w:val="4108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463"/>
    <w:multiLevelType w:val="hybridMultilevel"/>
    <w:tmpl w:val="9F2E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A0582"/>
    <w:multiLevelType w:val="hybridMultilevel"/>
    <w:tmpl w:val="13B6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055E"/>
    <w:multiLevelType w:val="hybridMultilevel"/>
    <w:tmpl w:val="3C5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94D51"/>
    <w:multiLevelType w:val="hybridMultilevel"/>
    <w:tmpl w:val="D5E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03800"/>
    <w:multiLevelType w:val="hybridMultilevel"/>
    <w:tmpl w:val="1B74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56C2"/>
    <w:multiLevelType w:val="hybridMultilevel"/>
    <w:tmpl w:val="E506A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957"/>
    <w:multiLevelType w:val="multilevel"/>
    <w:tmpl w:val="4A9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2A7E9C"/>
    <w:multiLevelType w:val="hybridMultilevel"/>
    <w:tmpl w:val="EF5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D75BD"/>
    <w:multiLevelType w:val="hybridMultilevel"/>
    <w:tmpl w:val="4DCA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93CBA"/>
    <w:multiLevelType w:val="hybridMultilevel"/>
    <w:tmpl w:val="97702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3E43"/>
    <w:multiLevelType w:val="hybridMultilevel"/>
    <w:tmpl w:val="8B7E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AB1653"/>
    <w:multiLevelType w:val="hybridMultilevel"/>
    <w:tmpl w:val="320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5F1E"/>
    <w:multiLevelType w:val="hybridMultilevel"/>
    <w:tmpl w:val="BD6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2F90"/>
    <w:multiLevelType w:val="hybridMultilevel"/>
    <w:tmpl w:val="C43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1956"/>
    <w:multiLevelType w:val="hybridMultilevel"/>
    <w:tmpl w:val="7208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55F3E"/>
    <w:multiLevelType w:val="hybridMultilevel"/>
    <w:tmpl w:val="4820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E6125"/>
    <w:multiLevelType w:val="hybridMultilevel"/>
    <w:tmpl w:val="3258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24"/>
  </w:num>
  <w:num w:numId="6">
    <w:abstractNumId w:val="15"/>
  </w:num>
  <w:num w:numId="7">
    <w:abstractNumId w:val="11"/>
  </w:num>
  <w:num w:numId="8">
    <w:abstractNumId w:val="14"/>
  </w:num>
  <w:num w:numId="9">
    <w:abstractNumId w:val="30"/>
  </w:num>
  <w:num w:numId="10">
    <w:abstractNumId w:val="27"/>
  </w:num>
  <w:num w:numId="11">
    <w:abstractNumId w:val="0"/>
  </w:num>
  <w:num w:numId="12">
    <w:abstractNumId w:val="17"/>
  </w:num>
  <w:num w:numId="13">
    <w:abstractNumId w:val="21"/>
  </w:num>
  <w:num w:numId="14">
    <w:abstractNumId w:val="10"/>
  </w:num>
  <w:num w:numId="15">
    <w:abstractNumId w:val="23"/>
  </w:num>
  <w:num w:numId="16">
    <w:abstractNumId w:val="26"/>
  </w:num>
  <w:num w:numId="17">
    <w:abstractNumId w:val="5"/>
  </w:num>
  <w:num w:numId="18">
    <w:abstractNumId w:val="1"/>
  </w:num>
  <w:num w:numId="19">
    <w:abstractNumId w:val="4"/>
  </w:num>
  <w:num w:numId="20">
    <w:abstractNumId w:val="20"/>
  </w:num>
  <w:num w:numId="21">
    <w:abstractNumId w:val="12"/>
  </w:num>
  <w:num w:numId="22">
    <w:abstractNumId w:val="25"/>
  </w:num>
  <w:num w:numId="23">
    <w:abstractNumId w:val="22"/>
  </w:num>
  <w:num w:numId="24">
    <w:abstractNumId w:val="2"/>
  </w:num>
  <w:num w:numId="25">
    <w:abstractNumId w:val="19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7"/>
  </w:num>
  <w:num w:numId="31">
    <w:abstractNumId w:val="29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D786B"/>
    <w:rsid w:val="000D786B"/>
    <w:rsid w:val="002236F9"/>
    <w:rsid w:val="002F202F"/>
    <w:rsid w:val="0049148A"/>
    <w:rsid w:val="00607AC6"/>
    <w:rsid w:val="00B8757A"/>
    <w:rsid w:val="00CD49C9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838D-B3FF-BB43-9C95-13258CF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786B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D786B"/>
    <w:pPr>
      <w:keepNext/>
    </w:pPr>
    <w:rPr>
      <w:b/>
      <w:bCs/>
      <w:caps/>
      <w:kern w:val="32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0D786B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link w:val="Kop3Char"/>
    <w:qFormat/>
    <w:rsid w:val="000D786B"/>
    <w:pPr>
      <w:keepNext/>
      <w:outlineLvl w:val="2"/>
    </w:pPr>
    <w:rPr>
      <w:rFonts w:cs="Arial"/>
      <w:bCs/>
      <w:i/>
    </w:rPr>
  </w:style>
  <w:style w:type="paragraph" w:styleId="Kop4">
    <w:name w:val="heading 4"/>
    <w:basedOn w:val="Standaard"/>
    <w:next w:val="Standaard"/>
    <w:link w:val="Kop4Char"/>
    <w:qFormat/>
    <w:rsid w:val="0049148A"/>
    <w:pPr>
      <w:keepNext/>
      <w:tabs>
        <w:tab w:val="num" w:pos="360"/>
      </w:tabs>
      <w:spacing w:after="12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49148A"/>
    <w:pPr>
      <w:keepNext/>
      <w:tabs>
        <w:tab w:val="num" w:pos="6030"/>
      </w:tabs>
      <w:spacing w:before="120" w:line="240" w:lineRule="auto"/>
      <w:ind w:left="7182" w:hanging="432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49148A"/>
    <w:pPr>
      <w:keepNext/>
      <w:tabs>
        <w:tab w:val="num" w:pos="360"/>
      </w:tabs>
      <w:spacing w:after="12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49148A"/>
    <w:pPr>
      <w:tabs>
        <w:tab w:val="num" w:pos="360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49148A"/>
    <w:pPr>
      <w:tabs>
        <w:tab w:val="num" w:pos="360"/>
      </w:tabs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49148A"/>
    <w:pPr>
      <w:tabs>
        <w:tab w:val="num" w:pos="360"/>
      </w:tabs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49148A"/>
    <w:rPr>
      <w:bCs/>
      <w:iCs/>
      <w:szCs w:val="26"/>
    </w:rPr>
  </w:style>
  <w:style w:type="paragraph" w:customStyle="1" w:styleId="BodyContent">
    <w:name w:val="Body Content"/>
    <w:basedOn w:val="Standaard"/>
    <w:qFormat/>
    <w:rsid w:val="0049148A"/>
    <w:pPr>
      <w:spacing w:after="160"/>
    </w:pPr>
    <w:rPr>
      <w:rFonts w:ascii="Perpetua" w:eastAsia="Perpetua" w:hAnsi="Perpetua"/>
      <w:color w:val="000000"/>
    </w:rPr>
  </w:style>
  <w:style w:type="paragraph" w:customStyle="1" w:styleId="C-Alphabetic">
    <w:name w:val="C-Alphabetic"/>
    <w:basedOn w:val="Standaard"/>
    <w:next w:val="Standaard"/>
    <w:link w:val="C-AlphabeticChar"/>
    <w:qFormat/>
    <w:rsid w:val="0049148A"/>
    <w:pPr>
      <w:keepNext/>
      <w:pageBreakBefore/>
      <w:tabs>
        <w:tab w:val="left" w:pos="1080"/>
      </w:tabs>
      <w:spacing w:before="480" w:after="120" w:line="240" w:lineRule="auto"/>
      <w:ind w:left="720" w:hanging="360"/>
    </w:pPr>
    <w:rPr>
      <w:rFonts w:eastAsia="MS Mincho"/>
      <w:b/>
      <w:caps/>
      <w:sz w:val="28"/>
    </w:rPr>
  </w:style>
  <w:style w:type="character" w:customStyle="1" w:styleId="C-AlphabeticChar">
    <w:name w:val="C-Alphabetic Char"/>
    <w:basedOn w:val="Standaardalinea-lettertype"/>
    <w:link w:val="C-Alphabetic"/>
    <w:rsid w:val="0049148A"/>
    <w:rPr>
      <w:rFonts w:eastAsia="MS Mincho"/>
      <w:b/>
      <w:caps/>
      <w:sz w:val="28"/>
    </w:rPr>
  </w:style>
  <w:style w:type="paragraph" w:customStyle="1" w:styleId="C-Footnote">
    <w:name w:val="C-Footnote"/>
    <w:basedOn w:val="Standaard"/>
    <w:qFormat/>
    <w:rsid w:val="0049148A"/>
    <w:pPr>
      <w:tabs>
        <w:tab w:val="left" w:pos="144"/>
      </w:tabs>
      <w:spacing w:line="240" w:lineRule="auto"/>
    </w:pPr>
    <w:rPr>
      <w:rFonts w:eastAsia="MS Mincho"/>
    </w:rPr>
  </w:style>
  <w:style w:type="character" w:customStyle="1" w:styleId="Kop1Char">
    <w:name w:val="Kop 1 Char"/>
    <w:link w:val="Kop1"/>
    <w:rsid w:val="000D786B"/>
    <w:rPr>
      <w:rFonts w:ascii="Arial" w:hAnsi="Arial"/>
      <w:b/>
      <w:bCs/>
      <w:caps/>
      <w:kern w:val="32"/>
      <w:sz w:val="24"/>
      <w:szCs w:val="24"/>
      <w:lang w:val="x-none" w:eastAsia="x-none"/>
    </w:rPr>
  </w:style>
  <w:style w:type="character" w:customStyle="1" w:styleId="Kop2Char">
    <w:name w:val="Kop 2 Char"/>
    <w:basedOn w:val="Standaardalinea-lettertype"/>
    <w:link w:val="Kop2"/>
    <w:rsid w:val="0049148A"/>
    <w:rPr>
      <w:rFonts w:ascii="Arial" w:hAnsi="Arial" w:cs="Arial"/>
      <w:b/>
      <w:bCs/>
      <w:i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9148A"/>
    <w:rPr>
      <w:rFonts w:ascii="Arial" w:hAnsi="Arial" w:cs="Arial"/>
      <w:bCs/>
      <w:i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9148A"/>
    <w:rPr>
      <w:b/>
      <w:bCs/>
      <w:szCs w:val="28"/>
    </w:rPr>
  </w:style>
  <w:style w:type="character" w:customStyle="1" w:styleId="Kop6Char">
    <w:name w:val="Kop 6 Char"/>
    <w:basedOn w:val="Standaardalinea-lettertype"/>
    <w:link w:val="Kop6"/>
    <w:rsid w:val="0049148A"/>
    <w:rPr>
      <w:b/>
      <w:bCs/>
      <w:szCs w:val="22"/>
    </w:rPr>
  </w:style>
  <w:style w:type="character" w:customStyle="1" w:styleId="Kop7Char">
    <w:name w:val="Kop 7 Char"/>
    <w:basedOn w:val="Standaardalinea-lettertype"/>
    <w:link w:val="Kop7"/>
    <w:rsid w:val="0049148A"/>
    <w:rPr>
      <w:szCs w:val="24"/>
    </w:rPr>
  </w:style>
  <w:style w:type="character" w:customStyle="1" w:styleId="Kop8Char">
    <w:name w:val="Kop 8 Char"/>
    <w:basedOn w:val="Standaardalinea-lettertype"/>
    <w:link w:val="Kop8"/>
    <w:rsid w:val="0049148A"/>
    <w:rPr>
      <w:i/>
      <w:iCs/>
      <w:szCs w:val="24"/>
    </w:rPr>
  </w:style>
  <w:style w:type="character" w:customStyle="1" w:styleId="Kop9Char">
    <w:name w:val="Kop 9 Char"/>
    <w:basedOn w:val="Standaardalinea-lettertype"/>
    <w:link w:val="Kop9"/>
    <w:rsid w:val="0049148A"/>
    <w:rPr>
      <w:rFonts w:ascii="Arial" w:hAnsi="Arial"/>
      <w:sz w:val="22"/>
      <w:szCs w:val="22"/>
    </w:rPr>
  </w:style>
  <w:style w:type="paragraph" w:styleId="Bijschrift">
    <w:name w:val="caption"/>
    <w:next w:val="Standaard"/>
    <w:link w:val="BijschriftChar"/>
    <w:qFormat/>
    <w:rsid w:val="0049148A"/>
    <w:pPr>
      <w:keepNext/>
      <w:spacing w:before="120" w:after="120" w:line="280" w:lineRule="atLeast"/>
      <w:ind w:left="1440" w:hanging="1440"/>
    </w:pPr>
    <w:rPr>
      <w:rFonts w:eastAsia="MS Mincho"/>
      <w:b/>
      <w:bCs/>
      <w:sz w:val="24"/>
      <w:szCs w:val="24"/>
    </w:rPr>
  </w:style>
  <w:style w:type="character" w:customStyle="1" w:styleId="BijschriftChar">
    <w:name w:val="Bijschrift Char"/>
    <w:basedOn w:val="Standaardalinea-lettertype"/>
    <w:link w:val="Bijschrift"/>
    <w:rsid w:val="0049148A"/>
    <w:rPr>
      <w:rFonts w:eastAsia="MS Mincho"/>
      <w:b/>
      <w:bCs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91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91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1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1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9148A"/>
    <w:rPr>
      <w:b/>
      <w:bCs/>
    </w:rPr>
  </w:style>
  <w:style w:type="character" w:styleId="Nadruk">
    <w:name w:val="Emphasis"/>
    <w:uiPriority w:val="20"/>
    <w:qFormat/>
    <w:rsid w:val="000D786B"/>
    <w:rPr>
      <w:i/>
      <w:iCs/>
    </w:rPr>
  </w:style>
  <w:style w:type="paragraph" w:styleId="Lijstalinea">
    <w:name w:val="List Paragraph"/>
    <w:basedOn w:val="Standaard"/>
    <w:uiPriority w:val="34"/>
    <w:qFormat/>
    <w:rsid w:val="000D786B"/>
    <w:pPr>
      <w:ind w:left="720"/>
      <w:contextualSpacing/>
    </w:pPr>
  </w:style>
  <w:style w:type="paragraph" w:styleId="Koptekst">
    <w:name w:val="header"/>
    <w:basedOn w:val="Standaard"/>
    <w:link w:val="KoptekstChar"/>
    <w:rsid w:val="000D786B"/>
    <w:pPr>
      <w:tabs>
        <w:tab w:val="clear" w:pos="0"/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0D786B"/>
    <w:rPr>
      <w:rFonts w:ascii="Arial" w:hAnsi="Arial"/>
      <w:sz w:val="24"/>
      <w:szCs w:val="24"/>
    </w:rPr>
  </w:style>
  <w:style w:type="paragraph" w:styleId="Voetnoottekst">
    <w:name w:val="footnote text"/>
    <w:basedOn w:val="Standaard"/>
    <w:link w:val="VoetnoottekstChar"/>
    <w:semiHidden/>
    <w:rsid w:val="000D786B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D786B"/>
    <w:rPr>
      <w:rFonts w:ascii="Arial" w:hAnsi="Arial"/>
      <w:b/>
      <w:vanish/>
      <w:sz w:val="24"/>
    </w:rPr>
  </w:style>
  <w:style w:type="paragraph" w:styleId="Voettekst">
    <w:name w:val="footer"/>
    <w:basedOn w:val="Standaard"/>
    <w:link w:val="VoettekstChar"/>
    <w:uiPriority w:val="99"/>
    <w:rsid w:val="000D786B"/>
    <w:pPr>
      <w:tabs>
        <w:tab w:val="clear" w:pos="0"/>
        <w:tab w:val="center" w:pos="4320"/>
        <w:tab w:val="right" w:pos="8640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0D786B"/>
    <w:rPr>
      <w:rFonts w:ascii="Arial" w:hAnsi="Arial"/>
      <w:sz w:val="24"/>
      <w:szCs w:val="24"/>
      <w:lang w:val="x-none" w:eastAsia="x-none"/>
    </w:rPr>
  </w:style>
  <w:style w:type="character" w:styleId="Paginanummer">
    <w:name w:val="page number"/>
    <w:rsid w:val="000D786B"/>
    <w:rPr>
      <w:rFonts w:ascii="Arial" w:hAnsi="Arial"/>
      <w:sz w:val="20"/>
    </w:rPr>
  </w:style>
  <w:style w:type="character" w:styleId="Hyperlink">
    <w:name w:val="Hyperlink"/>
    <w:rsid w:val="000D786B"/>
    <w:rPr>
      <w:color w:val="0000FF"/>
      <w:u w:val="single"/>
    </w:rPr>
  </w:style>
  <w:style w:type="character" w:styleId="GevolgdeHyperlink">
    <w:name w:val="FollowedHyperlink"/>
    <w:rsid w:val="000D786B"/>
    <w:rPr>
      <w:color w:val="800080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0D786B"/>
    <w:pPr>
      <w:widowControl w:val="0"/>
      <w:tabs>
        <w:tab w:val="clear" w:pos="0"/>
      </w:tabs>
      <w:spacing w:line="240" w:lineRule="auto"/>
      <w:ind w:left="110"/>
      <w:outlineLvl w:val="9"/>
    </w:pPr>
    <w:rPr>
      <w:rFonts w:ascii="Times New Roman" w:hAnsi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D786B"/>
  </w:style>
  <w:style w:type="character" w:styleId="Verwijzingopmerking">
    <w:name w:val="annotation reference"/>
    <w:rsid w:val="000D786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D786B"/>
    <w:pPr>
      <w:spacing w:line="240" w:lineRule="auto"/>
    </w:pPr>
    <w:rPr>
      <w:sz w:val="22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0D786B"/>
    <w:rPr>
      <w:rFonts w:ascii="Arial" w:hAnsi="Arial"/>
      <w:sz w:val="22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D786B"/>
    <w:rPr>
      <w:b/>
      <w:bCs/>
    </w:rPr>
  </w:style>
  <w:style w:type="character" w:customStyle="1" w:styleId="OnderwerpvanopmerkingChar">
    <w:name w:val="Onderwerp van opmerking Char"/>
    <w:link w:val="Onderwerpvanopmerking"/>
    <w:rsid w:val="000D786B"/>
    <w:rPr>
      <w:rFonts w:ascii="Arial" w:hAnsi="Arial"/>
      <w:b/>
      <w:bCs/>
      <w:sz w:val="22"/>
      <w:lang w:val="x-none" w:eastAsia="x-none"/>
    </w:rPr>
  </w:style>
  <w:style w:type="paragraph" w:styleId="Ballontekst">
    <w:name w:val="Balloon Text"/>
    <w:basedOn w:val="Standaard"/>
    <w:link w:val="BallontekstChar"/>
    <w:rsid w:val="000D786B"/>
    <w:pPr>
      <w:spacing w:line="240" w:lineRule="auto"/>
    </w:pPr>
    <w:rPr>
      <w:sz w:val="18"/>
      <w:szCs w:val="16"/>
    </w:rPr>
  </w:style>
  <w:style w:type="character" w:customStyle="1" w:styleId="BallontekstChar">
    <w:name w:val="Ballontekst Char"/>
    <w:link w:val="Ballontekst"/>
    <w:rsid w:val="000D786B"/>
    <w:rPr>
      <w:rFonts w:ascii="Arial" w:hAnsi="Arial"/>
      <w:sz w:val="18"/>
      <w:szCs w:val="16"/>
    </w:rPr>
  </w:style>
  <w:style w:type="paragraph" w:customStyle="1" w:styleId="Default">
    <w:name w:val="Default"/>
    <w:rsid w:val="000D786B"/>
    <w:pPr>
      <w:autoSpaceDE w:val="0"/>
      <w:autoSpaceDN w:val="0"/>
      <w:adjustRightInd w:val="0"/>
    </w:pPr>
    <w:rPr>
      <w:rFonts w:ascii="FMRBPW+ArialMT" w:hAnsi="FMRBPW+ArialMT" w:cs="FMRBPW+ArialMT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D786B"/>
    <w:rPr>
      <w:rFonts w:ascii="Arial" w:hAnsi="Arial"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0D786B"/>
    <w:rPr>
      <w:rFonts w:cs="Arial"/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0D786B"/>
    <w:rPr>
      <w:rFonts w:ascii="Arial" w:hAnsi="Arial" w:cs="Arial"/>
      <w:noProof/>
      <w:sz w:val="24"/>
      <w:szCs w:val="24"/>
      <w:lang w:val="x-none" w:eastAsia="x-none"/>
    </w:rPr>
  </w:style>
  <w:style w:type="paragraph" w:styleId="Documentstructuur">
    <w:name w:val="Document Map"/>
    <w:basedOn w:val="Standaard"/>
    <w:link w:val="DocumentstructuurChar"/>
    <w:semiHidden/>
    <w:unhideWhenUsed/>
    <w:rsid w:val="000D786B"/>
    <w:pPr>
      <w:spacing w:line="240" w:lineRule="auto"/>
    </w:pPr>
    <w:rPr>
      <w:rFonts w:ascii="Times New Roman" w:hAnsi="Times New Roman"/>
      <w:lang w:val="x-none" w:eastAsia="x-none"/>
    </w:rPr>
  </w:style>
  <w:style w:type="character" w:customStyle="1" w:styleId="DocumentstructuurChar">
    <w:name w:val="Documentstructuur Char"/>
    <w:link w:val="Documentstructuur"/>
    <w:semiHidden/>
    <w:rsid w:val="000D786B"/>
    <w:rPr>
      <w:sz w:val="24"/>
      <w:szCs w:val="24"/>
      <w:lang w:val="x-none" w:eastAsia="x-none"/>
    </w:rPr>
  </w:style>
  <w:style w:type="paragraph" w:customStyle="1" w:styleId="EndNoteBibliographyTitle">
    <w:name w:val="EndNote Bibliography Title"/>
    <w:basedOn w:val="Standaard"/>
    <w:link w:val="EndNoteBibliographyTitleChar"/>
    <w:rsid w:val="000D786B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0D786B"/>
    <w:rPr>
      <w:rFonts w:ascii="Arial" w:hAnsi="Arial" w:cs="Arial"/>
      <w:noProof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D786B"/>
    <w:pPr>
      <w:tabs>
        <w:tab w:val="clear" w:pos="0"/>
      </w:tabs>
      <w:spacing w:line="240" w:lineRule="auto"/>
      <w:outlineLvl w:val="9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1342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PA-EDIT JW</dc:creator>
  <cp:lastModifiedBy>Microsoft Office User</cp:lastModifiedBy>
  <cp:revision>2</cp:revision>
  <dcterms:created xsi:type="dcterms:W3CDTF">2020-01-29T22:04:00Z</dcterms:created>
  <dcterms:modified xsi:type="dcterms:W3CDTF">2020-01-29T22:04:00Z</dcterms:modified>
</cp:coreProperties>
</file>