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41C1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eastAsiaTheme="minorHAnsi" w:hAnsiTheme="majorHAnsi"/>
          <w:sz w:val="22"/>
          <w:szCs w:val="22"/>
          <w:lang w:val="en-GB"/>
        </w:rPr>
      </w:pPr>
      <w:r>
        <w:rPr>
          <w:rFonts w:asciiTheme="majorHAnsi" w:eastAsiaTheme="minorHAnsi" w:hAnsiTheme="majorHAnsi"/>
          <w:sz w:val="22"/>
          <w:szCs w:val="22"/>
          <w:lang w:val="en-GB"/>
        </w:rPr>
        <w:t>Figure, Supplemental Digital Content 1.</w:t>
      </w:r>
      <w:r w:rsidRPr="005050A1">
        <w:rPr>
          <w:rFonts w:asciiTheme="majorHAnsi" w:eastAsiaTheme="minorHAnsi" w:hAnsiTheme="majorHAnsi"/>
          <w:sz w:val="22"/>
          <w:szCs w:val="22"/>
          <w:lang w:val="en-GB"/>
        </w:rPr>
        <w:t xml:space="preserve"> Heatmap sorted on p-value</w:t>
      </w:r>
    </w:p>
    <w:p w14:paraId="282377DC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eastAsiaTheme="minorHAnsi" w:hAnsiTheme="majorHAnsi"/>
          <w:sz w:val="22"/>
          <w:szCs w:val="22"/>
          <w:lang w:val="en-GB"/>
        </w:rPr>
      </w:pPr>
      <w:r w:rsidRPr="005050A1">
        <w:rPr>
          <w:rFonts w:asciiTheme="majorHAnsi" w:eastAsiaTheme="minorHAnsi" w:hAnsiTheme="majorHAnsi"/>
          <w:sz w:val="22"/>
          <w:szCs w:val="22"/>
          <w:lang w:val="en-GB"/>
        </w:rPr>
        <w:t>Heatmap presenting the individual values of lipid species c</w:t>
      </w:r>
      <w:r>
        <w:rPr>
          <w:rFonts w:asciiTheme="majorHAnsi" w:eastAsiaTheme="minorHAnsi" w:hAnsiTheme="majorHAnsi"/>
          <w:sz w:val="22"/>
          <w:szCs w:val="22"/>
          <w:lang w:val="en-GB"/>
        </w:rPr>
        <w:t>oncentrations in the sample set</w:t>
      </w:r>
    </w:p>
    <w:p w14:paraId="73B9F83A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eastAsiaTheme="minorHAnsi" w:hAnsiTheme="majorHAnsi"/>
          <w:sz w:val="22"/>
          <w:szCs w:val="22"/>
          <w:lang w:val="en-GB"/>
        </w:rPr>
      </w:pPr>
      <w:r w:rsidRPr="005050A1">
        <w:rPr>
          <w:rFonts w:asciiTheme="majorHAnsi" w:eastAsiaTheme="minorHAnsi" w:hAnsiTheme="majorHAnsi"/>
          <w:sz w:val="22"/>
          <w:szCs w:val="22"/>
          <w:lang w:val="en-GB"/>
        </w:rPr>
        <w:t xml:space="preserve">by using </w:t>
      </w:r>
      <w:proofErr w:type="spellStart"/>
      <w:r>
        <w:rPr>
          <w:rFonts w:asciiTheme="majorHAnsi" w:eastAsiaTheme="minorHAnsi" w:hAnsiTheme="majorHAnsi"/>
          <w:sz w:val="22"/>
          <w:szCs w:val="22"/>
          <w:lang w:val="en-GB"/>
        </w:rPr>
        <w:t>color</w:t>
      </w:r>
      <w:proofErr w:type="spellEnd"/>
      <w:r>
        <w:rPr>
          <w:rFonts w:asciiTheme="majorHAnsi" w:eastAsiaTheme="minorHAnsi" w:hAnsiTheme="majorHAnsi"/>
          <w:sz w:val="22"/>
          <w:szCs w:val="22"/>
          <w:lang w:val="en-GB"/>
        </w:rPr>
        <w:t xml:space="preserve">. Samples of controls and </w:t>
      </w:r>
      <w:r w:rsidRPr="005050A1">
        <w:rPr>
          <w:rFonts w:asciiTheme="majorHAnsi" w:eastAsiaTheme="minorHAnsi" w:hAnsiTheme="majorHAnsi"/>
          <w:sz w:val="22"/>
          <w:szCs w:val="22"/>
          <w:lang w:val="en-GB"/>
        </w:rPr>
        <w:t xml:space="preserve">steatosis </w:t>
      </w:r>
      <w:r>
        <w:rPr>
          <w:rFonts w:asciiTheme="majorHAnsi" w:eastAsiaTheme="minorHAnsi" w:hAnsiTheme="majorHAnsi"/>
          <w:sz w:val="22"/>
          <w:szCs w:val="22"/>
          <w:lang w:val="en-GB"/>
        </w:rPr>
        <w:t>are represented on the right</w:t>
      </w:r>
    </w:p>
    <w:p w14:paraId="4074C9F3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sz w:val="22"/>
          <w:szCs w:val="22"/>
          <w:lang w:val="en-GB"/>
        </w:rPr>
      </w:pPr>
      <w:r w:rsidRPr="005050A1">
        <w:rPr>
          <w:rFonts w:asciiTheme="majorHAnsi" w:eastAsiaTheme="minorHAnsi" w:hAnsiTheme="majorHAnsi"/>
          <w:sz w:val="22"/>
          <w:szCs w:val="22"/>
          <w:lang w:val="en-GB"/>
        </w:rPr>
        <w:t xml:space="preserve">and left side of the heatmap, respectively. </w:t>
      </w:r>
      <w:r>
        <w:rPr>
          <w:rFonts w:asciiTheme="majorHAnsi" w:eastAsiaTheme="minorHAnsi" w:hAnsiTheme="majorHAnsi"/>
          <w:sz w:val="22"/>
          <w:szCs w:val="22"/>
          <w:lang w:val="en-GB"/>
        </w:rPr>
        <w:br/>
        <w:t>Abbreviations:</w:t>
      </w:r>
      <w:r w:rsidRPr="000C1D5A">
        <w:rPr>
          <w:rFonts w:eastAsiaTheme="minorHAnsi"/>
          <w:sz w:val="22"/>
          <w:szCs w:val="22"/>
          <w:lang w:val="en-GB"/>
        </w:rPr>
        <w:t xml:space="preserve"> </w:t>
      </w:r>
      <w:r w:rsidRPr="000C1D5A">
        <w:rPr>
          <w:rFonts w:asciiTheme="majorHAnsi" w:eastAsiaTheme="minorHAnsi" w:hAnsiTheme="majorHAnsi"/>
          <w:sz w:val="22"/>
          <w:szCs w:val="22"/>
          <w:lang w:val="en-GB"/>
        </w:rPr>
        <w:t xml:space="preserve">LPE, </w:t>
      </w:r>
      <w:proofErr w:type="spellStart"/>
      <w:r w:rsidRPr="000C1D5A">
        <w:rPr>
          <w:rFonts w:asciiTheme="majorHAnsi" w:eastAsiaTheme="minorHAnsi" w:hAnsiTheme="majorHAnsi"/>
          <w:sz w:val="22"/>
          <w:szCs w:val="22"/>
          <w:lang w:val="en-GB"/>
        </w:rPr>
        <w:t>Lysophosphati</w:t>
      </w:r>
      <w:r>
        <w:rPr>
          <w:rFonts w:asciiTheme="majorHAnsi" w:eastAsiaTheme="minorHAnsi" w:hAnsiTheme="majorHAnsi"/>
          <w:sz w:val="22"/>
          <w:szCs w:val="22"/>
          <w:lang w:val="en-GB"/>
        </w:rPr>
        <w:t>dylethanolamine</w:t>
      </w:r>
      <w:proofErr w:type="spellEnd"/>
      <w:r>
        <w:rPr>
          <w:rFonts w:asciiTheme="majorHAnsi" w:eastAsiaTheme="minorHAnsi" w:hAnsiTheme="majorHAnsi"/>
          <w:sz w:val="22"/>
          <w:szCs w:val="22"/>
          <w:lang w:val="en-GB"/>
        </w:rPr>
        <w:t>;</w:t>
      </w:r>
      <w:r w:rsidRPr="000C1D5A">
        <w:rPr>
          <w:rFonts w:asciiTheme="majorHAnsi" w:eastAsiaTheme="minorHAnsi" w:hAnsiTheme="majorHAnsi"/>
          <w:sz w:val="22"/>
          <w:szCs w:val="22"/>
          <w:lang w:val="en-GB"/>
        </w:rPr>
        <w:t xml:space="preserve"> PC, Phosphatidylcholine;</w:t>
      </w:r>
      <w:r w:rsidRPr="000C1D5A">
        <w:rPr>
          <w:rFonts w:eastAsiaTheme="minorHAnsi"/>
          <w:sz w:val="22"/>
          <w:szCs w:val="22"/>
          <w:lang w:val="en-GB"/>
        </w:rPr>
        <w:t xml:space="preserve"> </w:t>
      </w:r>
      <w:r w:rsidRPr="000C1D5A">
        <w:rPr>
          <w:rFonts w:asciiTheme="majorHAnsi" w:eastAsiaTheme="minorHAnsi" w:hAnsiTheme="majorHAnsi"/>
          <w:sz w:val="22"/>
          <w:szCs w:val="22"/>
          <w:lang w:val="en-GB"/>
        </w:rPr>
        <w:t xml:space="preserve">SM(d), Sphingomyelin; TG, Triacylglycerol; TG[O], </w:t>
      </w:r>
      <w:proofErr w:type="spellStart"/>
      <w:r w:rsidRPr="000C1D5A">
        <w:rPr>
          <w:rFonts w:asciiTheme="majorHAnsi" w:eastAsiaTheme="minorHAnsi" w:hAnsiTheme="majorHAnsi"/>
          <w:sz w:val="22"/>
          <w:szCs w:val="22"/>
          <w:lang w:val="en-GB"/>
        </w:rPr>
        <w:t>Alkyldiacylglycerol</w:t>
      </w:r>
      <w:proofErr w:type="spellEnd"/>
      <w:r w:rsidRPr="000C1D5A">
        <w:rPr>
          <w:rFonts w:asciiTheme="majorHAnsi" w:eastAsiaTheme="minorHAnsi" w:hAnsiTheme="majorHAnsi"/>
          <w:sz w:val="22"/>
          <w:szCs w:val="22"/>
          <w:lang w:val="en-GB"/>
        </w:rPr>
        <w:t>.</w:t>
      </w:r>
      <w:r w:rsidRPr="000C1D5A">
        <w:rPr>
          <w:rFonts w:eastAsiaTheme="minorHAnsi"/>
          <w:sz w:val="22"/>
          <w:szCs w:val="22"/>
          <w:lang w:val="en-GB"/>
        </w:rPr>
        <w:t xml:space="preserve"> </w:t>
      </w:r>
    </w:p>
    <w:p w14:paraId="5B7432F0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sz w:val="22"/>
          <w:szCs w:val="22"/>
          <w:lang w:val="en-GB"/>
        </w:rPr>
      </w:pPr>
    </w:p>
    <w:p w14:paraId="18581A6C" w14:textId="723BE258" w:rsidR="00E13AD5" w:rsidRDefault="00E13AD5">
      <w:pPr>
        <w:spacing w:after="160" w:line="259" w:lineRule="auto"/>
        <w:rPr>
          <w:rFonts w:asciiTheme="majorHAnsi" w:eastAsiaTheme="minorHAnsi" w:hAnsiTheme="majorHAnsi"/>
          <w:sz w:val="22"/>
          <w:szCs w:val="22"/>
          <w:lang w:val="en-GB"/>
        </w:rPr>
      </w:pPr>
      <w:r>
        <w:rPr>
          <w:rFonts w:asciiTheme="majorHAnsi" w:eastAsiaTheme="minorHAnsi" w:hAnsiTheme="majorHAnsi"/>
          <w:noProof/>
          <w:sz w:val="22"/>
          <w:szCs w:val="22"/>
          <w:lang w:val="en-GB"/>
        </w:rPr>
        <w:drawing>
          <wp:inline distT="0" distB="0" distL="0" distR="0" wp14:anchorId="1817DDEE" wp14:editId="69FB8C22">
            <wp:extent cx="5934075" cy="492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inorHAnsi" w:hAnsiTheme="majorHAnsi"/>
          <w:sz w:val="22"/>
          <w:szCs w:val="22"/>
          <w:lang w:val="en-GB"/>
        </w:rPr>
        <w:br w:type="page"/>
      </w:r>
    </w:p>
    <w:p w14:paraId="13D2FBDB" w14:textId="7E90E96E" w:rsidR="00E13AD5" w:rsidRPr="00E55595" w:rsidRDefault="00E13AD5" w:rsidP="00E13AD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eastAsiaTheme="minorHAnsi" w:hAnsiTheme="majorHAnsi"/>
          <w:sz w:val="22"/>
          <w:szCs w:val="22"/>
          <w:lang w:val="en-GB"/>
        </w:rPr>
        <w:lastRenderedPageBreak/>
        <w:t xml:space="preserve">Figure, Supplemental Digital Content 2. </w:t>
      </w:r>
      <w:r>
        <w:rPr>
          <w:rFonts w:asciiTheme="majorHAnsi" w:hAnsiTheme="majorHAnsi"/>
          <w:sz w:val="22"/>
          <w:szCs w:val="22"/>
          <w:lang w:val="en-GB"/>
        </w:rPr>
        <w:t xml:space="preserve">Boxplots </w:t>
      </w:r>
      <w:r w:rsidRPr="00E55595">
        <w:rPr>
          <w:rFonts w:asciiTheme="majorHAnsi" w:hAnsiTheme="majorHAnsi"/>
          <w:sz w:val="22"/>
          <w:szCs w:val="22"/>
          <w:lang w:val="en-GB"/>
        </w:rPr>
        <w:t>of significant lipid species</w:t>
      </w:r>
    </w:p>
    <w:p w14:paraId="2014ABCB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Boxplots</w:t>
      </w:r>
      <w:r w:rsidRPr="00E55595">
        <w:rPr>
          <w:rFonts w:asciiTheme="majorHAnsi" w:hAnsiTheme="majorHAnsi"/>
          <w:sz w:val="22"/>
          <w:szCs w:val="22"/>
          <w:lang w:val="en-GB"/>
        </w:rPr>
        <w:t xml:space="preserve"> of </w:t>
      </w:r>
      <w:r>
        <w:rPr>
          <w:rFonts w:asciiTheme="majorHAnsi" w:hAnsiTheme="majorHAnsi"/>
          <w:sz w:val="22"/>
          <w:szCs w:val="22"/>
          <w:lang w:val="en-GB"/>
        </w:rPr>
        <w:t xml:space="preserve">twelve </w:t>
      </w:r>
      <w:r w:rsidRPr="00E55595">
        <w:rPr>
          <w:rFonts w:asciiTheme="majorHAnsi" w:hAnsiTheme="majorHAnsi"/>
          <w:sz w:val="22"/>
          <w:szCs w:val="22"/>
          <w:lang w:val="en-GB"/>
        </w:rPr>
        <w:t xml:space="preserve">lipid species </w:t>
      </w:r>
      <w:r>
        <w:rPr>
          <w:rFonts w:asciiTheme="majorHAnsi" w:hAnsiTheme="majorHAnsi"/>
          <w:sz w:val="22"/>
          <w:szCs w:val="22"/>
          <w:lang w:val="en-GB"/>
        </w:rPr>
        <w:t>that remained significant after FDR &lt;5% limitation, with</w:t>
      </w:r>
    </w:p>
    <w:p w14:paraId="540F5D2B" w14:textId="77777777" w:rsidR="00E13AD5" w:rsidRPr="00E5559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higher concentrations in </w:t>
      </w:r>
      <w:r w:rsidRPr="00E55595">
        <w:rPr>
          <w:rFonts w:asciiTheme="majorHAnsi" w:hAnsiTheme="majorHAnsi"/>
          <w:sz w:val="22"/>
          <w:szCs w:val="22"/>
          <w:lang w:val="en-GB"/>
        </w:rPr>
        <w:t>chil</w:t>
      </w:r>
      <w:r>
        <w:rPr>
          <w:rFonts w:asciiTheme="majorHAnsi" w:hAnsiTheme="majorHAnsi"/>
          <w:sz w:val="22"/>
          <w:szCs w:val="22"/>
          <w:lang w:val="en-GB"/>
        </w:rPr>
        <w:t xml:space="preserve">dren with </w:t>
      </w:r>
      <w:r w:rsidRPr="00E55595">
        <w:rPr>
          <w:rFonts w:asciiTheme="majorHAnsi" w:hAnsiTheme="majorHAnsi"/>
          <w:sz w:val="22"/>
          <w:szCs w:val="22"/>
          <w:lang w:val="en-GB"/>
        </w:rPr>
        <w:t>steatosis compared to controls.</w:t>
      </w:r>
    </w:p>
    <w:p w14:paraId="6C760CF7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/>
          <w:sz w:val="22"/>
          <w:szCs w:val="22"/>
          <w:lang w:val="en-GB"/>
        </w:rPr>
      </w:pPr>
      <w:r w:rsidRPr="00E55595">
        <w:rPr>
          <w:rFonts w:asciiTheme="majorHAnsi" w:hAnsiTheme="majorHAnsi"/>
          <w:sz w:val="22"/>
          <w:szCs w:val="22"/>
          <w:lang w:val="en-GB"/>
        </w:rPr>
        <w:t>Abbreviations: LP</w:t>
      </w:r>
      <w:r>
        <w:rPr>
          <w:rFonts w:asciiTheme="majorHAnsi" w:hAnsiTheme="majorHAnsi"/>
          <w:sz w:val="22"/>
          <w:szCs w:val="22"/>
          <w:lang w:val="en-GB"/>
        </w:rPr>
        <w:t xml:space="preserve">E,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Lysophosphatidylethanolamine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>; SM(d), S</w:t>
      </w:r>
      <w:r w:rsidRPr="00E55595">
        <w:rPr>
          <w:rFonts w:asciiTheme="majorHAnsi" w:hAnsiTheme="majorHAnsi"/>
          <w:sz w:val="22"/>
          <w:szCs w:val="22"/>
          <w:lang w:val="en-GB"/>
        </w:rPr>
        <w:t xml:space="preserve">phingomyelin; </w:t>
      </w:r>
      <w:r>
        <w:rPr>
          <w:rFonts w:asciiTheme="majorHAnsi" w:hAnsiTheme="majorHAnsi"/>
          <w:sz w:val="22"/>
          <w:szCs w:val="22"/>
          <w:lang w:val="en-GB"/>
        </w:rPr>
        <w:t>TG[O],</w:t>
      </w:r>
    </w:p>
    <w:p w14:paraId="07DC517A" w14:textId="7711F484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/>
          <w:sz w:val="22"/>
          <w:szCs w:val="22"/>
          <w:lang w:val="en-GB"/>
        </w:rPr>
      </w:pPr>
      <w:proofErr w:type="spellStart"/>
      <w:r>
        <w:rPr>
          <w:rFonts w:asciiTheme="majorHAnsi" w:hAnsiTheme="majorHAnsi"/>
          <w:sz w:val="22"/>
          <w:szCs w:val="22"/>
          <w:lang w:val="en-GB"/>
        </w:rPr>
        <w:t>Alkyldiacylglycerol</w:t>
      </w:r>
      <w:proofErr w:type="spellEnd"/>
    </w:p>
    <w:p w14:paraId="06DE57EE" w14:textId="77777777" w:rsidR="00E13AD5" w:rsidRPr="00E5559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eastAsiaTheme="minorHAnsi"/>
          <w:sz w:val="22"/>
          <w:szCs w:val="22"/>
          <w:lang w:val="en-GB"/>
        </w:rPr>
      </w:pPr>
    </w:p>
    <w:p w14:paraId="2A2E5E9C" w14:textId="3878383B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noProof/>
          <w:sz w:val="22"/>
          <w:szCs w:val="22"/>
          <w:lang w:val="en-GB"/>
        </w:rPr>
        <w:drawing>
          <wp:inline distT="0" distB="0" distL="0" distR="0" wp14:anchorId="690F7C6F" wp14:editId="269B8CE0">
            <wp:extent cx="5943600" cy="484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0634" w14:textId="77777777" w:rsidR="00E13AD5" w:rsidRDefault="00E13AD5">
      <w:pPr>
        <w:spacing w:after="160" w:line="259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br w:type="page"/>
      </w:r>
    </w:p>
    <w:p w14:paraId="4FF03D5E" w14:textId="27287E9D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lastRenderedPageBreak/>
        <w:t xml:space="preserve">Figure, Supplemental Digital Content 3. </w:t>
      </w:r>
      <w:r w:rsidRPr="006C4861">
        <w:rPr>
          <w:rFonts w:asciiTheme="majorHAnsi" w:hAnsiTheme="majorHAnsi"/>
          <w:sz w:val="22"/>
          <w:szCs w:val="22"/>
          <w:lang w:val="en-GB"/>
        </w:rPr>
        <w:t>Partial least squares regression discriminant</w:t>
      </w:r>
      <w:r>
        <w:rPr>
          <w:rFonts w:asciiTheme="majorHAnsi" w:hAnsiTheme="majorHAnsi"/>
          <w:sz w:val="22"/>
          <w:szCs w:val="22"/>
          <w:lang w:val="en-GB"/>
        </w:rPr>
        <w:t xml:space="preserve"> analysis</w:t>
      </w:r>
    </w:p>
    <w:p w14:paraId="4E6F2FEA" w14:textId="77777777" w:rsidR="00E13AD5" w:rsidRPr="00975330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(PLS-</w:t>
      </w:r>
      <w:r w:rsidRPr="006C4861">
        <w:rPr>
          <w:rFonts w:asciiTheme="majorHAnsi" w:hAnsiTheme="majorHAnsi"/>
          <w:sz w:val="22"/>
          <w:szCs w:val="22"/>
          <w:lang w:val="en-GB"/>
        </w:rPr>
        <w:t>DA)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1A8E0C03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This technique generalizes and combines features from principal component analysis</w:t>
      </w:r>
      <w:r w:rsidRPr="00BF1486">
        <w:rPr>
          <w:rFonts w:asciiTheme="majorHAnsi" w:hAnsiTheme="majorHAnsi"/>
          <w:sz w:val="22"/>
          <w:szCs w:val="22"/>
          <w:lang w:val="en-GB"/>
        </w:rPr>
        <w:t xml:space="preserve"> and multiple regres</w:t>
      </w:r>
      <w:r>
        <w:rPr>
          <w:rFonts w:asciiTheme="majorHAnsi" w:hAnsiTheme="majorHAnsi"/>
          <w:sz w:val="22"/>
          <w:szCs w:val="22"/>
          <w:lang w:val="en-GB"/>
        </w:rPr>
        <w:t xml:space="preserve">sion. PLS </w:t>
      </w:r>
      <w:r w:rsidRPr="00BF1486">
        <w:rPr>
          <w:rFonts w:asciiTheme="majorHAnsi" w:hAnsiTheme="majorHAnsi"/>
          <w:sz w:val="22"/>
          <w:szCs w:val="22"/>
          <w:lang w:val="en-GB"/>
        </w:rPr>
        <w:t xml:space="preserve">in combination with Discriminant Analysis (DA) </w:t>
      </w:r>
      <w:r>
        <w:rPr>
          <w:rFonts w:asciiTheme="majorHAnsi" w:hAnsiTheme="majorHAnsi"/>
          <w:sz w:val="22"/>
          <w:szCs w:val="22"/>
          <w:lang w:val="en-GB"/>
        </w:rPr>
        <w:t xml:space="preserve">is used </w:t>
      </w:r>
      <w:r w:rsidRPr="00BF1486">
        <w:rPr>
          <w:rFonts w:asciiTheme="majorHAnsi" w:hAnsiTheme="majorHAnsi"/>
          <w:sz w:val="22"/>
          <w:szCs w:val="22"/>
          <w:lang w:val="en-GB"/>
        </w:rPr>
        <w:t>to</w:t>
      </w:r>
      <w:r>
        <w:rPr>
          <w:rFonts w:asciiTheme="majorHAnsi" w:hAnsiTheme="majorHAnsi"/>
          <w:sz w:val="22"/>
          <w:szCs w:val="22"/>
          <w:lang w:val="en-GB"/>
        </w:rPr>
        <w:t xml:space="preserve"> fi</w:t>
      </w:r>
      <w:r w:rsidRPr="00BF1486">
        <w:rPr>
          <w:rFonts w:asciiTheme="majorHAnsi" w:hAnsiTheme="majorHAnsi"/>
          <w:sz w:val="22"/>
          <w:szCs w:val="22"/>
          <w:lang w:val="en-GB"/>
        </w:rPr>
        <w:t xml:space="preserve">nd the multidimensional direction in the metabolite </w:t>
      </w:r>
      <w:r>
        <w:rPr>
          <w:rFonts w:asciiTheme="majorHAnsi" w:hAnsiTheme="majorHAnsi"/>
          <w:sz w:val="22"/>
          <w:szCs w:val="22"/>
          <w:lang w:val="en-GB"/>
        </w:rPr>
        <w:t>space that explains the maximum</w:t>
      </w:r>
    </w:p>
    <w:p w14:paraId="566F870F" w14:textId="77777777" w:rsidR="00E13AD5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variance between diff</w:t>
      </w:r>
      <w:r w:rsidRPr="00BF1486">
        <w:rPr>
          <w:rFonts w:asciiTheme="majorHAnsi" w:hAnsiTheme="majorHAnsi"/>
          <w:sz w:val="22"/>
          <w:szCs w:val="22"/>
          <w:lang w:val="en-GB"/>
        </w:rPr>
        <w:t>erent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BF1486">
        <w:rPr>
          <w:rFonts w:asciiTheme="majorHAnsi" w:hAnsiTheme="majorHAnsi"/>
          <w:sz w:val="22"/>
          <w:szCs w:val="22"/>
          <w:lang w:val="en-GB"/>
        </w:rPr>
        <w:t xml:space="preserve">groups of samples. </w:t>
      </w:r>
      <w:r>
        <w:rPr>
          <w:rFonts w:asciiTheme="majorHAnsi" w:hAnsiTheme="majorHAnsi"/>
          <w:sz w:val="22"/>
          <w:szCs w:val="22"/>
          <w:lang w:val="en-GB"/>
        </w:rPr>
        <w:t xml:space="preserve">This </w:t>
      </w:r>
      <w:r w:rsidRPr="00BF1486">
        <w:rPr>
          <w:rFonts w:asciiTheme="majorHAnsi" w:hAnsiTheme="majorHAnsi"/>
          <w:sz w:val="22"/>
          <w:szCs w:val="22"/>
          <w:lang w:val="en-GB"/>
        </w:rPr>
        <w:t xml:space="preserve">will </w:t>
      </w:r>
      <w:r>
        <w:rPr>
          <w:rFonts w:asciiTheme="majorHAnsi" w:hAnsiTheme="majorHAnsi"/>
          <w:sz w:val="22"/>
          <w:szCs w:val="22"/>
          <w:lang w:val="en-GB"/>
        </w:rPr>
        <w:t>enable to discriminate between the</w:t>
      </w:r>
    </w:p>
    <w:p w14:paraId="01A0CFD4" w14:textId="1D03EC37" w:rsidR="00EF03B7" w:rsidRDefault="00E13AD5" w:rsidP="00E13AD5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BF1486">
        <w:rPr>
          <w:rFonts w:asciiTheme="majorHAnsi" w:hAnsiTheme="majorHAnsi"/>
          <w:sz w:val="22"/>
          <w:szCs w:val="22"/>
          <w:lang w:val="en-GB"/>
        </w:rPr>
        <w:t>categories of the dependent variable.</w:t>
      </w:r>
    </w:p>
    <w:p w14:paraId="4F1A3E90" w14:textId="34DCFDDE" w:rsidR="00E13AD5" w:rsidRDefault="00E13AD5">
      <w:r>
        <w:rPr>
          <w:noProof/>
        </w:rPr>
        <w:drawing>
          <wp:inline distT="0" distB="0" distL="0" distR="0" wp14:anchorId="5D4D1A5A" wp14:editId="4BAC87A7">
            <wp:extent cx="594360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D5"/>
    <w:rsid w:val="00E13AD5"/>
    <w:rsid w:val="00E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E82D"/>
  <w15:chartTrackingRefBased/>
  <w15:docId w15:val="{8CF4CDDE-CF5E-4409-84EF-39C66D74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D5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2020-07-22T01:40:00Z</dcterms:created>
  <dcterms:modified xsi:type="dcterms:W3CDTF">2020-07-22T01:42:00Z</dcterms:modified>
</cp:coreProperties>
</file>