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E90CF" w14:textId="529C3F9D" w:rsidR="0001203E" w:rsidRPr="00694010" w:rsidRDefault="00654086" w:rsidP="0001203E">
      <w:pPr>
        <w:pStyle w:val="Heading1"/>
        <w:rPr>
          <w:lang w:val="en-US"/>
        </w:rPr>
      </w:pPr>
      <w:bookmarkStart w:id="0" w:name="_GoBack"/>
      <w:bookmarkEnd w:id="0"/>
      <w:r w:rsidRPr="00694010">
        <w:rPr>
          <w:lang w:val="en-US"/>
        </w:rPr>
        <w:t xml:space="preserve">Supplementary material: </w:t>
      </w:r>
      <w:r w:rsidR="001D47F3" w:rsidRPr="00694010">
        <w:rPr>
          <w:lang w:val="en-US"/>
        </w:rPr>
        <w:t>a</w:t>
      </w:r>
      <w:r w:rsidR="00623018" w:rsidRPr="00694010">
        <w:rPr>
          <w:lang w:val="en-US"/>
        </w:rPr>
        <w:t>n overview of the evidence review conducted to identify patient characteristics and disease-related factors that may influence treatment decisions</w:t>
      </w:r>
    </w:p>
    <w:p w14:paraId="24EAE6EC" w14:textId="473D7358" w:rsidR="0001203E" w:rsidRPr="00694010" w:rsidRDefault="0001203E" w:rsidP="007A3EFF">
      <w:pPr>
        <w:pStyle w:val="Heading1"/>
        <w:rPr>
          <w:lang w:val="en-US"/>
        </w:rPr>
      </w:pPr>
      <w:r w:rsidRPr="00694010">
        <w:rPr>
          <w:lang w:val="en-US"/>
        </w:rPr>
        <w:t>Methods</w:t>
      </w:r>
    </w:p>
    <w:p w14:paraId="388D2845" w14:textId="286705D3" w:rsidR="0042246E" w:rsidRPr="00694010" w:rsidRDefault="00456220" w:rsidP="00A75B17">
      <w:pPr>
        <w:pStyle w:val="BodyText"/>
        <w:rPr>
          <w:lang w:val="en-US"/>
        </w:rPr>
      </w:pPr>
      <w:r w:rsidRPr="00694010">
        <w:rPr>
          <w:lang w:val="en-US"/>
        </w:rPr>
        <w:t>F</w:t>
      </w:r>
      <w:r w:rsidR="004C2DA0" w:rsidRPr="00694010">
        <w:rPr>
          <w:lang w:val="en-US"/>
        </w:rPr>
        <w:t xml:space="preserve">actors that may affect </w:t>
      </w:r>
      <w:r w:rsidR="00787462" w:rsidRPr="00694010">
        <w:rPr>
          <w:lang w:val="en-US"/>
        </w:rPr>
        <w:t xml:space="preserve">first-line </w:t>
      </w:r>
      <w:r w:rsidR="004C2DA0" w:rsidRPr="00694010">
        <w:rPr>
          <w:lang w:val="en-US"/>
        </w:rPr>
        <w:t>treatment decision</w:t>
      </w:r>
      <w:r w:rsidR="00196CCB" w:rsidRPr="00694010">
        <w:rPr>
          <w:lang w:val="en-US"/>
        </w:rPr>
        <w:t>-making</w:t>
      </w:r>
      <w:r w:rsidR="003A44B7" w:rsidRPr="00694010">
        <w:rPr>
          <w:lang w:val="en-US"/>
        </w:rPr>
        <w:t xml:space="preserve"> </w:t>
      </w:r>
      <w:r w:rsidRPr="00694010">
        <w:rPr>
          <w:lang w:val="en-US"/>
        </w:rPr>
        <w:t xml:space="preserve">were identified </w:t>
      </w:r>
      <w:r w:rsidR="0058381C" w:rsidRPr="00694010">
        <w:rPr>
          <w:lang w:val="en-US"/>
        </w:rPr>
        <w:t>from</w:t>
      </w:r>
      <w:r w:rsidR="003A44B7" w:rsidRPr="00694010">
        <w:rPr>
          <w:lang w:val="en-US"/>
        </w:rPr>
        <w:t xml:space="preserve"> thr</w:t>
      </w:r>
      <w:r w:rsidR="00942100" w:rsidRPr="00694010">
        <w:rPr>
          <w:lang w:val="en-US"/>
        </w:rPr>
        <w:t>ee published sources: clinical trial</w:t>
      </w:r>
      <w:r w:rsidR="003A44B7" w:rsidRPr="00694010">
        <w:rPr>
          <w:lang w:val="en-US"/>
        </w:rPr>
        <w:t>s, treatment guidelines</w:t>
      </w:r>
      <w:r w:rsidR="00E4578E" w:rsidRPr="00694010">
        <w:rPr>
          <w:lang w:val="en-US"/>
        </w:rPr>
        <w:t>,</w:t>
      </w:r>
      <w:r w:rsidR="003A44B7" w:rsidRPr="00694010">
        <w:rPr>
          <w:lang w:val="en-US"/>
        </w:rPr>
        <w:t xml:space="preserve"> and </w:t>
      </w:r>
      <w:r w:rsidR="00920BD8" w:rsidRPr="00694010">
        <w:rPr>
          <w:lang w:val="en-US"/>
        </w:rPr>
        <w:t>technology appraisal (TA)</w:t>
      </w:r>
      <w:r w:rsidR="00942100" w:rsidRPr="00694010">
        <w:rPr>
          <w:lang w:val="en-US"/>
        </w:rPr>
        <w:t xml:space="preserve"> repor</w:t>
      </w:r>
      <w:r w:rsidR="003A44B7" w:rsidRPr="00694010">
        <w:rPr>
          <w:lang w:val="en-US"/>
        </w:rPr>
        <w:t>ts</w:t>
      </w:r>
      <w:r w:rsidR="00920BD8" w:rsidRPr="00694010">
        <w:rPr>
          <w:lang w:val="en-US"/>
        </w:rPr>
        <w:t xml:space="preserve"> from the UK National Institute for Health and Care Excellence (NICE)</w:t>
      </w:r>
      <w:r w:rsidR="003A44B7" w:rsidRPr="00694010">
        <w:rPr>
          <w:lang w:val="en-US"/>
        </w:rPr>
        <w:t xml:space="preserve">. </w:t>
      </w:r>
      <w:r w:rsidR="00EC1D87" w:rsidRPr="00694010">
        <w:rPr>
          <w:lang w:val="en-US"/>
        </w:rPr>
        <w:t>The</w:t>
      </w:r>
      <w:r w:rsidR="0098584C" w:rsidRPr="00694010">
        <w:rPr>
          <w:lang w:val="en-US"/>
        </w:rPr>
        <w:t xml:space="preserve"> factors </w:t>
      </w:r>
      <w:r w:rsidR="00EC1D87" w:rsidRPr="00694010">
        <w:rPr>
          <w:lang w:val="en-US"/>
        </w:rPr>
        <w:t xml:space="preserve">were categorized as either patient </w:t>
      </w:r>
      <w:r w:rsidR="00DC4B89" w:rsidRPr="00694010">
        <w:rPr>
          <w:lang w:val="en-US"/>
        </w:rPr>
        <w:t xml:space="preserve">characteristics </w:t>
      </w:r>
      <w:r w:rsidR="00EC1D87" w:rsidRPr="00694010">
        <w:rPr>
          <w:lang w:val="en-US"/>
        </w:rPr>
        <w:t>or disease</w:t>
      </w:r>
      <w:r w:rsidR="00DC4B89" w:rsidRPr="00694010">
        <w:rPr>
          <w:lang w:val="en-US"/>
        </w:rPr>
        <w:t>-</w:t>
      </w:r>
      <w:r w:rsidR="00EC1D87" w:rsidRPr="00694010">
        <w:rPr>
          <w:lang w:val="en-US"/>
        </w:rPr>
        <w:t>related</w:t>
      </w:r>
      <w:r w:rsidR="00DC4B89" w:rsidRPr="00694010">
        <w:rPr>
          <w:lang w:val="en-US"/>
        </w:rPr>
        <w:t xml:space="preserve"> factors</w:t>
      </w:r>
      <w:r w:rsidR="00D73FE9" w:rsidRPr="00694010">
        <w:rPr>
          <w:lang w:val="en-US"/>
        </w:rPr>
        <w:t xml:space="preserve">, although it </w:t>
      </w:r>
      <w:r w:rsidR="008D2A96" w:rsidRPr="00694010">
        <w:rPr>
          <w:lang w:val="en-US"/>
        </w:rPr>
        <w:t>was</w:t>
      </w:r>
      <w:r w:rsidR="00D73FE9" w:rsidRPr="00694010">
        <w:rPr>
          <w:lang w:val="en-US"/>
        </w:rPr>
        <w:t xml:space="preserve"> </w:t>
      </w:r>
      <w:r w:rsidR="00952AA5" w:rsidRPr="00694010">
        <w:rPr>
          <w:lang w:val="en-US"/>
        </w:rPr>
        <w:t>recognized</w:t>
      </w:r>
      <w:r w:rsidR="00D73FE9" w:rsidRPr="00694010">
        <w:rPr>
          <w:lang w:val="en-US"/>
        </w:rPr>
        <w:t xml:space="preserve"> that some </w:t>
      </w:r>
      <w:r w:rsidR="00AE75CB" w:rsidRPr="00694010">
        <w:rPr>
          <w:lang w:val="en-US"/>
        </w:rPr>
        <w:t xml:space="preserve">could be considered </w:t>
      </w:r>
      <w:r w:rsidR="008D2A96" w:rsidRPr="00694010">
        <w:rPr>
          <w:lang w:val="en-US"/>
        </w:rPr>
        <w:t>to belong</w:t>
      </w:r>
      <w:r w:rsidR="00AE75CB" w:rsidRPr="00694010">
        <w:rPr>
          <w:lang w:val="en-US"/>
        </w:rPr>
        <w:t xml:space="preserve"> to both categories.</w:t>
      </w:r>
    </w:p>
    <w:p w14:paraId="2DD37B41" w14:textId="6E8ACDBC" w:rsidR="00430BE4" w:rsidRPr="00694010" w:rsidRDefault="00DC0973" w:rsidP="00A75B17">
      <w:pPr>
        <w:pStyle w:val="BodyText"/>
        <w:rPr>
          <w:lang w:val="en-US"/>
        </w:rPr>
      </w:pPr>
      <w:r w:rsidRPr="00694010">
        <w:rPr>
          <w:lang w:val="en-US"/>
        </w:rPr>
        <w:t xml:space="preserve">Published </w:t>
      </w:r>
      <w:r w:rsidR="00B7032D" w:rsidRPr="00694010">
        <w:rPr>
          <w:lang w:val="en-US"/>
        </w:rPr>
        <w:t>Phase </w:t>
      </w:r>
      <w:r w:rsidR="00942100" w:rsidRPr="00694010">
        <w:rPr>
          <w:lang w:val="en-US"/>
        </w:rPr>
        <w:t xml:space="preserve">3 </w:t>
      </w:r>
      <w:r w:rsidR="008F369F" w:rsidRPr="00694010">
        <w:rPr>
          <w:lang w:val="en-US"/>
        </w:rPr>
        <w:t xml:space="preserve">clinical trials comparing </w:t>
      </w:r>
      <w:r w:rsidR="00430BE4" w:rsidRPr="00694010">
        <w:rPr>
          <w:lang w:val="en-US"/>
        </w:rPr>
        <w:t xml:space="preserve">immunotherapies </w:t>
      </w:r>
      <w:r w:rsidR="006C4DBC" w:rsidRPr="00694010">
        <w:rPr>
          <w:lang w:val="en-US"/>
        </w:rPr>
        <w:t xml:space="preserve">(pembrolizumab, ipilimumab, </w:t>
      </w:r>
      <w:r w:rsidR="00E4578E" w:rsidRPr="00694010">
        <w:rPr>
          <w:lang w:val="en-US"/>
        </w:rPr>
        <w:t xml:space="preserve">and </w:t>
      </w:r>
      <w:r w:rsidR="006C4DBC" w:rsidRPr="00694010">
        <w:rPr>
          <w:lang w:val="en-US"/>
        </w:rPr>
        <w:t>nivolumab)</w:t>
      </w:r>
      <w:r w:rsidR="00F048AD" w:rsidRPr="00694010">
        <w:rPr>
          <w:lang w:val="en-US"/>
        </w:rPr>
        <w:t xml:space="preserve"> </w:t>
      </w:r>
      <w:r w:rsidR="00AE1D03" w:rsidRPr="00694010">
        <w:rPr>
          <w:lang w:val="en-US"/>
        </w:rPr>
        <w:t>or</w:t>
      </w:r>
      <w:r w:rsidR="00430BE4" w:rsidRPr="00694010">
        <w:rPr>
          <w:lang w:val="en-US"/>
        </w:rPr>
        <w:t xml:space="preserve"> </w:t>
      </w:r>
      <w:r w:rsidR="00DE2CCF" w:rsidRPr="00694010">
        <w:rPr>
          <w:lang w:val="en-US"/>
        </w:rPr>
        <w:t>targeted therapies</w:t>
      </w:r>
      <w:r w:rsidR="009163E7" w:rsidRPr="00694010">
        <w:rPr>
          <w:lang w:val="en-US"/>
        </w:rPr>
        <w:t xml:space="preserve"> </w:t>
      </w:r>
      <w:r w:rsidR="006C4DBC" w:rsidRPr="00694010">
        <w:rPr>
          <w:lang w:val="en-US"/>
        </w:rPr>
        <w:t>(</w:t>
      </w:r>
      <w:r w:rsidR="00430BE4" w:rsidRPr="00694010">
        <w:rPr>
          <w:lang w:val="en-US"/>
        </w:rPr>
        <w:t>vemurafenib, dabrafenib</w:t>
      </w:r>
      <w:r w:rsidR="00E4578E" w:rsidRPr="00694010">
        <w:rPr>
          <w:lang w:val="en-US"/>
        </w:rPr>
        <w:t>,</w:t>
      </w:r>
      <w:r w:rsidR="00430BE4" w:rsidRPr="00694010">
        <w:rPr>
          <w:lang w:val="en-US"/>
        </w:rPr>
        <w:t xml:space="preserve"> and trametinib)</w:t>
      </w:r>
      <w:r w:rsidR="00DE2CCF" w:rsidRPr="00694010">
        <w:rPr>
          <w:lang w:val="en-US"/>
        </w:rPr>
        <w:t xml:space="preserve"> </w:t>
      </w:r>
      <w:r w:rsidR="00E4578E" w:rsidRPr="00694010">
        <w:rPr>
          <w:lang w:val="en-US"/>
        </w:rPr>
        <w:t xml:space="preserve">with </w:t>
      </w:r>
      <w:r w:rsidR="008F369F" w:rsidRPr="00694010">
        <w:rPr>
          <w:lang w:val="en-US"/>
        </w:rPr>
        <w:t xml:space="preserve">active comparators </w:t>
      </w:r>
      <w:r w:rsidR="00B3253C" w:rsidRPr="00694010">
        <w:rPr>
          <w:lang w:val="en-US"/>
        </w:rPr>
        <w:t xml:space="preserve">for </w:t>
      </w:r>
      <w:r w:rsidR="007E0065" w:rsidRPr="00694010">
        <w:rPr>
          <w:lang w:val="en-US"/>
        </w:rPr>
        <w:t xml:space="preserve">patients with unresectable stage III or IV melanoma not previously treated with ipilimumab </w:t>
      </w:r>
      <w:r w:rsidR="00DE2CCF" w:rsidRPr="00694010">
        <w:rPr>
          <w:lang w:val="en-US"/>
        </w:rPr>
        <w:t xml:space="preserve">were identified from a systematic </w:t>
      </w:r>
      <w:r w:rsidR="003475DB" w:rsidRPr="00694010">
        <w:rPr>
          <w:lang w:val="en-US"/>
        </w:rPr>
        <w:t xml:space="preserve">literature </w:t>
      </w:r>
      <w:r w:rsidR="00DE2CCF" w:rsidRPr="00694010">
        <w:rPr>
          <w:lang w:val="en-US"/>
        </w:rPr>
        <w:t>review</w:t>
      </w:r>
      <w:r w:rsidR="007609F8" w:rsidRPr="00694010">
        <w:rPr>
          <w:lang w:val="en-US"/>
        </w:rPr>
        <w:t xml:space="preserve"> </w:t>
      </w:r>
      <w:r w:rsidR="00CB4BA7" w:rsidRPr="00694010">
        <w:rPr>
          <w:lang w:val="en-US"/>
        </w:rPr>
        <w:t xml:space="preserve">conducted </w:t>
      </w:r>
      <w:r w:rsidR="008A3B29" w:rsidRPr="00694010">
        <w:rPr>
          <w:lang w:val="en-US"/>
        </w:rPr>
        <w:t>on 27 July 2015</w:t>
      </w:r>
      <w:r w:rsidR="00CB4BA7" w:rsidRPr="00694010">
        <w:rPr>
          <w:lang w:val="en-US"/>
        </w:rPr>
        <w:t xml:space="preserve"> (</w:t>
      </w:r>
      <w:r w:rsidR="008A3B29" w:rsidRPr="00694010">
        <w:rPr>
          <w:lang w:val="en-US"/>
        </w:rPr>
        <w:t>search terms are listed in</w:t>
      </w:r>
      <w:r w:rsidR="00FA284D" w:rsidRPr="00694010">
        <w:rPr>
          <w:lang w:val="en-US"/>
        </w:rPr>
        <w:t xml:space="preserve"> </w:t>
      </w:r>
      <w:r w:rsidR="006A005D" w:rsidRPr="00694010">
        <w:rPr>
          <w:lang w:val="en-US"/>
        </w:rPr>
        <w:t xml:space="preserve">supplementary </w:t>
      </w:r>
      <w:r w:rsidR="007D35E1" w:rsidRPr="00694010">
        <w:rPr>
          <w:lang w:val="en-US"/>
        </w:rPr>
        <w:t>tables 1 and 2</w:t>
      </w:r>
      <w:r w:rsidR="008F369F" w:rsidRPr="00694010">
        <w:rPr>
          <w:lang w:val="en-US"/>
        </w:rPr>
        <w:t>).</w:t>
      </w:r>
      <w:r w:rsidR="005227CD" w:rsidRPr="00694010">
        <w:rPr>
          <w:lang w:val="en-US"/>
        </w:rPr>
        <w:t xml:space="preserve"> </w:t>
      </w:r>
      <w:r w:rsidR="00232FA7" w:rsidRPr="00694010">
        <w:rPr>
          <w:lang w:val="en-US"/>
        </w:rPr>
        <w:t xml:space="preserve">Long-term data </w:t>
      </w:r>
      <w:r w:rsidR="002A3030" w:rsidRPr="00694010">
        <w:rPr>
          <w:lang w:val="en-US"/>
        </w:rPr>
        <w:t xml:space="preserve">from </w:t>
      </w:r>
      <w:r w:rsidR="00232FA7" w:rsidRPr="00694010">
        <w:rPr>
          <w:lang w:val="en-US"/>
        </w:rPr>
        <w:t xml:space="preserve">these trials </w:t>
      </w:r>
      <w:r w:rsidR="006F418F" w:rsidRPr="00694010">
        <w:rPr>
          <w:lang w:val="en-US"/>
        </w:rPr>
        <w:t xml:space="preserve">published </w:t>
      </w:r>
      <w:r w:rsidR="000F7BFC" w:rsidRPr="00694010">
        <w:rPr>
          <w:lang w:val="en-US"/>
        </w:rPr>
        <w:t xml:space="preserve">after </w:t>
      </w:r>
      <w:r w:rsidR="00392D0B" w:rsidRPr="00694010">
        <w:rPr>
          <w:lang w:val="en-US"/>
        </w:rPr>
        <w:t xml:space="preserve">the </w:t>
      </w:r>
      <w:r w:rsidR="007E0065" w:rsidRPr="00694010">
        <w:rPr>
          <w:lang w:val="en-US"/>
        </w:rPr>
        <w:t>initial search</w:t>
      </w:r>
      <w:r w:rsidR="000F7BFC" w:rsidRPr="00694010">
        <w:rPr>
          <w:lang w:val="en-US"/>
        </w:rPr>
        <w:t xml:space="preserve"> </w:t>
      </w:r>
      <w:r w:rsidR="00232FA7" w:rsidRPr="00694010">
        <w:rPr>
          <w:lang w:val="en-US"/>
        </w:rPr>
        <w:t>were identified through</w:t>
      </w:r>
      <w:r w:rsidR="000F7BFC" w:rsidRPr="00694010">
        <w:rPr>
          <w:lang w:val="en-US"/>
        </w:rPr>
        <w:t xml:space="preserve"> additional searches of PubMed (</w:t>
      </w:r>
      <w:r w:rsidR="00232FA7" w:rsidRPr="00694010">
        <w:rPr>
          <w:lang w:val="en-US"/>
        </w:rPr>
        <w:t>19</w:t>
      </w:r>
      <w:r w:rsidR="000F7BFC" w:rsidRPr="00694010">
        <w:rPr>
          <w:lang w:val="en-US"/>
        </w:rPr>
        <w:t xml:space="preserve"> October 2015)</w:t>
      </w:r>
      <w:r w:rsidR="00232FA7" w:rsidRPr="00694010">
        <w:rPr>
          <w:lang w:val="en-US"/>
        </w:rPr>
        <w:t xml:space="preserve"> and</w:t>
      </w:r>
      <w:r w:rsidR="004D2A35" w:rsidRPr="00694010">
        <w:rPr>
          <w:lang w:val="en-US"/>
        </w:rPr>
        <w:t xml:space="preserve"> Google Scholar (26 October</w:t>
      </w:r>
      <w:r w:rsidR="000F7BFC" w:rsidRPr="00694010">
        <w:rPr>
          <w:lang w:val="en-US"/>
        </w:rPr>
        <w:t xml:space="preserve"> 2015</w:t>
      </w:r>
      <w:r w:rsidR="004D2A35" w:rsidRPr="00694010">
        <w:rPr>
          <w:lang w:val="en-US"/>
        </w:rPr>
        <w:t xml:space="preserve">) using the </w:t>
      </w:r>
      <w:r w:rsidR="00232FA7" w:rsidRPr="00694010">
        <w:rPr>
          <w:lang w:val="en-US"/>
        </w:rPr>
        <w:t>NCT identifi</w:t>
      </w:r>
      <w:r w:rsidR="000F7BFC" w:rsidRPr="00694010">
        <w:rPr>
          <w:lang w:val="en-US"/>
        </w:rPr>
        <w:t>er</w:t>
      </w:r>
      <w:r w:rsidR="00C139D8" w:rsidRPr="00694010">
        <w:rPr>
          <w:lang w:val="en-US"/>
        </w:rPr>
        <w:t xml:space="preserve"> [1-19]</w:t>
      </w:r>
      <w:r w:rsidR="00D36FAA" w:rsidRPr="00694010">
        <w:rPr>
          <w:lang w:val="en-US"/>
        </w:rPr>
        <w:t>.</w:t>
      </w:r>
      <w:r w:rsidR="0042246E" w:rsidRPr="00694010">
        <w:rPr>
          <w:lang w:val="en-US"/>
        </w:rPr>
        <w:t xml:space="preserve"> </w:t>
      </w:r>
      <w:r w:rsidR="00D94D6D" w:rsidRPr="00694010">
        <w:rPr>
          <w:lang w:val="en-US"/>
        </w:rPr>
        <w:t>I</w:t>
      </w:r>
      <w:r w:rsidR="009A4210" w:rsidRPr="00694010">
        <w:rPr>
          <w:lang w:val="en-US"/>
        </w:rPr>
        <w:t xml:space="preserve">nformation </w:t>
      </w:r>
      <w:r w:rsidR="00D94D6D" w:rsidRPr="00694010">
        <w:rPr>
          <w:lang w:val="en-US"/>
        </w:rPr>
        <w:t xml:space="preserve">on stratification factors, </w:t>
      </w:r>
      <w:r w:rsidR="00E72B86" w:rsidRPr="00694010">
        <w:rPr>
          <w:lang w:val="en-US"/>
        </w:rPr>
        <w:t xml:space="preserve">subgroups used </w:t>
      </w:r>
      <w:r w:rsidR="00A57F70" w:rsidRPr="00694010">
        <w:rPr>
          <w:lang w:val="en-US"/>
        </w:rPr>
        <w:t xml:space="preserve">in data </w:t>
      </w:r>
      <w:r w:rsidR="00E72B86" w:rsidRPr="00694010">
        <w:rPr>
          <w:lang w:val="en-US"/>
        </w:rPr>
        <w:t>analyses</w:t>
      </w:r>
      <w:r w:rsidR="008E2FA8" w:rsidRPr="00694010">
        <w:rPr>
          <w:lang w:val="en-US"/>
        </w:rPr>
        <w:t>,</w:t>
      </w:r>
      <w:r w:rsidR="00E72B86" w:rsidRPr="00694010">
        <w:rPr>
          <w:lang w:val="en-US"/>
        </w:rPr>
        <w:t xml:space="preserve"> and inclusion/exclusion criteria </w:t>
      </w:r>
      <w:r w:rsidR="002A3030" w:rsidRPr="00694010">
        <w:rPr>
          <w:lang w:val="en-US"/>
        </w:rPr>
        <w:t xml:space="preserve">was </w:t>
      </w:r>
      <w:r w:rsidR="009A4210" w:rsidRPr="00694010">
        <w:rPr>
          <w:lang w:val="en-US"/>
        </w:rPr>
        <w:t>extracted</w:t>
      </w:r>
      <w:r w:rsidR="004503BC" w:rsidRPr="00694010">
        <w:rPr>
          <w:lang w:val="en-US"/>
        </w:rPr>
        <w:t xml:space="preserve"> for each trial</w:t>
      </w:r>
      <w:r w:rsidR="00D94D6D" w:rsidRPr="00694010">
        <w:rPr>
          <w:lang w:val="en-US"/>
        </w:rPr>
        <w:t>. S</w:t>
      </w:r>
      <w:r w:rsidR="00B61236" w:rsidRPr="00694010">
        <w:rPr>
          <w:lang w:val="en-US"/>
        </w:rPr>
        <w:t>tratification factors</w:t>
      </w:r>
      <w:r w:rsidR="00430BE4" w:rsidRPr="00694010">
        <w:rPr>
          <w:lang w:val="en-US"/>
        </w:rPr>
        <w:t xml:space="preserve"> </w:t>
      </w:r>
      <w:r w:rsidR="00E72B86" w:rsidRPr="00694010">
        <w:rPr>
          <w:lang w:val="en-US"/>
        </w:rPr>
        <w:t xml:space="preserve">were considered to represent </w:t>
      </w:r>
      <w:r w:rsidR="00430BE4" w:rsidRPr="00694010">
        <w:rPr>
          <w:lang w:val="en-US"/>
        </w:rPr>
        <w:t xml:space="preserve">potential prognostic </w:t>
      </w:r>
      <w:r w:rsidR="0022526B" w:rsidRPr="00694010">
        <w:rPr>
          <w:lang w:val="en-US"/>
        </w:rPr>
        <w:t>indicators</w:t>
      </w:r>
      <w:r w:rsidR="00430BE4" w:rsidRPr="00694010">
        <w:rPr>
          <w:lang w:val="en-US"/>
        </w:rPr>
        <w:t xml:space="preserve"> for advanced melanoma</w:t>
      </w:r>
      <w:r w:rsidR="005C1284" w:rsidRPr="00694010">
        <w:rPr>
          <w:lang w:val="en-US"/>
        </w:rPr>
        <w:t>.</w:t>
      </w:r>
      <w:r w:rsidR="00555C7D" w:rsidRPr="00694010">
        <w:rPr>
          <w:lang w:val="en-US"/>
        </w:rPr>
        <w:t xml:space="preserve"> Factors used in s</w:t>
      </w:r>
      <w:r w:rsidR="00430BE4" w:rsidRPr="00694010">
        <w:rPr>
          <w:lang w:val="en-US"/>
        </w:rPr>
        <w:t xml:space="preserve">ubgroup analyses </w:t>
      </w:r>
      <w:r w:rsidR="00196C39" w:rsidRPr="00694010">
        <w:rPr>
          <w:lang w:val="en-US"/>
        </w:rPr>
        <w:t>represent</w:t>
      </w:r>
      <w:r w:rsidR="00E930B6" w:rsidRPr="00694010">
        <w:rPr>
          <w:lang w:val="en-US"/>
        </w:rPr>
        <w:t>ed potential</w:t>
      </w:r>
      <w:r w:rsidR="00430BE4" w:rsidRPr="00694010">
        <w:rPr>
          <w:lang w:val="en-US"/>
        </w:rPr>
        <w:t xml:space="preserve"> treatment-effect modifiers</w:t>
      </w:r>
      <w:r w:rsidR="00E930B6" w:rsidRPr="00694010">
        <w:rPr>
          <w:lang w:val="en-US"/>
        </w:rPr>
        <w:t>.</w:t>
      </w:r>
      <w:r w:rsidR="00430BE4" w:rsidRPr="00694010">
        <w:rPr>
          <w:lang w:val="en-US"/>
        </w:rPr>
        <w:t xml:space="preserve"> </w:t>
      </w:r>
      <w:r w:rsidR="002A3030" w:rsidRPr="00694010">
        <w:rPr>
          <w:lang w:val="en-US"/>
        </w:rPr>
        <w:t>I</w:t>
      </w:r>
      <w:r w:rsidR="00430BE4" w:rsidRPr="00694010">
        <w:rPr>
          <w:lang w:val="en-US"/>
        </w:rPr>
        <w:t xml:space="preserve">nclusion/exclusion criteria </w:t>
      </w:r>
      <w:r w:rsidR="00B06666" w:rsidRPr="00694010">
        <w:rPr>
          <w:lang w:val="en-US"/>
        </w:rPr>
        <w:t xml:space="preserve">could </w:t>
      </w:r>
      <w:r w:rsidR="00E930B6" w:rsidRPr="00694010">
        <w:rPr>
          <w:lang w:val="en-US"/>
        </w:rPr>
        <w:t xml:space="preserve">include </w:t>
      </w:r>
      <w:r w:rsidR="00A22B39" w:rsidRPr="00694010">
        <w:rPr>
          <w:lang w:val="en-US"/>
        </w:rPr>
        <w:t>disease-</w:t>
      </w:r>
      <w:r w:rsidR="003A44B7" w:rsidRPr="00694010">
        <w:rPr>
          <w:lang w:val="en-US"/>
        </w:rPr>
        <w:t xml:space="preserve">related </w:t>
      </w:r>
      <w:r w:rsidR="005D6777" w:rsidRPr="00694010">
        <w:rPr>
          <w:lang w:val="en-US"/>
        </w:rPr>
        <w:t>factors</w:t>
      </w:r>
      <w:r w:rsidR="003A44B7" w:rsidRPr="00694010">
        <w:rPr>
          <w:lang w:val="en-US"/>
        </w:rPr>
        <w:t xml:space="preserve"> and </w:t>
      </w:r>
      <w:r w:rsidR="00E930B6" w:rsidRPr="00694010">
        <w:rPr>
          <w:lang w:val="en-US"/>
        </w:rPr>
        <w:t>comorbidities</w:t>
      </w:r>
      <w:r w:rsidR="00963609" w:rsidRPr="00694010">
        <w:rPr>
          <w:lang w:val="en-US"/>
        </w:rPr>
        <w:t xml:space="preserve"> that </w:t>
      </w:r>
      <w:r w:rsidR="00392D0B" w:rsidRPr="00694010">
        <w:rPr>
          <w:lang w:val="en-US"/>
        </w:rPr>
        <w:t>are important when considering the applicability of the results to patient</w:t>
      </w:r>
      <w:r w:rsidR="00C4435B" w:rsidRPr="00694010">
        <w:rPr>
          <w:lang w:val="en-US"/>
        </w:rPr>
        <w:t>s</w:t>
      </w:r>
      <w:r w:rsidR="00392D0B" w:rsidRPr="00694010">
        <w:rPr>
          <w:lang w:val="en-US"/>
        </w:rPr>
        <w:t xml:space="preserve"> in clinical practice</w:t>
      </w:r>
      <w:r w:rsidR="00A3021A" w:rsidRPr="00694010">
        <w:rPr>
          <w:lang w:val="en-US"/>
        </w:rPr>
        <w:t>.</w:t>
      </w:r>
    </w:p>
    <w:p w14:paraId="2A6A51EC" w14:textId="544C5735" w:rsidR="00B61236" w:rsidRPr="00694010" w:rsidRDefault="00C827C5" w:rsidP="00A75B17">
      <w:pPr>
        <w:pStyle w:val="BodyText"/>
        <w:rPr>
          <w:lang w:val="en-US"/>
        </w:rPr>
      </w:pPr>
      <w:r w:rsidRPr="00694010">
        <w:rPr>
          <w:lang w:val="en-US"/>
        </w:rPr>
        <w:lastRenderedPageBreak/>
        <w:t xml:space="preserve">Factors </w:t>
      </w:r>
      <w:r w:rsidR="00A379C0" w:rsidRPr="00694010">
        <w:rPr>
          <w:lang w:val="en-US"/>
        </w:rPr>
        <w:t xml:space="preserve">that may influence the choice of first-line therapy were also identified from European treatment guidelines published between January 2012 and October 2015, and from </w:t>
      </w:r>
      <w:r w:rsidR="00F179B8" w:rsidRPr="00694010">
        <w:rPr>
          <w:lang w:val="en-US"/>
        </w:rPr>
        <w:t xml:space="preserve">NICE TA reports for immunotherapies and targeted therapies </w:t>
      </w:r>
      <w:r w:rsidR="00844A64" w:rsidRPr="00694010">
        <w:rPr>
          <w:lang w:val="en-US"/>
        </w:rPr>
        <w:t>published in the same period</w:t>
      </w:r>
      <w:r w:rsidR="00F179B8" w:rsidRPr="00694010">
        <w:rPr>
          <w:lang w:val="en-US"/>
        </w:rPr>
        <w:t>.</w:t>
      </w:r>
      <w:r w:rsidR="00587ACE" w:rsidRPr="00694010">
        <w:rPr>
          <w:lang w:val="en-US"/>
        </w:rPr>
        <w:t xml:space="preserve"> </w:t>
      </w:r>
      <w:r w:rsidR="00042145" w:rsidRPr="00694010">
        <w:rPr>
          <w:lang w:val="en-US"/>
        </w:rPr>
        <w:t>NICE was</w:t>
      </w:r>
      <w:r w:rsidR="00587ACE" w:rsidRPr="00694010">
        <w:rPr>
          <w:lang w:val="en-US"/>
        </w:rPr>
        <w:t xml:space="preserve"> chosen</w:t>
      </w:r>
      <w:r w:rsidR="006C03B4" w:rsidRPr="00694010">
        <w:rPr>
          <w:lang w:val="en-US"/>
        </w:rPr>
        <w:t xml:space="preserve"> as a</w:t>
      </w:r>
      <w:r w:rsidR="00CF2550" w:rsidRPr="00694010">
        <w:rPr>
          <w:lang w:val="en-US"/>
        </w:rPr>
        <w:t xml:space="preserve"> representative </w:t>
      </w:r>
      <w:r w:rsidR="00922A57" w:rsidRPr="00694010">
        <w:rPr>
          <w:lang w:val="en-US"/>
        </w:rPr>
        <w:t>health technology assessment</w:t>
      </w:r>
      <w:r w:rsidR="001F0F31" w:rsidRPr="00694010">
        <w:rPr>
          <w:lang w:val="en-US"/>
        </w:rPr>
        <w:t xml:space="preserve"> agenc</w:t>
      </w:r>
      <w:r w:rsidR="00CF2550" w:rsidRPr="00694010">
        <w:rPr>
          <w:lang w:val="en-US"/>
        </w:rPr>
        <w:t>y</w:t>
      </w:r>
      <w:r w:rsidR="006C03B4" w:rsidRPr="00694010">
        <w:rPr>
          <w:lang w:val="en-US"/>
        </w:rPr>
        <w:t xml:space="preserve"> that </w:t>
      </w:r>
      <w:r w:rsidR="00680CDB" w:rsidRPr="00694010">
        <w:rPr>
          <w:lang w:val="en-US"/>
        </w:rPr>
        <w:t>applies</w:t>
      </w:r>
      <w:r w:rsidR="00F179B8" w:rsidRPr="00694010">
        <w:rPr>
          <w:lang w:val="en-US"/>
        </w:rPr>
        <w:t xml:space="preserve"> a con</w:t>
      </w:r>
      <w:r w:rsidR="00587ACE" w:rsidRPr="00694010">
        <w:rPr>
          <w:lang w:val="en-US"/>
        </w:rPr>
        <w:t>sistent</w:t>
      </w:r>
      <w:r w:rsidR="00844A64" w:rsidRPr="00694010">
        <w:rPr>
          <w:lang w:val="en-US"/>
        </w:rPr>
        <w:t>,</w:t>
      </w:r>
      <w:r w:rsidR="00587ACE" w:rsidRPr="00694010">
        <w:rPr>
          <w:lang w:val="en-US"/>
        </w:rPr>
        <w:t xml:space="preserve"> </w:t>
      </w:r>
      <w:r w:rsidR="00D874A2" w:rsidRPr="00694010">
        <w:rPr>
          <w:lang w:val="en-US"/>
        </w:rPr>
        <w:t xml:space="preserve">evidence-based </w:t>
      </w:r>
      <w:r w:rsidR="008D704C" w:rsidRPr="00694010">
        <w:rPr>
          <w:lang w:val="en-US"/>
        </w:rPr>
        <w:t>approach to assessing</w:t>
      </w:r>
      <w:r w:rsidR="00D874A2" w:rsidRPr="00694010">
        <w:rPr>
          <w:lang w:val="en-US"/>
        </w:rPr>
        <w:t xml:space="preserve"> new therapies</w:t>
      </w:r>
      <w:r w:rsidR="008B7B37" w:rsidRPr="00694010">
        <w:rPr>
          <w:lang w:val="en-US"/>
        </w:rPr>
        <w:t xml:space="preserve"> and developing guidance for their use</w:t>
      </w:r>
      <w:r w:rsidR="00F179B8" w:rsidRPr="00694010">
        <w:rPr>
          <w:lang w:val="en-US"/>
        </w:rPr>
        <w:t>.</w:t>
      </w:r>
    </w:p>
    <w:p w14:paraId="3AB3602A" w14:textId="13454C19" w:rsidR="007D35E1" w:rsidRPr="00694010" w:rsidRDefault="00ED70B2" w:rsidP="00A75B17">
      <w:pPr>
        <w:pStyle w:val="BodyText"/>
        <w:rPr>
          <w:lang w:val="en-US"/>
        </w:rPr>
      </w:pPr>
      <w:r w:rsidRPr="00694010">
        <w:rPr>
          <w:lang w:val="en-US"/>
        </w:rPr>
        <w:t>[Supplementary t</w:t>
      </w:r>
      <w:r w:rsidR="007D35E1" w:rsidRPr="00694010">
        <w:rPr>
          <w:lang w:val="en-US"/>
        </w:rPr>
        <w:t>able 1]</w:t>
      </w:r>
    </w:p>
    <w:p w14:paraId="0E7CF105" w14:textId="58AED9CB" w:rsidR="007D35E1" w:rsidRPr="00694010" w:rsidRDefault="00ED70B2" w:rsidP="00A75B17">
      <w:pPr>
        <w:pStyle w:val="BodyText"/>
        <w:rPr>
          <w:lang w:val="en-US"/>
        </w:rPr>
      </w:pPr>
      <w:r w:rsidRPr="00694010">
        <w:rPr>
          <w:lang w:val="en-US"/>
        </w:rPr>
        <w:t>[Supplementary t</w:t>
      </w:r>
      <w:r w:rsidR="007D35E1" w:rsidRPr="00694010">
        <w:rPr>
          <w:lang w:val="en-US"/>
        </w:rPr>
        <w:t>able 2]</w:t>
      </w:r>
    </w:p>
    <w:p w14:paraId="4DADE688" w14:textId="6B2046BD" w:rsidR="009874B5" w:rsidRPr="00694010" w:rsidRDefault="009874B5" w:rsidP="002164AE">
      <w:pPr>
        <w:pStyle w:val="Heading1"/>
        <w:rPr>
          <w:lang w:val="en-US"/>
        </w:rPr>
      </w:pPr>
      <w:r w:rsidRPr="00694010">
        <w:rPr>
          <w:lang w:val="en-US"/>
        </w:rPr>
        <w:t>Results</w:t>
      </w:r>
    </w:p>
    <w:p w14:paraId="2371C43A" w14:textId="2DEBEBB1" w:rsidR="007453B5" w:rsidRPr="00694010" w:rsidRDefault="0090082B" w:rsidP="00EA3F69">
      <w:pPr>
        <w:pStyle w:val="Heading2"/>
        <w:rPr>
          <w:lang w:val="en-US"/>
        </w:rPr>
      </w:pPr>
      <w:r w:rsidRPr="00694010">
        <w:rPr>
          <w:lang w:val="en-US"/>
        </w:rPr>
        <w:t>Identification of p</w:t>
      </w:r>
      <w:r w:rsidR="00C1637C" w:rsidRPr="00694010">
        <w:rPr>
          <w:lang w:val="en-US"/>
        </w:rPr>
        <w:t>atie</w:t>
      </w:r>
      <w:r w:rsidR="00A034F7" w:rsidRPr="00694010">
        <w:rPr>
          <w:lang w:val="en-US"/>
        </w:rPr>
        <w:t>nt</w:t>
      </w:r>
      <w:r w:rsidR="00563B12" w:rsidRPr="00694010">
        <w:rPr>
          <w:lang w:val="en-US"/>
        </w:rPr>
        <w:t xml:space="preserve"> characteristics</w:t>
      </w:r>
      <w:r w:rsidR="00A034F7" w:rsidRPr="00694010">
        <w:rPr>
          <w:lang w:val="en-US"/>
        </w:rPr>
        <w:t xml:space="preserve"> and disease-</w:t>
      </w:r>
      <w:r w:rsidR="001F4D8A" w:rsidRPr="00694010">
        <w:rPr>
          <w:lang w:val="en-US"/>
        </w:rPr>
        <w:t>related</w:t>
      </w:r>
      <w:r w:rsidR="00A034F7" w:rsidRPr="00694010">
        <w:rPr>
          <w:lang w:val="en-US"/>
        </w:rPr>
        <w:t xml:space="preserve"> factors</w:t>
      </w:r>
      <w:r w:rsidR="008D3A1D" w:rsidRPr="00694010">
        <w:rPr>
          <w:lang w:val="en-US"/>
        </w:rPr>
        <w:t xml:space="preserve"> from clinical </w:t>
      </w:r>
      <w:r w:rsidR="001F4D8A" w:rsidRPr="00694010">
        <w:rPr>
          <w:lang w:val="en-US"/>
        </w:rPr>
        <w:t>trial</w:t>
      </w:r>
      <w:r w:rsidR="008D3A1D" w:rsidRPr="00694010">
        <w:rPr>
          <w:lang w:val="en-US"/>
        </w:rPr>
        <w:t>s</w:t>
      </w:r>
    </w:p>
    <w:p w14:paraId="5E81B039" w14:textId="77777777" w:rsidR="00D70C33" w:rsidRPr="00694010" w:rsidRDefault="00D70C33" w:rsidP="00D70C33">
      <w:pPr>
        <w:pStyle w:val="Heading3"/>
        <w:rPr>
          <w:lang w:val="en-US"/>
        </w:rPr>
      </w:pPr>
      <w:r w:rsidRPr="00694010">
        <w:rPr>
          <w:lang w:val="en-US"/>
        </w:rPr>
        <w:t>Sources of evidence</w:t>
      </w:r>
    </w:p>
    <w:p w14:paraId="08E6A7CF" w14:textId="35E5805F" w:rsidR="001F0F31" w:rsidRPr="00694010" w:rsidRDefault="004604BE" w:rsidP="0035514E">
      <w:pPr>
        <w:pStyle w:val="BodyText"/>
        <w:rPr>
          <w:lang w:val="en-US"/>
        </w:rPr>
      </w:pPr>
      <w:r w:rsidRPr="00694010">
        <w:rPr>
          <w:lang w:val="en-US"/>
        </w:rPr>
        <w:t>A total of 11</w:t>
      </w:r>
      <w:r w:rsidR="00D70C33" w:rsidRPr="00694010">
        <w:rPr>
          <w:lang w:val="en-US"/>
        </w:rPr>
        <w:t xml:space="preserve"> </w:t>
      </w:r>
      <w:r w:rsidR="00A2411F" w:rsidRPr="00694010">
        <w:rPr>
          <w:lang w:val="en-US"/>
        </w:rPr>
        <w:t>trial</w:t>
      </w:r>
      <w:r w:rsidR="00D70C33" w:rsidRPr="00694010">
        <w:rPr>
          <w:lang w:val="en-US"/>
        </w:rPr>
        <w:t xml:space="preserve">s </w:t>
      </w:r>
      <w:r w:rsidR="00416EF0" w:rsidRPr="00694010">
        <w:rPr>
          <w:lang w:val="en-US"/>
        </w:rPr>
        <w:t xml:space="preserve">of </w:t>
      </w:r>
      <w:r w:rsidR="00D70C33" w:rsidRPr="00694010">
        <w:rPr>
          <w:lang w:val="en-US"/>
        </w:rPr>
        <w:t>immunotherapies and targeted therapies</w:t>
      </w:r>
      <w:r w:rsidR="00BA3B7A" w:rsidRPr="00694010">
        <w:rPr>
          <w:lang w:val="en-US"/>
        </w:rPr>
        <w:t>,</w:t>
      </w:r>
      <w:r w:rsidR="00956887" w:rsidRPr="00694010">
        <w:rPr>
          <w:lang w:val="en-US"/>
        </w:rPr>
        <w:t xml:space="preserve"> </w:t>
      </w:r>
      <w:r w:rsidR="00AF7DF3" w:rsidRPr="00694010">
        <w:rPr>
          <w:lang w:val="en-US"/>
        </w:rPr>
        <w:t>used</w:t>
      </w:r>
      <w:r w:rsidR="00052376" w:rsidRPr="00694010">
        <w:rPr>
          <w:lang w:val="en-US"/>
        </w:rPr>
        <w:t xml:space="preserve"> </w:t>
      </w:r>
      <w:r w:rsidR="00D70C33" w:rsidRPr="00694010">
        <w:rPr>
          <w:lang w:val="en-US"/>
        </w:rPr>
        <w:t xml:space="preserve">either as monotherapy or </w:t>
      </w:r>
      <w:r w:rsidR="00416EF0" w:rsidRPr="00694010">
        <w:rPr>
          <w:lang w:val="en-US"/>
        </w:rPr>
        <w:t xml:space="preserve">in </w:t>
      </w:r>
      <w:r w:rsidR="00D70C33" w:rsidRPr="00694010">
        <w:rPr>
          <w:lang w:val="en-US"/>
        </w:rPr>
        <w:t>combination</w:t>
      </w:r>
      <w:r w:rsidR="00416EF0" w:rsidRPr="00694010">
        <w:rPr>
          <w:lang w:val="en-US"/>
        </w:rPr>
        <w:t>,</w:t>
      </w:r>
      <w:r w:rsidR="00D70C33" w:rsidRPr="00694010">
        <w:rPr>
          <w:lang w:val="en-US"/>
        </w:rPr>
        <w:t xml:space="preserve"> </w:t>
      </w:r>
      <w:r w:rsidR="00052376" w:rsidRPr="00694010">
        <w:rPr>
          <w:lang w:val="en-US"/>
        </w:rPr>
        <w:t>were identified</w:t>
      </w:r>
      <w:r w:rsidR="00BA3B7A" w:rsidRPr="00694010">
        <w:rPr>
          <w:lang w:val="en-US"/>
        </w:rPr>
        <w:t xml:space="preserve"> within the </w:t>
      </w:r>
      <w:r w:rsidR="00052376" w:rsidRPr="00694010">
        <w:rPr>
          <w:lang w:val="en-US"/>
        </w:rPr>
        <w:t xml:space="preserve">systematic </w:t>
      </w:r>
      <w:r w:rsidRPr="00694010">
        <w:rPr>
          <w:lang w:val="en-US"/>
        </w:rPr>
        <w:t xml:space="preserve">literature </w:t>
      </w:r>
      <w:r w:rsidR="00052376" w:rsidRPr="00694010">
        <w:rPr>
          <w:lang w:val="en-US"/>
        </w:rPr>
        <w:t>review.</w:t>
      </w:r>
      <w:r w:rsidR="00D70C33" w:rsidRPr="00694010">
        <w:rPr>
          <w:lang w:val="en-US"/>
        </w:rPr>
        <w:t xml:space="preserve"> </w:t>
      </w:r>
      <w:r w:rsidR="00416EF0" w:rsidRPr="00694010">
        <w:rPr>
          <w:lang w:val="en-US"/>
        </w:rPr>
        <w:t>F</w:t>
      </w:r>
      <w:r w:rsidR="00747EA5" w:rsidRPr="00694010">
        <w:rPr>
          <w:lang w:val="en-US"/>
        </w:rPr>
        <w:t>ive</w:t>
      </w:r>
      <w:r w:rsidR="001E3692" w:rsidRPr="00694010">
        <w:rPr>
          <w:lang w:val="en-US"/>
        </w:rPr>
        <w:t xml:space="preserve"> </w:t>
      </w:r>
      <w:r w:rsidR="00BB70FC" w:rsidRPr="00694010">
        <w:rPr>
          <w:lang w:val="en-US"/>
        </w:rPr>
        <w:t xml:space="preserve">were </w:t>
      </w:r>
      <w:r w:rsidR="00D70C33" w:rsidRPr="00694010">
        <w:rPr>
          <w:lang w:val="en-US"/>
        </w:rPr>
        <w:t xml:space="preserve">studies of </w:t>
      </w:r>
      <w:r w:rsidR="00922A57" w:rsidRPr="00694010">
        <w:rPr>
          <w:lang w:val="en-US"/>
        </w:rPr>
        <w:t xml:space="preserve">immunotherapy agents targeting programmed death </w:t>
      </w:r>
      <w:r w:rsidR="008C7424" w:rsidRPr="00694010">
        <w:rPr>
          <w:lang w:val="en-US"/>
        </w:rPr>
        <w:t xml:space="preserve">ligand </w:t>
      </w:r>
      <w:r w:rsidR="00922A57" w:rsidRPr="00694010">
        <w:rPr>
          <w:lang w:val="en-US"/>
        </w:rPr>
        <w:t>1 (</w:t>
      </w:r>
      <w:r w:rsidR="00D70C33" w:rsidRPr="00694010">
        <w:rPr>
          <w:lang w:val="en-US"/>
        </w:rPr>
        <w:t>PD-</w:t>
      </w:r>
      <w:r w:rsidR="008C7424" w:rsidRPr="00694010">
        <w:rPr>
          <w:lang w:val="en-US"/>
        </w:rPr>
        <w:t>L</w:t>
      </w:r>
      <w:r w:rsidR="00D70C33" w:rsidRPr="00694010">
        <w:rPr>
          <w:lang w:val="en-US"/>
        </w:rPr>
        <w:t>1</w:t>
      </w:r>
      <w:r w:rsidR="00922A57" w:rsidRPr="00694010">
        <w:rPr>
          <w:lang w:val="en-US"/>
        </w:rPr>
        <w:t>)</w:t>
      </w:r>
      <w:r w:rsidR="00D70C33" w:rsidRPr="00694010">
        <w:rPr>
          <w:lang w:val="en-US"/>
        </w:rPr>
        <w:t xml:space="preserve"> or </w:t>
      </w:r>
      <w:r w:rsidR="008C7424" w:rsidRPr="00694010">
        <w:rPr>
          <w:lang w:val="en-US"/>
        </w:rPr>
        <w:t>cytotoxic T lymphocyte-associated protein 4 (</w:t>
      </w:r>
      <w:r w:rsidR="00D70C33" w:rsidRPr="00694010">
        <w:rPr>
          <w:lang w:val="en-US"/>
        </w:rPr>
        <w:t>CTLA-4</w:t>
      </w:r>
      <w:r w:rsidR="008C7424" w:rsidRPr="00694010">
        <w:rPr>
          <w:lang w:val="en-US"/>
        </w:rPr>
        <w:t>)</w:t>
      </w:r>
      <w:r w:rsidR="00D70C33" w:rsidRPr="00694010">
        <w:rPr>
          <w:lang w:val="en-US"/>
        </w:rPr>
        <w:t xml:space="preserve"> </w:t>
      </w:r>
      <w:r w:rsidR="00552540" w:rsidRPr="00694010">
        <w:rPr>
          <w:lang w:val="en-US"/>
        </w:rPr>
        <w:t>(</w:t>
      </w:r>
      <w:r w:rsidR="00D4154F" w:rsidRPr="00694010">
        <w:rPr>
          <w:lang w:val="en-US"/>
        </w:rPr>
        <w:t xml:space="preserve">see supplementary </w:t>
      </w:r>
      <w:r w:rsidR="00A63198" w:rsidRPr="00694010">
        <w:rPr>
          <w:lang w:val="en-US"/>
        </w:rPr>
        <w:t>t</w:t>
      </w:r>
      <w:r w:rsidR="00B456DC" w:rsidRPr="00694010">
        <w:rPr>
          <w:lang w:val="en-US"/>
        </w:rPr>
        <w:t xml:space="preserve">able </w:t>
      </w:r>
      <w:r w:rsidR="007D35E1" w:rsidRPr="00694010">
        <w:rPr>
          <w:lang w:val="en-US"/>
        </w:rPr>
        <w:t>3</w:t>
      </w:r>
      <w:r w:rsidR="00552540" w:rsidRPr="00694010">
        <w:rPr>
          <w:lang w:val="en-US"/>
        </w:rPr>
        <w:t>)</w:t>
      </w:r>
      <w:r w:rsidR="0005486D" w:rsidRPr="00694010">
        <w:rPr>
          <w:lang w:val="en-US"/>
        </w:rPr>
        <w:t>,</w:t>
      </w:r>
      <w:r w:rsidR="00D70C33" w:rsidRPr="00694010">
        <w:rPr>
          <w:lang w:val="en-US"/>
        </w:rPr>
        <w:t xml:space="preserve"> and </w:t>
      </w:r>
      <w:r w:rsidR="00747EA5" w:rsidRPr="00694010">
        <w:rPr>
          <w:lang w:val="en-US"/>
        </w:rPr>
        <w:t>six</w:t>
      </w:r>
      <w:r w:rsidR="001E3692" w:rsidRPr="00694010">
        <w:rPr>
          <w:lang w:val="en-US"/>
        </w:rPr>
        <w:t xml:space="preserve"> </w:t>
      </w:r>
      <w:r w:rsidR="00A921C8" w:rsidRPr="00694010">
        <w:rPr>
          <w:lang w:val="en-US"/>
        </w:rPr>
        <w:t xml:space="preserve">were </w:t>
      </w:r>
      <w:r w:rsidR="00D70C33" w:rsidRPr="00694010">
        <w:rPr>
          <w:lang w:val="en-US"/>
        </w:rPr>
        <w:t xml:space="preserve">studies of </w:t>
      </w:r>
      <w:r w:rsidR="00AE773B" w:rsidRPr="00694010">
        <w:rPr>
          <w:lang w:val="en-US"/>
        </w:rPr>
        <w:t>BRAF</w:t>
      </w:r>
      <w:r w:rsidR="008763AB" w:rsidRPr="00694010">
        <w:rPr>
          <w:lang w:val="en-US"/>
        </w:rPr>
        <w:t>- or MEK-</w:t>
      </w:r>
      <w:r w:rsidR="00D70C33" w:rsidRPr="00694010">
        <w:rPr>
          <w:lang w:val="en-US"/>
        </w:rPr>
        <w:t xml:space="preserve">targeted </w:t>
      </w:r>
      <w:r w:rsidR="00D70C33" w:rsidRPr="00694010">
        <w:rPr>
          <w:rStyle w:val="RemoveCharacterStyle"/>
          <w:lang w:val="en-US"/>
        </w:rPr>
        <w:t>agents</w:t>
      </w:r>
      <w:r w:rsidR="00DE507E" w:rsidRPr="00694010">
        <w:rPr>
          <w:rStyle w:val="RemoveCharacterStyle"/>
          <w:lang w:val="en-US"/>
        </w:rPr>
        <w:t xml:space="preserve"> </w:t>
      </w:r>
      <w:r w:rsidR="00544776" w:rsidRPr="00694010">
        <w:rPr>
          <w:rStyle w:val="RemoveCharacterStyle"/>
          <w:lang w:val="en-US"/>
        </w:rPr>
        <w:t>(</w:t>
      </w:r>
      <w:r w:rsidR="00D4154F" w:rsidRPr="00694010">
        <w:rPr>
          <w:rStyle w:val="RemoveCharacterStyle"/>
          <w:lang w:val="en-US"/>
        </w:rPr>
        <w:t xml:space="preserve">see supplementary </w:t>
      </w:r>
      <w:r w:rsidR="00A63198" w:rsidRPr="00694010">
        <w:rPr>
          <w:rStyle w:val="RemoveCharacterStyle"/>
          <w:lang w:val="en-US"/>
        </w:rPr>
        <w:t>t</w:t>
      </w:r>
      <w:r w:rsidR="00B456DC" w:rsidRPr="00694010">
        <w:rPr>
          <w:rStyle w:val="RemoveCharacterStyle"/>
          <w:lang w:val="en-US"/>
        </w:rPr>
        <w:t xml:space="preserve">able </w:t>
      </w:r>
      <w:r w:rsidR="007D35E1" w:rsidRPr="00694010">
        <w:rPr>
          <w:rStyle w:val="RemoveCharacterStyle"/>
          <w:lang w:val="en-US"/>
        </w:rPr>
        <w:t>4</w:t>
      </w:r>
      <w:r w:rsidR="00B456DC" w:rsidRPr="00694010">
        <w:rPr>
          <w:rStyle w:val="RemoveCharacterStyle"/>
          <w:lang w:val="en-US"/>
        </w:rPr>
        <w:t>)</w:t>
      </w:r>
      <w:r w:rsidR="004414C1" w:rsidRPr="00694010">
        <w:rPr>
          <w:rStyle w:val="RemoveCharacterStyle"/>
          <w:lang w:val="en-US"/>
        </w:rPr>
        <w:t>.</w:t>
      </w:r>
    </w:p>
    <w:p w14:paraId="776F75BD" w14:textId="50B59EB6" w:rsidR="00A63198" w:rsidRPr="00694010" w:rsidRDefault="00A63198" w:rsidP="00A63198">
      <w:pPr>
        <w:pStyle w:val="BodyText"/>
        <w:rPr>
          <w:lang w:val="en-US"/>
        </w:rPr>
      </w:pPr>
      <w:r w:rsidRPr="00694010">
        <w:rPr>
          <w:lang w:val="en-US"/>
        </w:rPr>
        <w:t>[</w:t>
      </w:r>
      <w:r w:rsidR="00ED70B2" w:rsidRPr="00694010">
        <w:rPr>
          <w:lang w:val="en-US"/>
        </w:rPr>
        <w:t>Supplementary table</w:t>
      </w:r>
      <w:r w:rsidRPr="00694010">
        <w:rPr>
          <w:lang w:val="en-US"/>
        </w:rPr>
        <w:t xml:space="preserve"> </w:t>
      </w:r>
      <w:r w:rsidR="007D35E1" w:rsidRPr="00694010">
        <w:rPr>
          <w:lang w:val="en-US"/>
        </w:rPr>
        <w:t>3</w:t>
      </w:r>
      <w:r w:rsidRPr="00694010">
        <w:rPr>
          <w:lang w:val="en-US"/>
        </w:rPr>
        <w:t>]</w:t>
      </w:r>
    </w:p>
    <w:p w14:paraId="28F0F8FF" w14:textId="1D0D0711" w:rsidR="00A63198" w:rsidRPr="00694010" w:rsidRDefault="00ED70B2" w:rsidP="00A63198">
      <w:pPr>
        <w:pStyle w:val="BodyText"/>
        <w:rPr>
          <w:lang w:val="en-US"/>
        </w:rPr>
      </w:pPr>
      <w:r w:rsidRPr="00694010">
        <w:rPr>
          <w:lang w:val="en-US"/>
        </w:rPr>
        <w:t>[Supplementary table</w:t>
      </w:r>
      <w:r w:rsidR="00A63198" w:rsidRPr="00694010">
        <w:rPr>
          <w:lang w:val="en-US"/>
        </w:rPr>
        <w:t xml:space="preserve"> </w:t>
      </w:r>
      <w:r w:rsidR="007D35E1" w:rsidRPr="00694010">
        <w:rPr>
          <w:lang w:val="en-US"/>
        </w:rPr>
        <w:t>4</w:t>
      </w:r>
      <w:r w:rsidR="00A63198" w:rsidRPr="00694010">
        <w:rPr>
          <w:lang w:val="en-US"/>
        </w:rPr>
        <w:t>]</w:t>
      </w:r>
    </w:p>
    <w:p w14:paraId="4B799669" w14:textId="44B257FF" w:rsidR="0031366D" w:rsidRPr="00694010" w:rsidRDefault="0031366D" w:rsidP="00B61386">
      <w:pPr>
        <w:pStyle w:val="Heading3"/>
        <w:rPr>
          <w:lang w:val="en-US"/>
        </w:rPr>
      </w:pPr>
      <w:r w:rsidRPr="00694010">
        <w:rPr>
          <w:lang w:val="en-US"/>
        </w:rPr>
        <w:t>Stratification factors</w:t>
      </w:r>
    </w:p>
    <w:p w14:paraId="1E1E7620" w14:textId="407A7CCD" w:rsidR="00470129" w:rsidRPr="00694010" w:rsidRDefault="00CA7691" w:rsidP="0035514E">
      <w:pPr>
        <w:pStyle w:val="BodyText"/>
        <w:rPr>
          <w:lang w:val="en-US"/>
        </w:rPr>
      </w:pPr>
      <w:r w:rsidRPr="00694010">
        <w:rPr>
          <w:lang w:val="en-US"/>
        </w:rPr>
        <w:t>N</w:t>
      </w:r>
      <w:r w:rsidR="00DB51D4" w:rsidRPr="00694010">
        <w:rPr>
          <w:lang w:val="en-US"/>
        </w:rPr>
        <w:t>ine</w:t>
      </w:r>
      <w:r w:rsidR="00443C7A" w:rsidRPr="00694010">
        <w:rPr>
          <w:lang w:val="en-US"/>
        </w:rPr>
        <w:t xml:space="preserve"> stratification factors</w:t>
      </w:r>
      <w:r w:rsidR="00824D36" w:rsidRPr="00694010">
        <w:rPr>
          <w:lang w:val="en-US"/>
        </w:rPr>
        <w:t xml:space="preserve"> </w:t>
      </w:r>
      <w:r w:rsidR="00D72716" w:rsidRPr="00694010">
        <w:rPr>
          <w:lang w:val="en-US"/>
        </w:rPr>
        <w:t>were identified</w:t>
      </w:r>
      <w:r w:rsidR="00190822" w:rsidRPr="00694010">
        <w:rPr>
          <w:lang w:val="en-US"/>
        </w:rPr>
        <w:t xml:space="preserve"> from the </w:t>
      </w:r>
      <w:r w:rsidR="003F5207" w:rsidRPr="00694010">
        <w:rPr>
          <w:lang w:val="en-US"/>
        </w:rPr>
        <w:t xml:space="preserve">clinical </w:t>
      </w:r>
      <w:r w:rsidR="00AA5C9E" w:rsidRPr="00694010">
        <w:rPr>
          <w:lang w:val="en-US"/>
        </w:rPr>
        <w:t>trial</w:t>
      </w:r>
      <w:r w:rsidR="003F5207" w:rsidRPr="00694010">
        <w:rPr>
          <w:lang w:val="en-US"/>
        </w:rPr>
        <w:t>s</w:t>
      </w:r>
      <w:r w:rsidR="00276D8B" w:rsidRPr="00694010">
        <w:rPr>
          <w:lang w:val="en-US"/>
        </w:rPr>
        <w:t>,</w:t>
      </w:r>
      <w:r w:rsidR="00DE507E" w:rsidRPr="00694010">
        <w:rPr>
          <w:lang w:val="en-US"/>
        </w:rPr>
        <w:t xml:space="preserve"> the most commonly included being </w:t>
      </w:r>
      <w:r w:rsidR="0055450B" w:rsidRPr="00694010">
        <w:rPr>
          <w:lang w:val="en-US"/>
        </w:rPr>
        <w:t xml:space="preserve">stage </w:t>
      </w:r>
      <w:r w:rsidR="00795364" w:rsidRPr="00694010">
        <w:rPr>
          <w:lang w:val="en-US"/>
        </w:rPr>
        <w:t xml:space="preserve">of disease </w:t>
      </w:r>
      <w:r w:rsidR="0055450B" w:rsidRPr="00694010">
        <w:rPr>
          <w:lang w:val="en-US"/>
        </w:rPr>
        <w:t xml:space="preserve">and </w:t>
      </w:r>
      <w:r w:rsidR="002C663A" w:rsidRPr="00694010">
        <w:rPr>
          <w:lang w:val="en-US"/>
        </w:rPr>
        <w:t>lactate dehydrogenase (</w:t>
      </w:r>
      <w:r w:rsidR="0055450B" w:rsidRPr="00694010">
        <w:rPr>
          <w:lang w:val="en-US"/>
        </w:rPr>
        <w:t>LDH</w:t>
      </w:r>
      <w:r w:rsidR="002C663A" w:rsidRPr="00694010">
        <w:rPr>
          <w:lang w:val="en-US"/>
        </w:rPr>
        <w:t>)</w:t>
      </w:r>
      <w:r w:rsidR="002C417B" w:rsidRPr="00694010">
        <w:rPr>
          <w:lang w:val="en-US"/>
        </w:rPr>
        <w:t xml:space="preserve"> </w:t>
      </w:r>
      <w:r w:rsidR="00795364" w:rsidRPr="00694010">
        <w:rPr>
          <w:lang w:val="en-US"/>
        </w:rPr>
        <w:t xml:space="preserve">level </w:t>
      </w:r>
      <w:r w:rsidR="004C3846" w:rsidRPr="00694010">
        <w:rPr>
          <w:lang w:val="en-US"/>
        </w:rPr>
        <w:t>(</w:t>
      </w:r>
      <w:r w:rsidR="00D4154F" w:rsidRPr="00694010">
        <w:rPr>
          <w:lang w:val="en-US"/>
        </w:rPr>
        <w:t xml:space="preserve">see supplementary </w:t>
      </w:r>
      <w:r w:rsidR="00A63198" w:rsidRPr="00694010">
        <w:rPr>
          <w:lang w:val="en-US"/>
        </w:rPr>
        <w:t>t</w:t>
      </w:r>
      <w:r w:rsidR="00B456DC" w:rsidRPr="00694010">
        <w:rPr>
          <w:lang w:val="en-US"/>
        </w:rPr>
        <w:t xml:space="preserve">able </w:t>
      </w:r>
      <w:r w:rsidR="007D35E1" w:rsidRPr="00694010">
        <w:rPr>
          <w:lang w:val="en-US"/>
        </w:rPr>
        <w:t>5</w:t>
      </w:r>
      <w:r w:rsidR="007128BB" w:rsidRPr="00694010">
        <w:rPr>
          <w:lang w:val="en-US"/>
        </w:rPr>
        <w:t>)</w:t>
      </w:r>
      <w:r w:rsidR="00571DA2" w:rsidRPr="00694010">
        <w:rPr>
          <w:lang w:val="en-US"/>
        </w:rPr>
        <w:t>.</w:t>
      </w:r>
    </w:p>
    <w:p w14:paraId="7AF063A8" w14:textId="59CB3633" w:rsidR="003C56E8" w:rsidRPr="00694010" w:rsidRDefault="00A63198" w:rsidP="00A63198">
      <w:pPr>
        <w:pStyle w:val="BodyText"/>
        <w:rPr>
          <w:lang w:val="en-US"/>
        </w:rPr>
      </w:pPr>
      <w:r w:rsidRPr="00694010">
        <w:rPr>
          <w:lang w:val="en-US"/>
        </w:rPr>
        <w:t>[</w:t>
      </w:r>
      <w:r w:rsidR="00ED70B2" w:rsidRPr="00694010">
        <w:rPr>
          <w:lang w:val="en-US"/>
        </w:rPr>
        <w:t>Supplementary table</w:t>
      </w:r>
      <w:r w:rsidRPr="00694010">
        <w:rPr>
          <w:lang w:val="en-US"/>
        </w:rPr>
        <w:t xml:space="preserve"> </w:t>
      </w:r>
      <w:r w:rsidR="007D35E1" w:rsidRPr="00694010">
        <w:rPr>
          <w:lang w:val="en-US"/>
        </w:rPr>
        <w:t>5</w:t>
      </w:r>
      <w:r w:rsidRPr="00694010">
        <w:rPr>
          <w:lang w:val="en-US"/>
        </w:rPr>
        <w:t>]</w:t>
      </w:r>
    </w:p>
    <w:p w14:paraId="7D3BECED" w14:textId="24988B0D" w:rsidR="00A107F0" w:rsidRPr="00694010" w:rsidRDefault="00A107F0" w:rsidP="00024D26">
      <w:pPr>
        <w:pStyle w:val="Heading3"/>
        <w:rPr>
          <w:lang w:val="en-US"/>
        </w:rPr>
      </w:pPr>
      <w:r w:rsidRPr="00694010">
        <w:rPr>
          <w:lang w:val="en-US"/>
        </w:rPr>
        <w:lastRenderedPageBreak/>
        <w:t>Subgroups</w:t>
      </w:r>
    </w:p>
    <w:p w14:paraId="40DA23D3" w14:textId="36129878" w:rsidR="00497BD4" w:rsidRPr="00694010" w:rsidRDefault="00B50998" w:rsidP="00E33C03">
      <w:pPr>
        <w:pStyle w:val="BodyText"/>
        <w:rPr>
          <w:lang w:val="en-US"/>
        </w:rPr>
      </w:pPr>
      <w:r w:rsidRPr="00694010">
        <w:rPr>
          <w:lang w:val="en-US"/>
        </w:rPr>
        <w:t>Fifteen</w:t>
      </w:r>
      <w:r w:rsidR="00BD6585" w:rsidRPr="00694010">
        <w:rPr>
          <w:lang w:val="en-US"/>
        </w:rPr>
        <w:t xml:space="preserve"> </w:t>
      </w:r>
      <w:r w:rsidR="0083485A" w:rsidRPr="00694010">
        <w:rPr>
          <w:lang w:val="en-US"/>
        </w:rPr>
        <w:t>subgroups</w:t>
      </w:r>
      <w:r w:rsidR="00BD6585" w:rsidRPr="00694010">
        <w:rPr>
          <w:lang w:val="en-US"/>
        </w:rPr>
        <w:t xml:space="preserve"> </w:t>
      </w:r>
      <w:r w:rsidR="00E33C03" w:rsidRPr="00694010">
        <w:rPr>
          <w:lang w:val="en-US"/>
        </w:rPr>
        <w:t>were analyzed in the</w:t>
      </w:r>
      <w:r w:rsidR="00BD6585" w:rsidRPr="00694010">
        <w:rPr>
          <w:lang w:val="en-US"/>
        </w:rPr>
        <w:t xml:space="preserve"> </w:t>
      </w:r>
      <w:r w:rsidR="00E866E7" w:rsidRPr="00694010">
        <w:rPr>
          <w:lang w:val="en-US"/>
        </w:rPr>
        <w:t>trial</w:t>
      </w:r>
      <w:r w:rsidR="00BD6585" w:rsidRPr="00694010">
        <w:rPr>
          <w:lang w:val="en-US"/>
        </w:rPr>
        <w:t>s</w:t>
      </w:r>
      <w:r w:rsidR="00E96DF6" w:rsidRPr="00694010">
        <w:rPr>
          <w:lang w:val="en-US"/>
        </w:rPr>
        <w:t xml:space="preserve"> </w:t>
      </w:r>
      <w:r w:rsidR="0008314D" w:rsidRPr="00694010">
        <w:rPr>
          <w:lang w:val="en-US"/>
        </w:rPr>
        <w:t>(</w:t>
      </w:r>
      <w:r w:rsidR="00D4154F" w:rsidRPr="00694010">
        <w:rPr>
          <w:lang w:val="en-US"/>
        </w:rPr>
        <w:t xml:space="preserve">see supplementary </w:t>
      </w:r>
      <w:r w:rsidR="00A63198" w:rsidRPr="00694010">
        <w:rPr>
          <w:lang w:val="en-US"/>
        </w:rPr>
        <w:t>t</w:t>
      </w:r>
      <w:r w:rsidR="00426E45" w:rsidRPr="00694010">
        <w:rPr>
          <w:lang w:val="en-US"/>
        </w:rPr>
        <w:t>able </w:t>
      </w:r>
      <w:r w:rsidR="00002A27" w:rsidRPr="00694010">
        <w:rPr>
          <w:lang w:val="en-US"/>
        </w:rPr>
        <w:t>6</w:t>
      </w:r>
      <w:r w:rsidR="004C3846" w:rsidRPr="00694010">
        <w:rPr>
          <w:lang w:val="en-US"/>
        </w:rPr>
        <w:t>)</w:t>
      </w:r>
      <w:r w:rsidR="00D24717" w:rsidRPr="00694010">
        <w:rPr>
          <w:lang w:val="en-US"/>
        </w:rPr>
        <w:t>.</w:t>
      </w:r>
      <w:bookmarkStart w:id="1" w:name="_Ref459382813"/>
      <w:r w:rsidR="002342FF" w:rsidRPr="00694010">
        <w:rPr>
          <w:lang w:val="en-US"/>
        </w:rPr>
        <w:t xml:space="preserve"> </w:t>
      </w:r>
      <w:r w:rsidR="007917DE" w:rsidRPr="00694010">
        <w:rPr>
          <w:lang w:val="en-US"/>
        </w:rPr>
        <w:t>The</w:t>
      </w:r>
      <w:r w:rsidR="002C663A" w:rsidRPr="00694010">
        <w:rPr>
          <w:lang w:val="en-US"/>
        </w:rPr>
        <w:t xml:space="preserve"> </w:t>
      </w:r>
      <w:r w:rsidR="007917DE" w:rsidRPr="00694010">
        <w:rPr>
          <w:lang w:val="en-US"/>
        </w:rPr>
        <w:t xml:space="preserve">most common were </w:t>
      </w:r>
      <w:r w:rsidR="002342FF" w:rsidRPr="00694010">
        <w:rPr>
          <w:lang w:val="en-US"/>
        </w:rPr>
        <w:t xml:space="preserve">sex, age, stage of disease, </w:t>
      </w:r>
      <w:r w:rsidR="002C663A" w:rsidRPr="00694010">
        <w:rPr>
          <w:lang w:val="en-US"/>
        </w:rPr>
        <w:t>Eastern Cooperative Oncology group (ECOG) performance status</w:t>
      </w:r>
      <w:r w:rsidR="002342FF" w:rsidRPr="00694010">
        <w:rPr>
          <w:lang w:val="en-US"/>
        </w:rPr>
        <w:t>, LDH level</w:t>
      </w:r>
      <w:r w:rsidR="003A010E" w:rsidRPr="00694010">
        <w:rPr>
          <w:lang w:val="en-US"/>
        </w:rPr>
        <w:t>,</w:t>
      </w:r>
      <w:r w:rsidR="002342FF" w:rsidRPr="00694010">
        <w:rPr>
          <w:lang w:val="en-US"/>
        </w:rPr>
        <w:t xml:space="preserve"> PD-L1 status</w:t>
      </w:r>
      <w:r w:rsidR="003A010E" w:rsidRPr="00694010">
        <w:rPr>
          <w:lang w:val="en-US"/>
        </w:rPr>
        <w:t xml:space="preserve">, </w:t>
      </w:r>
      <w:r w:rsidR="002342FF" w:rsidRPr="00694010">
        <w:rPr>
          <w:lang w:val="en-US"/>
        </w:rPr>
        <w:t xml:space="preserve">BRAF status in </w:t>
      </w:r>
      <w:r w:rsidR="003A010E" w:rsidRPr="00694010">
        <w:rPr>
          <w:lang w:val="en-US"/>
        </w:rPr>
        <w:t>trials of immunotherapies</w:t>
      </w:r>
      <w:r w:rsidR="002342FF" w:rsidRPr="00694010">
        <w:rPr>
          <w:lang w:val="en-US"/>
        </w:rPr>
        <w:t xml:space="preserve">, and BRAF genotype </w:t>
      </w:r>
      <w:r w:rsidR="003A010E" w:rsidRPr="00694010">
        <w:rPr>
          <w:lang w:val="en-US"/>
        </w:rPr>
        <w:t xml:space="preserve">in </w:t>
      </w:r>
      <w:r w:rsidR="002342FF" w:rsidRPr="00694010">
        <w:rPr>
          <w:lang w:val="en-US"/>
        </w:rPr>
        <w:t>trials of targeted agents.</w:t>
      </w:r>
      <w:bookmarkStart w:id="2" w:name="_Ref467143429"/>
    </w:p>
    <w:p w14:paraId="1803392D" w14:textId="50D6AF5A" w:rsidR="00B870B1" w:rsidRPr="00694010" w:rsidRDefault="00A63198" w:rsidP="00A63198">
      <w:pPr>
        <w:pStyle w:val="BodyText"/>
        <w:rPr>
          <w:lang w:val="en-US"/>
        </w:rPr>
      </w:pPr>
      <w:bookmarkStart w:id="3" w:name="_Ref459383757"/>
      <w:bookmarkEnd w:id="2"/>
      <w:bookmarkEnd w:id="1"/>
      <w:r w:rsidRPr="00694010">
        <w:rPr>
          <w:lang w:val="en-US"/>
        </w:rPr>
        <w:t>[</w:t>
      </w:r>
      <w:r w:rsidR="00ED70B2" w:rsidRPr="00694010">
        <w:rPr>
          <w:lang w:val="en-US"/>
        </w:rPr>
        <w:t>Supplementary table</w:t>
      </w:r>
      <w:r w:rsidRPr="00694010">
        <w:rPr>
          <w:lang w:val="en-US"/>
        </w:rPr>
        <w:t xml:space="preserve"> </w:t>
      </w:r>
      <w:r w:rsidR="007D35E1" w:rsidRPr="00694010">
        <w:rPr>
          <w:lang w:val="en-US"/>
        </w:rPr>
        <w:t>6</w:t>
      </w:r>
      <w:r w:rsidRPr="00694010">
        <w:rPr>
          <w:lang w:val="en-US"/>
        </w:rPr>
        <w:t>]</w:t>
      </w:r>
    </w:p>
    <w:bookmarkEnd w:id="3"/>
    <w:p w14:paraId="696825F0" w14:textId="2CC6CB2F" w:rsidR="0095611E" w:rsidRPr="00694010" w:rsidRDefault="0095611E" w:rsidP="005030E6">
      <w:pPr>
        <w:pStyle w:val="Heading3"/>
        <w:rPr>
          <w:lang w:val="en-US"/>
        </w:rPr>
      </w:pPr>
      <w:r w:rsidRPr="00694010">
        <w:rPr>
          <w:lang w:val="en-US"/>
        </w:rPr>
        <w:t>Inclusion/exclusion criteria</w:t>
      </w:r>
    </w:p>
    <w:p w14:paraId="5B844E50" w14:textId="3E613643" w:rsidR="00ED12D6" w:rsidRPr="00694010" w:rsidRDefault="00C4633D" w:rsidP="0035514E">
      <w:pPr>
        <w:pStyle w:val="BodyText"/>
        <w:rPr>
          <w:lang w:val="en-US"/>
        </w:rPr>
      </w:pPr>
      <w:r w:rsidRPr="00694010">
        <w:rPr>
          <w:lang w:val="en-US"/>
        </w:rPr>
        <w:t>The f</w:t>
      </w:r>
      <w:r w:rsidR="0002013F" w:rsidRPr="00694010">
        <w:rPr>
          <w:lang w:val="en-US"/>
        </w:rPr>
        <w:t>actors</w:t>
      </w:r>
      <w:r w:rsidR="00526BB7" w:rsidRPr="00694010">
        <w:rPr>
          <w:lang w:val="en-US"/>
        </w:rPr>
        <w:t xml:space="preserve"> identified </w:t>
      </w:r>
      <w:r w:rsidR="0002013F" w:rsidRPr="00694010">
        <w:rPr>
          <w:lang w:val="en-US"/>
        </w:rPr>
        <w:t>were</w:t>
      </w:r>
      <w:r w:rsidR="00526BB7" w:rsidRPr="00694010">
        <w:rPr>
          <w:lang w:val="en-US"/>
        </w:rPr>
        <w:t xml:space="preserve"> </w:t>
      </w:r>
      <w:r w:rsidR="005A7C82" w:rsidRPr="00694010">
        <w:rPr>
          <w:lang w:val="en-US"/>
        </w:rPr>
        <w:t xml:space="preserve">the </w:t>
      </w:r>
      <w:r w:rsidR="00526BB7" w:rsidRPr="00694010">
        <w:rPr>
          <w:lang w:val="en-US"/>
        </w:rPr>
        <w:t>n</w:t>
      </w:r>
      <w:r w:rsidR="00B564B4" w:rsidRPr="00694010">
        <w:rPr>
          <w:lang w:val="en-US"/>
        </w:rPr>
        <w:t>umber of measurable lesions</w:t>
      </w:r>
      <w:r w:rsidR="00DE07FE" w:rsidRPr="00694010">
        <w:rPr>
          <w:lang w:val="en-US"/>
        </w:rPr>
        <w:t xml:space="preserve"> according to </w:t>
      </w:r>
      <w:r w:rsidR="0002013F" w:rsidRPr="00694010">
        <w:rPr>
          <w:lang w:val="en-US"/>
        </w:rPr>
        <w:t xml:space="preserve">Response Evaluation Criteria In Solid Tumors </w:t>
      </w:r>
      <w:r w:rsidR="00347646" w:rsidRPr="00694010">
        <w:rPr>
          <w:lang w:val="en-US"/>
        </w:rPr>
        <w:t>(</w:t>
      </w:r>
      <w:r w:rsidR="00DE07FE" w:rsidRPr="00694010">
        <w:rPr>
          <w:lang w:val="en-US"/>
        </w:rPr>
        <w:t>RECIST</w:t>
      </w:r>
      <w:r w:rsidR="00347646" w:rsidRPr="00694010">
        <w:rPr>
          <w:lang w:val="en-US"/>
        </w:rPr>
        <w:t>)</w:t>
      </w:r>
      <w:r w:rsidR="003770D0" w:rsidRPr="00694010">
        <w:rPr>
          <w:lang w:val="en-US"/>
        </w:rPr>
        <w:t xml:space="preserve"> [</w:t>
      </w:r>
      <w:r w:rsidR="003770D0" w:rsidRPr="00694010">
        <w:rPr>
          <w:noProof/>
          <w:lang w:val="en-US"/>
        </w:rPr>
        <w:t>20</w:t>
      </w:r>
      <w:r w:rsidR="003770D0" w:rsidRPr="00694010">
        <w:rPr>
          <w:lang w:val="en-US"/>
        </w:rPr>
        <w:t>],</w:t>
      </w:r>
      <w:r w:rsidR="00B564B4" w:rsidRPr="00694010">
        <w:rPr>
          <w:lang w:val="en-US"/>
        </w:rPr>
        <w:t xml:space="preserve"> </w:t>
      </w:r>
      <w:r w:rsidR="009204D8" w:rsidRPr="00694010">
        <w:rPr>
          <w:lang w:val="en-US"/>
        </w:rPr>
        <w:t>l</w:t>
      </w:r>
      <w:r w:rsidR="00B564B4" w:rsidRPr="00694010">
        <w:rPr>
          <w:lang w:val="en-US"/>
        </w:rPr>
        <w:t xml:space="preserve">ocation of metastases, </w:t>
      </w:r>
      <w:r w:rsidR="009204D8" w:rsidRPr="00694010">
        <w:rPr>
          <w:lang w:val="en-US"/>
        </w:rPr>
        <w:t>c</w:t>
      </w:r>
      <w:r w:rsidR="00B564B4" w:rsidRPr="00694010">
        <w:rPr>
          <w:lang w:val="en-US"/>
        </w:rPr>
        <w:t>omorbidities</w:t>
      </w:r>
      <w:r w:rsidR="001617DE" w:rsidRPr="00694010">
        <w:rPr>
          <w:lang w:val="en-US"/>
        </w:rPr>
        <w:t xml:space="preserve"> </w:t>
      </w:r>
      <w:r w:rsidR="000D3094" w:rsidRPr="00694010">
        <w:rPr>
          <w:lang w:val="en-US"/>
        </w:rPr>
        <w:t>(e.g.,</w:t>
      </w:r>
      <w:r w:rsidR="0095611E" w:rsidRPr="00694010">
        <w:rPr>
          <w:lang w:val="en-US"/>
        </w:rPr>
        <w:t xml:space="preserve"> </w:t>
      </w:r>
      <w:r w:rsidR="00F10407" w:rsidRPr="00694010">
        <w:rPr>
          <w:lang w:val="en-US"/>
        </w:rPr>
        <w:t>HIV, hep</w:t>
      </w:r>
      <w:r w:rsidR="001617DE" w:rsidRPr="00694010">
        <w:rPr>
          <w:lang w:val="en-US"/>
        </w:rPr>
        <w:t>atitis B/C</w:t>
      </w:r>
      <w:r w:rsidR="008125AB" w:rsidRPr="00694010">
        <w:rPr>
          <w:lang w:val="en-US"/>
        </w:rPr>
        <w:t>,</w:t>
      </w:r>
      <w:r w:rsidR="001617DE" w:rsidRPr="00694010">
        <w:rPr>
          <w:lang w:val="en-US"/>
        </w:rPr>
        <w:t xml:space="preserve"> and lung disease</w:t>
      </w:r>
      <w:r w:rsidR="000D3094" w:rsidRPr="00694010">
        <w:rPr>
          <w:lang w:val="en-US"/>
        </w:rPr>
        <w:t>),</w:t>
      </w:r>
      <w:r w:rsidR="00B564B4" w:rsidRPr="00694010">
        <w:rPr>
          <w:lang w:val="en-US"/>
        </w:rPr>
        <w:t xml:space="preserve"> </w:t>
      </w:r>
      <w:r w:rsidR="00DE07FE" w:rsidRPr="00694010">
        <w:rPr>
          <w:lang w:val="en-US"/>
        </w:rPr>
        <w:t xml:space="preserve">adequate </w:t>
      </w:r>
      <w:r w:rsidR="009204D8" w:rsidRPr="00694010">
        <w:rPr>
          <w:lang w:val="en-US"/>
        </w:rPr>
        <w:t>o</w:t>
      </w:r>
      <w:r w:rsidR="00B564B4" w:rsidRPr="00694010">
        <w:rPr>
          <w:lang w:val="en-US"/>
        </w:rPr>
        <w:t xml:space="preserve">rgan function, </w:t>
      </w:r>
      <w:r w:rsidR="009204D8" w:rsidRPr="00694010">
        <w:rPr>
          <w:lang w:val="en-US"/>
        </w:rPr>
        <w:t>h</w:t>
      </w:r>
      <w:r w:rsidR="00B564B4" w:rsidRPr="00694010">
        <w:rPr>
          <w:lang w:val="en-US"/>
        </w:rPr>
        <w:t xml:space="preserve">istory of prior malignancy, </w:t>
      </w:r>
      <w:r w:rsidR="001617DE" w:rsidRPr="00694010">
        <w:rPr>
          <w:lang w:val="en-US"/>
        </w:rPr>
        <w:t>life expectancy, and</w:t>
      </w:r>
      <w:r w:rsidR="009204D8" w:rsidRPr="00694010">
        <w:rPr>
          <w:lang w:val="en-US"/>
        </w:rPr>
        <w:t xml:space="preserve"> b</w:t>
      </w:r>
      <w:r w:rsidR="00B564B4" w:rsidRPr="00694010">
        <w:rPr>
          <w:lang w:val="en-US"/>
        </w:rPr>
        <w:t>l</w:t>
      </w:r>
      <w:r w:rsidR="009204D8" w:rsidRPr="00694010">
        <w:rPr>
          <w:lang w:val="en-US"/>
        </w:rPr>
        <w:t>ood test results</w:t>
      </w:r>
      <w:r w:rsidR="001617DE" w:rsidRPr="00694010">
        <w:rPr>
          <w:lang w:val="en-US"/>
        </w:rPr>
        <w:t>.</w:t>
      </w:r>
    </w:p>
    <w:p w14:paraId="7DBD4300" w14:textId="2B563FF1" w:rsidR="00344D03" w:rsidRPr="00694010" w:rsidRDefault="008D3A1D" w:rsidP="00344D03">
      <w:pPr>
        <w:pStyle w:val="Heading2"/>
        <w:rPr>
          <w:lang w:val="en-US"/>
        </w:rPr>
      </w:pPr>
      <w:r w:rsidRPr="00694010">
        <w:rPr>
          <w:lang w:val="en-US"/>
        </w:rPr>
        <w:t>Identification of p</w:t>
      </w:r>
      <w:r w:rsidR="00344D03" w:rsidRPr="00694010">
        <w:rPr>
          <w:lang w:val="en-US"/>
        </w:rPr>
        <w:t>atient</w:t>
      </w:r>
      <w:r w:rsidR="0052424F" w:rsidRPr="00694010">
        <w:rPr>
          <w:lang w:val="en-US"/>
        </w:rPr>
        <w:t xml:space="preserve"> </w:t>
      </w:r>
      <w:r w:rsidR="00D11A2A" w:rsidRPr="00694010">
        <w:rPr>
          <w:lang w:val="en-US"/>
        </w:rPr>
        <w:t>characteristics</w:t>
      </w:r>
      <w:r w:rsidR="00344D03" w:rsidRPr="00694010">
        <w:rPr>
          <w:lang w:val="en-US"/>
        </w:rPr>
        <w:t xml:space="preserve"> and disease-</w:t>
      </w:r>
      <w:r w:rsidR="006E1D88" w:rsidRPr="00694010">
        <w:rPr>
          <w:lang w:val="en-US"/>
        </w:rPr>
        <w:t>related</w:t>
      </w:r>
      <w:r w:rsidR="00344D03" w:rsidRPr="00694010">
        <w:rPr>
          <w:lang w:val="en-US"/>
        </w:rPr>
        <w:t xml:space="preserve"> factors</w:t>
      </w:r>
      <w:r w:rsidR="005E38DB" w:rsidRPr="00694010">
        <w:rPr>
          <w:lang w:val="en-US"/>
        </w:rPr>
        <w:t xml:space="preserve"> </w:t>
      </w:r>
      <w:r w:rsidR="00344D03" w:rsidRPr="00694010">
        <w:rPr>
          <w:lang w:val="en-US"/>
        </w:rPr>
        <w:t xml:space="preserve">in </w:t>
      </w:r>
      <w:r w:rsidR="00671942" w:rsidRPr="00694010">
        <w:rPr>
          <w:lang w:val="en-US"/>
        </w:rPr>
        <w:t xml:space="preserve">treatment </w:t>
      </w:r>
      <w:r w:rsidR="00344D03" w:rsidRPr="00694010">
        <w:rPr>
          <w:lang w:val="en-US"/>
        </w:rPr>
        <w:t>guidelines</w:t>
      </w:r>
      <w:r w:rsidR="001A6B26" w:rsidRPr="00694010">
        <w:rPr>
          <w:lang w:val="en-US"/>
        </w:rPr>
        <w:t xml:space="preserve"> and NICE technology assessments</w:t>
      </w:r>
    </w:p>
    <w:p w14:paraId="60C06570" w14:textId="77777777" w:rsidR="00AD051E" w:rsidRPr="00694010" w:rsidRDefault="00AD051E" w:rsidP="00AD051E">
      <w:pPr>
        <w:pStyle w:val="Heading3"/>
        <w:rPr>
          <w:lang w:val="en-US"/>
        </w:rPr>
      </w:pPr>
      <w:r w:rsidRPr="00694010">
        <w:rPr>
          <w:lang w:val="en-US"/>
        </w:rPr>
        <w:t>Sources of data</w:t>
      </w:r>
    </w:p>
    <w:p w14:paraId="324CAF67" w14:textId="4B83E199" w:rsidR="00A70ED9" w:rsidRPr="00694010" w:rsidRDefault="00B41863" w:rsidP="0035514E">
      <w:pPr>
        <w:pStyle w:val="BodyText"/>
        <w:rPr>
          <w:lang w:val="en-US"/>
        </w:rPr>
      </w:pPr>
      <w:r w:rsidRPr="00694010">
        <w:rPr>
          <w:lang w:val="en-US"/>
        </w:rPr>
        <w:t>Seven</w:t>
      </w:r>
      <w:r w:rsidR="000E7447" w:rsidRPr="00694010">
        <w:rPr>
          <w:lang w:val="en-US"/>
        </w:rPr>
        <w:t xml:space="preserve"> </w:t>
      </w:r>
      <w:r w:rsidR="00B853EE" w:rsidRPr="00694010">
        <w:rPr>
          <w:lang w:val="en-US"/>
        </w:rPr>
        <w:t xml:space="preserve">European </w:t>
      </w:r>
      <w:r w:rsidR="000E7447" w:rsidRPr="00694010">
        <w:rPr>
          <w:lang w:val="en-US"/>
        </w:rPr>
        <w:t>t</w:t>
      </w:r>
      <w:r w:rsidR="00393862" w:rsidRPr="00694010">
        <w:rPr>
          <w:lang w:val="en-US"/>
        </w:rPr>
        <w:t>reatment g</w:t>
      </w:r>
      <w:r w:rsidR="00946710" w:rsidRPr="00694010">
        <w:rPr>
          <w:lang w:val="en-US"/>
        </w:rPr>
        <w:t xml:space="preserve">uidelines </w:t>
      </w:r>
      <w:r w:rsidRPr="00694010">
        <w:rPr>
          <w:lang w:val="en-US"/>
        </w:rPr>
        <w:t>were included</w:t>
      </w:r>
      <w:r w:rsidR="00C139D8" w:rsidRPr="00694010">
        <w:rPr>
          <w:lang w:val="en-US"/>
        </w:rPr>
        <w:t xml:space="preserve"> [21-27]</w:t>
      </w:r>
      <w:r w:rsidRPr="00694010">
        <w:rPr>
          <w:lang w:val="en-US"/>
        </w:rPr>
        <w:t>; t</w:t>
      </w:r>
      <w:r w:rsidR="00B853EE" w:rsidRPr="00694010">
        <w:rPr>
          <w:lang w:val="en-US"/>
        </w:rPr>
        <w:t>he US National Comprehensive Cancer Network (NCCN) guidelines for melanoma were also included in our assessment as it was considered that clinicians from Europe were likely to consult them</w:t>
      </w:r>
      <w:r w:rsidR="00C139D8" w:rsidRPr="00694010">
        <w:rPr>
          <w:lang w:val="en-US"/>
        </w:rPr>
        <w:t xml:space="preserve"> [28]</w:t>
      </w:r>
      <w:r w:rsidRPr="00694010">
        <w:rPr>
          <w:lang w:val="en-US"/>
        </w:rPr>
        <w:t>. Five NICE TAs were reviewed</w:t>
      </w:r>
      <w:r w:rsidR="00C30602" w:rsidRPr="00694010">
        <w:rPr>
          <w:lang w:val="en-US"/>
        </w:rPr>
        <w:t xml:space="preserve"> (</w:t>
      </w:r>
      <w:r w:rsidR="00D4154F" w:rsidRPr="00694010">
        <w:rPr>
          <w:lang w:val="en-US"/>
        </w:rPr>
        <w:t xml:space="preserve">see supplementary </w:t>
      </w:r>
      <w:r w:rsidR="00C30602" w:rsidRPr="00694010">
        <w:rPr>
          <w:lang w:val="en-US"/>
        </w:rPr>
        <w:t xml:space="preserve">table </w:t>
      </w:r>
      <w:r w:rsidR="004C4387" w:rsidRPr="00694010">
        <w:rPr>
          <w:lang w:val="en-US"/>
        </w:rPr>
        <w:t>7</w:t>
      </w:r>
      <w:r w:rsidR="00C30602" w:rsidRPr="00694010">
        <w:rPr>
          <w:lang w:val="en-US"/>
        </w:rPr>
        <w:t>).</w:t>
      </w:r>
    </w:p>
    <w:p w14:paraId="5B18F63E" w14:textId="77777777" w:rsidR="001F0F31" w:rsidRPr="00694010" w:rsidRDefault="00AD051E" w:rsidP="00AD051E">
      <w:pPr>
        <w:pStyle w:val="Heading3"/>
        <w:rPr>
          <w:lang w:val="en-US"/>
        </w:rPr>
      </w:pPr>
      <w:r w:rsidRPr="00694010">
        <w:rPr>
          <w:lang w:val="en-US"/>
        </w:rPr>
        <w:t>Factors</w:t>
      </w:r>
    </w:p>
    <w:p w14:paraId="38CF05CE" w14:textId="7F1A1455" w:rsidR="001F0F31" w:rsidRPr="00694010" w:rsidRDefault="004F195B" w:rsidP="0035514E">
      <w:pPr>
        <w:pStyle w:val="BodyText"/>
        <w:rPr>
          <w:lang w:val="en-US"/>
        </w:rPr>
      </w:pPr>
      <w:r w:rsidRPr="00694010">
        <w:rPr>
          <w:lang w:val="en-US"/>
        </w:rPr>
        <w:t xml:space="preserve">The </w:t>
      </w:r>
      <w:r w:rsidR="00F827CA" w:rsidRPr="00694010">
        <w:rPr>
          <w:lang w:val="en-US"/>
        </w:rPr>
        <w:t>treatment</w:t>
      </w:r>
      <w:r w:rsidRPr="00694010">
        <w:rPr>
          <w:lang w:val="en-US"/>
        </w:rPr>
        <w:t xml:space="preserve"> </w:t>
      </w:r>
      <w:r w:rsidR="00C616CB" w:rsidRPr="00694010">
        <w:rPr>
          <w:lang w:val="en-US"/>
        </w:rPr>
        <w:t>guidelines</w:t>
      </w:r>
      <w:r w:rsidRPr="00694010">
        <w:rPr>
          <w:lang w:val="en-US"/>
        </w:rPr>
        <w:t xml:space="preserve"> refer to a number of factors in their recommendations for systemic treatment</w:t>
      </w:r>
      <w:r w:rsidR="00C67592" w:rsidRPr="00694010">
        <w:rPr>
          <w:lang w:val="en-US"/>
        </w:rPr>
        <w:t>, such as</w:t>
      </w:r>
      <w:r w:rsidRPr="00694010">
        <w:rPr>
          <w:lang w:val="en-US"/>
        </w:rPr>
        <w:t xml:space="preserve"> </w:t>
      </w:r>
      <w:r w:rsidR="009323DD" w:rsidRPr="00694010">
        <w:rPr>
          <w:lang w:val="en-US"/>
        </w:rPr>
        <w:t>s</w:t>
      </w:r>
      <w:r w:rsidR="00411772" w:rsidRPr="00694010">
        <w:rPr>
          <w:lang w:val="en-US"/>
        </w:rPr>
        <w:t xml:space="preserve">tage of disease, line of therapy, and BRAF mutation status </w:t>
      </w:r>
      <w:r w:rsidR="00F86ABE" w:rsidRPr="00694010">
        <w:rPr>
          <w:lang w:val="en-US"/>
        </w:rPr>
        <w:t>(</w:t>
      </w:r>
      <w:r w:rsidR="00D4154F" w:rsidRPr="00694010">
        <w:rPr>
          <w:lang w:val="en-US"/>
        </w:rPr>
        <w:t xml:space="preserve">see supplementary </w:t>
      </w:r>
      <w:r w:rsidR="00C139D8" w:rsidRPr="00694010">
        <w:rPr>
          <w:lang w:val="en-US"/>
        </w:rPr>
        <w:t>t</w:t>
      </w:r>
      <w:r w:rsidR="00E92366" w:rsidRPr="00694010">
        <w:rPr>
          <w:lang w:val="en-US"/>
        </w:rPr>
        <w:t>able </w:t>
      </w:r>
      <w:r w:rsidR="00DC1726" w:rsidRPr="00694010">
        <w:rPr>
          <w:lang w:val="en-US"/>
        </w:rPr>
        <w:t>6</w:t>
      </w:r>
      <w:r w:rsidR="00F86ABE" w:rsidRPr="00694010">
        <w:rPr>
          <w:lang w:val="en-US"/>
        </w:rPr>
        <w:t>)</w:t>
      </w:r>
      <w:r w:rsidR="00B33C70" w:rsidRPr="00694010">
        <w:rPr>
          <w:lang w:val="en-US"/>
        </w:rPr>
        <w:t xml:space="preserve">. </w:t>
      </w:r>
      <w:r w:rsidR="00260CE3" w:rsidRPr="00694010">
        <w:rPr>
          <w:lang w:val="en-US"/>
        </w:rPr>
        <w:t>The</w:t>
      </w:r>
      <w:r w:rsidR="0014032B" w:rsidRPr="00694010">
        <w:rPr>
          <w:lang w:val="en-US"/>
        </w:rPr>
        <w:t xml:space="preserve"> guidelines of the </w:t>
      </w:r>
      <w:r w:rsidR="00260CE3" w:rsidRPr="00694010">
        <w:rPr>
          <w:lang w:val="en-US"/>
        </w:rPr>
        <w:t>NCCN and</w:t>
      </w:r>
      <w:r w:rsidR="00262E65" w:rsidRPr="00694010">
        <w:rPr>
          <w:lang w:val="en-US"/>
        </w:rPr>
        <w:t xml:space="preserve"> </w:t>
      </w:r>
      <w:r w:rsidR="004208B5" w:rsidRPr="00694010">
        <w:rPr>
          <w:lang w:val="en-US"/>
        </w:rPr>
        <w:t xml:space="preserve">the German Association of the Scientific Medical Societies </w:t>
      </w:r>
      <w:r w:rsidR="004208B5" w:rsidRPr="00694010">
        <w:rPr>
          <w:lang w:val="en-US"/>
        </w:rPr>
        <w:lastRenderedPageBreak/>
        <w:t>(</w:t>
      </w:r>
      <w:r w:rsidR="004208B5" w:rsidRPr="00694010">
        <w:rPr>
          <w:rStyle w:val="Italic"/>
          <w:lang w:val="en-US"/>
        </w:rPr>
        <w:t>Arbeitsgemeinschaft der Wissenschaftlichen Medizinischen Fachgesellschaften</w:t>
      </w:r>
      <w:r w:rsidR="004208B5" w:rsidRPr="00694010">
        <w:rPr>
          <w:lang w:val="en-US"/>
        </w:rPr>
        <w:t xml:space="preserve">, </w:t>
      </w:r>
      <w:r w:rsidR="00262E65" w:rsidRPr="00694010">
        <w:rPr>
          <w:lang w:val="en-US"/>
        </w:rPr>
        <w:t>AWMF</w:t>
      </w:r>
      <w:r w:rsidR="004208B5" w:rsidRPr="00694010">
        <w:rPr>
          <w:lang w:val="en-US"/>
        </w:rPr>
        <w:t>)</w:t>
      </w:r>
      <w:r w:rsidR="00262E65" w:rsidRPr="00694010">
        <w:rPr>
          <w:lang w:val="en-US"/>
        </w:rPr>
        <w:t xml:space="preserve"> were</w:t>
      </w:r>
      <w:r w:rsidR="00260CE3" w:rsidRPr="00694010">
        <w:rPr>
          <w:lang w:val="en-US"/>
        </w:rPr>
        <w:t xml:space="preserve"> the most detailed in identifying factors that may inf</w:t>
      </w:r>
      <w:r w:rsidR="008C155C" w:rsidRPr="00694010">
        <w:rPr>
          <w:lang w:val="en-US"/>
        </w:rPr>
        <w:t>luence treatment decisions</w:t>
      </w:r>
      <w:r w:rsidR="00C67592" w:rsidRPr="00694010">
        <w:rPr>
          <w:lang w:val="en-US"/>
        </w:rPr>
        <w:t>,</w:t>
      </w:r>
      <w:r w:rsidR="000D6533" w:rsidRPr="00694010">
        <w:rPr>
          <w:lang w:val="en-US"/>
        </w:rPr>
        <w:t xml:space="preserve"> although often the terms used </w:t>
      </w:r>
      <w:r w:rsidR="00D123D9" w:rsidRPr="00694010">
        <w:rPr>
          <w:lang w:val="en-US"/>
        </w:rPr>
        <w:t>were</w:t>
      </w:r>
      <w:r w:rsidR="00260CE3" w:rsidRPr="00694010">
        <w:rPr>
          <w:lang w:val="en-US"/>
        </w:rPr>
        <w:t xml:space="preserve"> poorly defined.</w:t>
      </w:r>
    </w:p>
    <w:p w14:paraId="212D5F33" w14:textId="03AA437F" w:rsidR="001F0F31" w:rsidRPr="00694010" w:rsidRDefault="001D6546" w:rsidP="0035514E">
      <w:pPr>
        <w:pStyle w:val="BodyText"/>
        <w:rPr>
          <w:lang w:val="en-US"/>
        </w:rPr>
      </w:pPr>
      <w:r w:rsidRPr="00694010">
        <w:rPr>
          <w:lang w:val="en-US"/>
        </w:rPr>
        <w:t xml:space="preserve">Tumor burden was </w:t>
      </w:r>
      <w:r w:rsidR="00B32B7E" w:rsidRPr="00694010">
        <w:rPr>
          <w:lang w:val="en-US"/>
        </w:rPr>
        <w:t xml:space="preserve">specifically included </w:t>
      </w:r>
      <w:r w:rsidR="008E4D1B" w:rsidRPr="00694010">
        <w:rPr>
          <w:lang w:val="en-US"/>
        </w:rPr>
        <w:t>in the AWMF guidelines and the NICE TA for ipilimumab for first-line treatment of advanced melanoma. The AWM</w:t>
      </w:r>
      <w:r w:rsidR="00EB69CE" w:rsidRPr="00694010">
        <w:rPr>
          <w:lang w:val="en-US"/>
        </w:rPr>
        <w:t>F</w:t>
      </w:r>
      <w:r w:rsidR="008E4D1B" w:rsidRPr="00694010">
        <w:rPr>
          <w:lang w:val="en-US"/>
        </w:rPr>
        <w:t xml:space="preserve"> guidelines </w:t>
      </w:r>
      <w:r w:rsidR="0006652E" w:rsidRPr="00694010">
        <w:rPr>
          <w:lang w:val="en-US"/>
        </w:rPr>
        <w:t xml:space="preserve">refer to </w:t>
      </w:r>
      <w:r w:rsidR="00A70ED9" w:rsidRPr="00694010">
        <w:rPr>
          <w:lang w:val="en-US"/>
        </w:rPr>
        <w:t>“</w:t>
      </w:r>
      <w:r w:rsidR="0006652E" w:rsidRPr="00694010">
        <w:rPr>
          <w:lang w:val="en-US"/>
        </w:rPr>
        <w:t>tumor load</w:t>
      </w:r>
      <w:r w:rsidR="00A70ED9" w:rsidRPr="00694010">
        <w:rPr>
          <w:lang w:val="en-US"/>
        </w:rPr>
        <w:t>”</w:t>
      </w:r>
      <w:r w:rsidR="0006652E" w:rsidRPr="00694010">
        <w:rPr>
          <w:lang w:val="en-US"/>
        </w:rPr>
        <w:t xml:space="preserve"> </w:t>
      </w:r>
      <w:r w:rsidR="0020201F" w:rsidRPr="00694010">
        <w:rPr>
          <w:lang w:val="en-US"/>
        </w:rPr>
        <w:t xml:space="preserve">in the algorithm for systemic therapy </w:t>
      </w:r>
      <w:r w:rsidR="0006652E" w:rsidRPr="00694010">
        <w:rPr>
          <w:lang w:val="en-US"/>
        </w:rPr>
        <w:t>for</w:t>
      </w:r>
      <w:r w:rsidR="0020201F" w:rsidRPr="00694010">
        <w:rPr>
          <w:lang w:val="en-US"/>
        </w:rPr>
        <w:t xml:space="preserve"> </w:t>
      </w:r>
      <w:r w:rsidR="006F418F" w:rsidRPr="00694010">
        <w:rPr>
          <w:lang w:val="en-US"/>
        </w:rPr>
        <w:t>stage I</w:t>
      </w:r>
      <w:r w:rsidR="0020201F" w:rsidRPr="00694010">
        <w:rPr>
          <w:lang w:val="en-US"/>
        </w:rPr>
        <w:t xml:space="preserve">V and unresectable </w:t>
      </w:r>
      <w:r w:rsidR="006F418F" w:rsidRPr="00694010">
        <w:rPr>
          <w:lang w:val="en-US"/>
        </w:rPr>
        <w:t>stage I</w:t>
      </w:r>
      <w:r w:rsidR="0020201F" w:rsidRPr="00694010">
        <w:rPr>
          <w:lang w:val="en-US"/>
        </w:rPr>
        <w:t>II disease</w:t>
      </w:r>
      <w:r w:rsidR="0006652E" w:rsidRPr="00694010">
        <w:rPr>
          <w:lang w:val="en-US"/>
        </w:rPr>
        <w:t>, but the term</w:t>
      </w:r>
      <w:r w:rsidR="0020201F" w:rsidRPr="00694010">
        <w:rPr>
          <w:lang w:val="en-US"/>
        </w:rPr>
        <w:t xml:space="preserve"> was not defined</w:t>
      </w:r>
      <w:r w:rsidR="00B81491" w:rsidRPr="00694010">
        <w:rPr>
          <w:lang w:val="en-US"/>
        </w:rPr>
        <w:t>.</w:t>
      </w:r>
      <w:r w:rsidR="004448A2" w:rsidRPr="00694010">
        <w:rPr>
          <w:lang w:val="en-US"/>
        </w:rPr>
        <w:t xml:space="preserve"> </w:t>
      </w:r>
      <w:r w:rsidR="004C03A3" w:rsidRPr="00694010">
        <w:rPr>
          <w:lang w:val="en-US"/>
        </w:rPr>
        <w:t>Similarly, the NICE TA</w:t>
      </w:r>
      <w:r w:rsidR="00E14DE1" w:rsidRPr="00694010">
        <w:rPr>
          <w:lang w:val="en-US"/>
        </w:rPr>
        <w:t> </w:t>
      </w:r>
      <w:r w:rsidR="009E7789" w:rsidRPr="00694010">
        <w:rPr>
          <w:lang w:val="en-US"/>
        </w:rPr>
        <w:t>319</w:t>
      </w:r>
      <w:r w:rsidR="00C642A3" w:rsidRPr="00694010">
        <w:rPr>
          <w:lang w:val="en-US"/>
        </w:rPr>
        <w:t xml:space="preserve"> </w:t>
      </w:r>
      <w:r w:rsidR="004C03A3" w:rsidRPr="00694010">
        <w:rPr>
          <w:lang w:val="en-US"/>
        </w:rPr>
        <w:t>states</w:t>
      </w:r>
      <w:r w:rsidR="00C642A3" w:rsidRPr="00694010">
        <w:rPr>
          <w:lang w:val="en-US"/>
        </w:rPr>
        <w:t xml:space="preserve"> that vemurafenib </w:t>
      </w:r>
      <w:r w:rsidR="004C03A3" w:rsidRPr="00694010">
        <w:rPr>
          <w:lang w:val="en-US"/>
        </w:rPr>
        <w:t>is</w:t>
      </w:r>
      <w:r w:rsidR="00C642A3" w:rsidRPr="00694010">
        <w:rPr>
          <w:lang w:val="en-US"/>
        </w:rPr>
        <w:t xml:space="preserve"> likely to remain the standard of care for first-line treatment, particularly in </w:t>
      </w:r>
      <w:r w:rsidR="004C03A3" w:rsidRPr="00694010">
        <w:rPr>
          <w:lang w:val="en-US"/>
        </w:rPr>
        <w:t>patients</w:t>
      </w:r>
      <w:r w:rsidR="00C642A3" w:rsidRPr="00694010">
        <w:rPr>
          <w:lang w:val="en-US"/>
        </w:rPr>
        <w:t xml:space="preserve"> with high disease burden, but </w:t>
      </w:r>
      <w:r w:rsidR="004C03A3" w:rsidRPr="00694010">
        <w:rPr>
          <w:lang w:val="en-US"/>
        </w:rPr>
        <w:t>does not explain how this</w:t>
      </w:r>
      <w:r w:rsidR="00C642A3" w:rsidRPr="00694010">
        <w:rPr>
          <w:lang w:val="en-US"/>
        </w:rPr>
        <w:t xml:space="preserve"> is defined or assessed</w:t>
      </w:r>
      <w:r w:rsidR="003770D0" w:rsidRPr="00694010">
        <w:rPr>
          <w:lang w:val="en-US"/>
        </w:rPr>
        <w:t xml:space="preserve"> [</w:t>
      </w:r>
      <w:r w:rsidR="008A3CDA" w:rsidRPr="00694010">
        <w:rPr>
          <w:noProof/>
          <w:lang w:val="en-US"/>
        </w:rPr>
        <w:t>29</w:t>
      </w:r>
      <w:r w:rsidR="003770D0" w:rsidRPr="00694010">
        <w:rPr>
          <w:lang w:val="en-US"/>
        </w:rPr>
        <w:t>].</w:t>
      </w:r>
    </w:p>
    <w:p w14:paraId="7C7F1807" w14:textId="3A625BED" w:rsidR="004448A2" w:rsidRPr="00694010" w:rsidRDefault="002D26B0" w:rsidP="004448A2">
      <w:pPr>
        <w:pStyle w:val="BodyText"/>
        <w:rPr>
          <w:lang w:val="en-US"/>
        </w:rPr>
      </w:pPr>
      <w:r w:rsidRPr="00694010">
        <w:rPr>
          <w:lang w:val="en-US"/>
        </w:rPr>
        <w:t>T</w:t>
      </w:r>
      <w:r w:rsidR="004448A2" w:rsidRPr="00694010">
        <w:rPr>
          <w:lang w:val="en-US"/>
        </w:rPr>
        <w:t>he presence of brain metastases</w:t>
      </w:r>
      <w:r w:rsidR="00E14DE1" w:rsidRPr="00694010">
        <w:rPr>
          <w:lang w:val="en-US"/>
        </w:rPr>
        <w:t>, a component of tumo</w:t>
      </w:r>
      <w:r w:rsidRPr="00694010">
        <w:rPr>
          <w:lang w:val="en-US"/>
        </w:rPr>
        <w:t>r burden,</w:t>
      </w:r>
      <w:r w:rsidR="004448A2" w:rsidRPr="00694010">
        <w:rPr>
          <w:lang w:val="en-US"/>
        </w:rPr>
        <w:t xml:space="preserve"> was identified as a factor i</w:t>
      </w:r>
      <w:r w:rsidR="007E5BC0" w:rsidRPr="00694010">
        <w:rPr>
          <w:lang w:val="en-US"/>
        </w:rPr>
        <w:t>n all but one of the guidelines and in one NICE assessment</w:t>
      </w:r>
      <w:r w:rsidR="003770D0" w:rsidRPr="00694010">
        <w:rPr>
          <w:lang w:val="en-US"/>
        </w:rPr>
        <w:t xml:space="preserve"> [</w:t>
      </w:r>
      <w:r w:rsidR="008A3CDA" w:rsidRPr="00694010">
        <w:rPr>
          <w:noProof/>
          <w:lang w:val="en-US"/>
        </w:rPr>
        <w:t>30</w:t>
      </w:r>
      <w:r w:rsidR="003770D0" w:rsidRPr="00694010">
        <w:rPr>
          <w:lang w:val="en-US"/>
        </w:rPr>
        <w:t>].</w:t>
      </w:r>
    </w:p>
    <w:p w14:paraId="62D914D0" w14:textId="3279E305" w:rsidR="00A70ED9" w:rsidRPr="00694010" w:rsidRDefault="006F1758" w:rsidP="0035514E">
      <w:pPr>
        <w:pStyle w:val="BodyText"/>
        <w:rPr>
          <w:lang w:val="en-US"/>
        </w:rPr>
      </w:pPr>
      <w:r w:rsidRPr="00694010">
        <w:rPr>
          <w:lang w:val="en-US"/>
        </w:rPr>
        <w:t>D</w:t>
      </w:r>
      <w:r w:rsidR="00C30CA8" w:rsidRPr="00694010">
        <w:rPr>
          <w:lang w:val="en-US"/>
        </w:rPr>
        <w:t>isease tempo</w:t>
      </w:r>
      <w:r w:rsidR="00C90660" w:rsidRPr="00694010">
        <w:rPr>
          <w:lang w:val="en-US"/>
        </w:rPr>
        <w:t>,</w:t>
      </w:r>
      <w:r w:rsidR="00C30CA8" w:rsidRPr="00694010">
        <w:rPr>
          <w:lang w:val="en-US"/>
        </w:rPr>
        <w:t xml:space="preserve"> or </w:t>
      </w:r>
      <w:r w:rsidR="007B3AEF" w:rsidRPr="00694010">
        <w:rPr>
          <w:lang w:val="en-US"/>
        </w:rPr>
        <w:t xml:space="preserve">a </w:t>
      </w:r>
      <w:r w:rsidR="00C30CA8" w:rsidRPr="00694010">
        <w:rPr>
          <w:lang w:val="en-US"/>
        </w:rPr>
        <w:t xml:space="preserve">similar </w:t>
      </w:r>
      <w:r w:rsidR="007B3AEF" w:rsidRPr="00694010">
        <w:rPr>
          <w:lang w:val="en-US"/>
        </w:rPr>
        <w:t xml:space="preserve">term describing </w:t>
      </w:r>
      <w:r w:rsidR="00363A41" w:rsidRPr="00694010">
        <w:rPr>
          <w:lang w:val="en-US"/>
        </w:rPr>
        <w:t>disease pace or rate of progression</w:t>
      </w:r>
      <w:r w:rsidR="00C90660" w:rsidRPr="00694010">
        <w:rPr>
          <w:lang w:val="en-US"/>
        </w:rPr>
        <w:t>,</w:t>
      </w:r>
      <w:r w:rsidR="00E674B6" w:rsidRPr="00694010">
        <w:rPr>
          <w:lang w:val="en-US"/>
        </w:rPr>
        <w:t xml:space="preserve"> </w:t>
      </w:r>
      <w:r w:rsidR="00AA35C7" w:rsidRPr="00694010">
        <w:rPr>
          <w:lang w:val="en-US"/>
        </w:rPr>
        <w:t>was discussed in</w:t>
      </w:r>
      <w:r w:rsidR="00C30CA8" w:rsidRPr="00694010">
        <w:rPr>
          <w:lang w:val="en-US"/>
        </w:rPr>
        <w:t xml:space="preserve"> two clinical guidelines </w:t>
      </w:r>
      <w:r w:rsidR="00E674B6" w:rsidRPr="00694010">
        <w:rPr>
          <w:lang w:val="en-US"/>
        </w:rPr>
        <w:t xml:space="preserve">and </w:t>
      </w:r>
      <w:r w:rsidR="00C30CA8" w:rsidRPr="00694010">
        <w:rPr>
          <w:lang w:val="en-US"/>
        </w:rPr>
        <w:t>tw</w:t>
      </w:r>
      <w:r w:rsidR="0049187A" w:rsidRPr="00694010">
        <w:rPr>
          <w:lang w:val="en-US"/>
        </w:rPr>
        <w:t xml:space="preserve">o NICE </w:t>
      </w:r>
      <w:r w:rsidR="00504B2B" w:rsidRPr="00694010">
        <w:rPr>
          <w:lang w:val="en-US"/>
        </w:rPr>
        <w:t>appraisals</w:t>
      </w:r>
      <w:r w:rsidR="003770D0" w:rsidRPr="00694010">
        <w:rPr>
          <w:lang w:val="en-US"/>
        </w:rPr>
        <w:t xml:space="preserve"> [</w:t>
      </w:r>
      <w:r w:rsidR="008A3CDA" w:rsidRPr="00694010">
        <w:rPr>
          <w:noProof/>
          <w:lang w:val="en-US"/>
        </w:rPr>
        <w:t>23, 28, 30-31</w:t>
      </w:r>
      <w:r w:rsidR="003770D0" w:rsidRPr="00694010">
        <w:rPr>
          <w:lang w:val="en-US"/>
        </w:rPr>
        <w:t>].</w:t>
      </w:r>
      <w:r w:rsidR="009A70F6" w:rsidRPr="00694010">
        <w:rPr>
          <w:lang w:val="en-US"/>
        </w:rPr>
        <w:t xml:space="preserve"> </w:t>
      </w:r>
      <w:r w:rsidR="00C27A57" w:rsidRPr="00694010">
        <w:rPr>
          <w:lang w:val="en-US"/>
        </w:rPr>
        <w:t>In the NCCN guidelines</w:t>
      </w:r>
      <w:r w:rsidR="00E233CD" w:rsidRPr="00694010">
        <w:rPr>
          <w:lang w:val="en-US"/>
        </w:rPr>
        <w:t xml:space="preserve"> d</w:t>
      </w:r>
      <w:r w:rsidR="00874CEA" w:rsidRPr="00694010">
        <w:rPr>
          <w:lang w:val="en-US"/>
        </w:rPr>
        <w:t>isease status</w:t>
      </w:r>
      <w:r w:rsidR="00AF0C13" w:rsidRPr="00694010">
        <w:rPr>
          <w:lang w:val="en-US"/>
        </w:rPr>
        <w:t>,</w:t>
      </w:r>
      <w:r w:rsidR="0020761F" w:rsidRPr="00694010">
        <w:rPr>
          <w:lang w:val="en-US"/>
        </w:rPr>
        <w:t xml:space="preserve"> </w:t>
      </w:r>
      <w:r w:rsidR="00C345E1" w:rsidRPr="00694010">
        <w:rPr>
          <w:lang w:val="en-US"/>
        </w:rPr>
        <w:t>defined as the</w:t>
      </w:r>
      <w:r w:rsidR="00C2222F" w:rsidRPr="00694010">
        <w:rPr>
          <w:lang w:val="en-US"/>
        </w:rPr>
        <w:t xml:space="preserve"> period of clinical stability (categorized as </w:t>
      </w:r>
      <w:r w:rsidR="00874CEA" w:rsidRPr="00694010">
        <w:rPr>
          <w:lang w:val="en-US"/>
        </w:rPr>
        <w:t>&gt;12</w:t>
      </w:r>
      <w:r w:rsidR="00BE47F9" w:rsidRPr="00694010">
        <w:rPr>
          <w:lang w:val="en-US"/>
        </w:rPr>
        <w:t> </w:t>
      </w:r>
      <w:r w:rsidR="00874CEA" w:rsidRPr="00694010">
        <w:rPr>
          <w:lang w:val="en-US"/>
        </w:rPr>
        <w:t>weeks or ≤12</w:t>
      </w:r>
      <w:r w:rsidR="00BE47F9" w:rsidRPr="00694010">
        <w:rPr>
          <w:lang w:val="en-US"/>
        </w:rPr>
        <w:t> </w:t>
      </w:r>
      <w:r w:rsidR="00874CEA" w:rsidRPr="00694010">
        <w:rPr>
          <w:lang w:val="en-US"/>
        </w:rPr>
        <w:t>weeks),</w:t>
      </w:r>
      <w:r w:rsidR="00526DDC" w:rsidRPr="00694010">
        <w:rPr>
          <w:lang w:val="en-US"/>
        </w:rPr>
        <w:t xml:space="preserve"> i</w:t>
      </w:r>
      <w:r w:rsidR="00874CEA" w:rsidRPr="00694010">
        <w:rPr>
          <w:lang w:val="en-US"/>
        </w:rPr>
        <w:t>nfluence</w:t>
      </w:r>
      <w:r w:rsidR="00AF0C13" w:rsidRPr="00694010">
        <w:rPr>
          <w:lang w:val="en-US"/>
        </w:rPr>
        <w:t>s</w:t>
      </w:r>
      <w:r w:rsidR="00874CEA" w:rsidRPr="00694010">
        <w:rPr>
          <w:lang w:val="en-US"/>
        </w:rPr>
        <w:t xml:space="preserve"> </w:t>
      </w:r>
      <w:r w:rsidR="00AF0C13" w:rsidRPr="00694010">
        <w:rPr>
          <w:lang w:val="en-US"/>
        </w:rPr>
        <w:t xml:space="preserve">the recommendations for </w:t>
      </w:r>
      <w:r w:rsidR="00874CEA" w:rsidRPr="00694010">
        <w:rPr>
          <w:lang w:val="en-US"/>
        </w:rPr>
        <w:t xml:space="preserve">first-line treatment </w:t>
      </w:r>
      <w:r w:rsidR="00AF0C13" w:rsidRPr="00694010">
        <w:rPr>
          <w:lang w:val="en-US"/>
        </w:rPr>
        <w:t>of</w:t>
      </w:r>
      <w:r w:rsidR="00874CEA" w:rsidRPr="00694010">
        <w:rPr>
          <w:lang w:val="en-US"/>
        </w:rPr>
        <w:t xml:space="preserve"> metastatic or unresectable </w:t>
      </w:r>
      <w:r w:rsidR="000851F4" w:rsidRPr="00694010">
        <w:rPr>
          <w:lang w:val="en-US"/>
        </w:rPr>
        <w:t>wild-type</w:t>
      </w:r>
      <w:r w:rsidR="00874CEA" w:rsidRPr="00694010">
        <w:rPr>
          <w:lang w:val="en-US"/>
        </w:rPr>
        <w:t xml:space="preserve"> or </w:t>
      </w:r>
      <w:r w:rsidR="001C5139" w:rsidRPr="00694010">
        <w:rPr>
          <w:lang w:val="en-US"/>
        </w:rPr>
        <w:t>BRAF-mutated</w:t>
      </w:r>
      <w:r w:rsidR="00AF0C13" w:rsidRPr="00694010">
        <w:rPr>
          <w:lang w:val="en-US"/>
        </w:rPr>
        <w:t xml:space="preserve"> </w:t>
      </w:r>
      <w:r w:rsidR="004D2291" w:rsidRPr="00694010">
        <w:rPr>
          <w:lang w:val="en-US"/>
        </w:rPr>
        <w:t>melanoma</w:t>
      </w:r>
      <w:r w:rsidR="003770D0" w:rsidRPr="00694010">
        <w:rPr>
          <w:lang w:val="en-US"/>
        </w:rPr>
        <w:t xml:space="preserve"> [</w:t>
      </w:r>
      <w:r w:rsidR="008A3CDA" w:rsidRPr="00694010">
        <w:rPr>
          <w:noProof/>
          <w:lang w:val="en-US"/>
        </w:rPr>
        <w:t>28</w:t>
      </w:r>
      <w:r w:rsidR="003770D0" w:rsidRPr="00694010">
        <w:rPr>
          <w:lang w:val="en-US"/>
        </w:rPr>
        <w:t>].</w:t>
      </w:r>
      <w:r w:rsidR="00884A28" w:rsidRPr="00694010">
        <w:rPr>
          <w:lang w:val="en-US"/>
        </w:rPr>
        <w:t xml:space="preserve"> The AWMF guidelines refer to the rate of progression (slow/fast) in the algorithm for </w:t>
      </w:r>
      <w:r w:rsidR="001F0F31" w:rsidRPr="00694010">
        <w:rPr>
          <w:lang w:val="en-US"/>
        </w:rPr>
        <w:t>decision-mak</w:t>
      </w:r>
      <w:r w:rsidR="00884A28" w:rsidRPr="00694010">
        <w:rPr>
          <w:lang w:val="en-US"/>
        </w:rPr>
        <w:t>ing</w:t>
      </w:r>
      <w:r w:rsidR="003770D0" w:rsidRPr="00694010">
        <w:rPr>
          <w:lang w:val="en-US"/>
        </w:rPr>
        <w:t xml:space="preserve"> [</w:t>
      </w:r>
      <w:r w:rsidR="008A3CDA" w:rsidRPr="00694010">
        <w:rPr>
          <w:noProof/>
          <w:lang w:val="en-US"/>
        </w:rPr>
        <w:t>23</w:t>
      </w:r>
      <w:r w:rsidR="003770D0" w:rsidRPr="00694010">
        <w:rPr>
          <w:lang w:val="en-US"/>
        </w:rPr>
        <w:t>].</w:t>
      </w:r>
    </w:p>
    <w:p w14:paraId="2DD9DFA3" w14:textId="39ED40D4" w:rsidR="00776F7F" w:rsidRPr="00694010" w:rsidRDefault="00D6115D" w:rsidP="0035514E">
      <w:pPr>
        <w:pStyle w:val="BodyText"/>
        <w:rPr>
          <w:lang w:val="en-US"/>
        </w:rPr>
      </w:pPr>
      <w:r w:rsidRPr="00694010">
        <w:rPr>
          <w:lang w:val="en-US"/>
        </w:rPr>
        <w:t>Assessment of</w:t>
      </w:r>
      <w:r w:rsidR="00A66558" w:rsidRPr="00694010">
        <w:rPr>
          <w:lang w:val="en-US"/>
        </w:rPr>
        <w:t xml:space="preserve"> </w:t>
      </w:r>
      <w:r w:rsidR="00526DDC" w:rsidRPr="00694010">
        <w:rPr>
          <w:lang w:val="en-US"/>
        </w:rPr>
        <w:t xml:space="preserve">LDH </w:t>
      </w:r>
      <w:r w:rsidRPr="00694010">
        <w:rPr>
          <w:lang w:val="en-US"/>
        </w:rPr>
        <w:t>levels</w:t>
      </w:r>
      <w:r w:rsidR="006E3197" w:rsidRPr="00694010">
        <w:rPr>
          <w:lang w:val="en-US"/>
        </w:rPr>
        <w:t xml:space="preserve"> </w:t>
      </w:r>
      <w:r w:rsidR="00526DDC" w:rsidRPr="00694010">
        <w:rPr>
          <w:lang w:val="en-US"/>
        </w:rPr>
        <w:t xml:space="preserve">was not </w:t>
      </w:r>
      <w:r w:rsidR="00DE5A67" w:rsidRPr="00694010">
        <w:rPr>
          <w:lang w:val="en-US"/>
        </w:rPr>
        <w:t xml:space="preserve">discussed </w:t>
      </w:r>
      <w:r w:rsidR="00CE4622" w:rsidRPr="00694010">
        <w:rPr>
          <w:lang w:val="en-US"/>
        </w:rPr>
        <w:t xml:space="preserve">as a factor influencing treatment decisions </w:t>
      </w:r>
      <w:r w:rsidR="00526DDC" w:rsidRPr="00694010">
        <w:rPr>
          <w:lang w:val="en-US"/>
        </w:rPr>
        <w:t xml:space="preserve">in </w:t>
      </w:r>
      <w:r w:rsidR="00F8717E" w:rsidRPr="00694010">
        <w:rPr>
          <w:lang w:val="en-US"/>
        </w:rPr>
        <w:t xml:space="preserve">any </w:t>
      </w:r>
      <w:r w:rsidR="00084EE7" w:rsidRPr="00694010">
        <w:rPr>
          <w:lang w:val="en-US"/>
        </w:rPr>
        <w:t xml:space="preserve">of the guidelines or NICE </w:t>
      </w:r>
      <w:r w:rsidR="006F043F" w:rsidRPr="00694010">
        <w:rPr>
          <w:lang w:val="en-US"/>
        </w:rPr>
        <w:t xml:space="preserve">appraisals </w:t>
      </w:r>
      <w:r w:rsidR="00CE4622" w:rsidRPr="00694010">
        <w:rPr>
          <w:lang w:val="en-US"/>
        </w:rPr>
        <w:t>reviewed</w:t>
      </w:r>
      <w:r w:rsidR="004D2291" w:rsidRPr="00694010">
        <w:rPr>
          <w:lang w:val="en-US"/>
        </w:rPr>
        <w:t>,</w:t>
      </w:r>
      <w:r w:rsidR="00B95461" w:rsidRPr="00694010">
        <w:rPr>
          <w:lang w:val="en-US"/>
        </w:rPr>
        <w:t xml:space="preserve"> although it is discussed as a prognostic factor</w:t>
      </w:r>
      <w:r w:rsidR="003770D0" w:rsidRPr="00694010">
        <w:rPr>
          <w:lang w:val="en-US"/>
        </w:rPr>
        <w:t xml:space="preserve"> [</w:t>
      </w:r>
      <w:r w:rsidR="006002AF" w:rsidRPr="00694010">
        <w:rPr>
          <w:noProof/>
          <w:lang w:val="en-US"/>
        </w:rPr>
        <w:t>28</w:t>
      </w:r>
      <w:r w:rsidR="003770D0" w:rsidRPr="00694010">
        <w:rPr>
          <w:lang w:val="en-US"/>
        </w:rPr>
        <w:t>].</w:t>
      </w:r>
      <w:r w:rsidR="0051452A" w:rsidRPr="00694010">
        <w:rPr>
          <w:lang w:val="en-US"/>
        </w:rPr>
        <w:t xml:space="preserve"> </w:t>
      </w:r>
      <w:r w:rsidR="00476AD5" w:rsidRPr="00694010">
        <w:rPr>
          <w:lang w:val="en-US"/>
        </w:rPr>
        <w:t>European Association of Dermato Oncology (</w:t>
      </w:r>
      <w:r w:rsidR="00B95461" w:rsidRPr="00694010">
        <w:rPr>
          <w:lang w:val="en-US"/>
        </w:rPr>
        <w:t>EADO</w:t>
      </w:r>
      <w:r w:rsidR="00476AD5" w:rsidRPr="00694010">
        <w:rPr>
          <w:lang w:val="en-US"/>
        </w:rPr>
        <w:t>)</w:t>
      </w:r>
      <w:r w:rsidR="00B95461" w:rsidRPr="00694010">
        <w:rPr>
          <w:lang w:val="en-US"/>
        </w:rPr>
        <w:t xml:space="preserve"> guidelines from 2012 suggest that </w:t>
      </w:r>
      <w:r w:rsidR="003678C4" w:rsidRPr="00694010">
        <w:rPr>
          <w:lang w:val="en-US"/>
        </w:rPr>
        <w:t xml:space="preserve">PD-L1 </w:t>
      </w:r>
      <w:r w:rsidR="004D2291" w:rsidRPr="00694010">
        <w:rPr>
          <w:lang w:val="en-US"/>
        </w:rPr>
        <w:t xml:space="preserve">expression can be used to identify </w:t>
      </w:r>
      <w:r w:rsidR="00F73B50" w:rsidRPr="00694010">
        <w:rPr>
          <w:lang w:val="en-US"/>
        </w:rPr>
        <w:t>patients</w:t>
      </w:r>
      <w:r w:rsidR="003678C4" w:rsidRPr="00694010">
        <w:rPr>
          <w:lang w:val="en-US"/>
        </w:rPr>
        <w:t xml:space="preserve"> with </w:t>
      </w:r>
      <w:r w:rsidR="00027479" w:rsidRPr="00694010">
        <w:rPr>
          <w:lang w:val="en-US"/>
        </w:rPr>
        <w:t xml:space="preserve">superior </w:t>
      </w:r>
      <w:r w:rsidR="003678C4" w:rsidRPr="00694010">
        <w:rPr>
          <w:lang w:val="en-US"/>
        </w:rPr>
        <w:t>response to anti-PD1</w:t>
      </w:r>
      <w:r w:rsidR="00476AD5" w:rsidRPr="00694010">
        <w:rPr>
          <w:lang w:val="en-US"/>
        </w:rPr>
        <w:t xml:space="preserve"> agent</w:t>
      </w:r>
      <w:r w:rsidR="003678C4" w:rsidRPr="00694010">
        <w:rPr>
          <w:lang w:val="en-US"/>
        </w:rPr>
        <w:t>s</w:t>
      </w:r>
      <w:r w:rsidR="003770D0" w:rsidRPr="00694010">
        <w:rPr>
          <w:lang w:val="en-US"/>
        </w:rPr>
        <w:t xml:space="preserve"> [</w:t>
      </w:r>
      <w:r w:rsidR="003770D0" w:rsidRPr="00694010">
        <w:rPr>
          <w:noProof/>
          <w:lang w:val="en-US"/>
        </w:rPr>
        <w:t>2</w:t>
      </w:r>
      <w:r w:rsidR="006002AF" w:rsidRPr="00694010">
        <w:rPr>
          <w:noProof/>
          <w:lang w:val="en-US"/>
        </w:rPr>
        <w:t>2</w:t>
      </w:r>
      <w:r w:rsidR="003770D0" w:rsidRPr="00694010">
        <w:rPr>
          <w:lang w:val="en-US"/>
        </w:rPr>
        <w:t>].</w:t>
      </w:r>
    </w:p>
    <w:p w14:paraId="5D8DF435" w14:textId="0131C8EC" w:rsidR="00E700FF" w:rsidRPr="00694010" w:rsidRDefault="00C30602" w:rsidP="00C30602">
      <w:pPr>
        <w:pStyle w:val="BodyText"/>
        <w:rPr>
          <w:lang w:val="en-US"/>
        </w:rPr>
      </w:pPr>
      <w:r w:rsidRPr="00694010">
        <w:rPr>
          <w:lang w:val="en-US"/>
        </w:rPr>
        <w:t>[</w:t>
      </w:r>
      <w:r w:rsidR="00D4154F" w:rsidRPr="00694010">
        <w:rPr>
          <w:lang w:val="en-US"/>
        </w:rPr>
        <w:t xml:space="preserve">Supplementary table </w:t>
      </w:r>
      <w:r w:rsidR="004C4387" w:rsidRPr="00694010">
        <w:rPr>
          <w:lang w:val="en-US"/>
        </w:rPr>
        <w:t>7</w:t>
      </w:r>
      <w:r w:rsidRPr="00694010">
        <w:rPr>
          <w:lang w:val="en-US"/>
        </w:rPr>
        <w:t>]</w:t>
      </w:r>
    </w:p>
    <w:p w14:paraId="2B38586A" w14:textId="77777777" w:rsidR="001F0F31" w:rsidRPr="00694010" w:rsidRDefault="009C3397" w:rsidP="0090082B">
      <w:pPr>
        <w:pStyle w:val="Heading2"/>
        <w:rPr>
          <w:lang w:val="en-US"/>
        </w:rPr>
      </w:pPr>
      <w:r w:rsidRPr="00694010">
        <w:rPr>
          <w:lang w:val="en-US"/>
        </w:rPr>
        <w:lastRenderedPageBreak/>
        <w:t>S</w:t>
      </w:r>
      <w:r w:rsidR="00997639" w:rsidRPr="00694010">
        <w:rPr>
          <w:lang w:val="en-US"/>
        </w:rPr>
        <w:t>ummary of f</w:t>
      </w:r>
      <w:r w:rsidR="00D22FC3" w:rsidRPr="00694010">
        <w:rPr>
          <w:lang w:val="en-US"/>
        </w:rPr>
        <w:t>actors identified</w:t>
      </w:r>
    </w:p>
    <w:p w14:paraId="526DD10E" w14:textId="20DF2AB4" w:rsidR="009D776C" w:rsidRPr="00694010" w:rsidRDefault="004329C7" w:rsidP="00BD5748">
      <w:pPr>
        <w:pStyle w:val="BodyText"/>
        <w:rPr>
          <w:lang w:val="en-US"/>
        </w:rPr>
      </w:pPr>
      <w:r w:rsidRPr="00694010">
        <w:rPr>
          <w:lang w:val="en-US"/>
        </w:rPr>
        <w:t>A total of</w:t>
      </w:r>
      <w:r w:rsidR="000334F6" w:rsidRPr="00694010">
        <w:rPr>
          <w:lang w:val="en-US"/>
        </w:rPr>
        <w:t xml:space="preserve"> eight</w:t>
      </w:r>
      <w:r w:rsidR="00F54508" w:rsidRPr="00694010">
        <w:rPr>
          <w:lang w:val="en-US"/>
        </w:rPr>
        <w:t xml:space="preserve"> </w:t>
      </w:r>
      <w:r w:rsidR="00444F7B" w:rsidRPr="00694010">
        <w:rPr>
          <w:lang w:val="en-US"/>
        </w:rPr>
        <w:t xml:space="preserve">patient characteristics </w:t>
      </w:r>
      <w:r w:rsidR="00FA05AF" w:rsidRPr="00694010">
        <w:rPr>
          <w:lang w:val="en-US"/>
        </w:rPr>
        <w:t xml:space="preserve">and </w:t>
      </w:r>
      <w:r w:rsidR="001F0F31" w:rsidRPr="00694010">
        <w:rPr>
          <w:lang w:val="en-US"/>
        </w:rPr>
        <w:t>12</w:t>
      </w:r>
      <w:r w:rsidR="00F54508" w:rsidRPr="00694010">
        <w:rPr>
          <w:lang w:val="en-US"/>
        </w:rPr>
        <w:t xml:space="preserve"> </w:t>
      </w:r>
      <w:r w:rsidR="0081471E" w:rsidRPr="00694010">
        <w:rPr>
          <w:lang w:val="en-US"/>
        </w:rPr>
        <w:t>disease-related</w:t>
      </w:r>
      <w:r w:rsidR="00FA05AF" w:rsidRPr="00694010">
        <w:rPr>
          <w:lang w:val="en-US"/>
        </w:rPr>
        <w:t xml:space="preserve"> factors </w:t>
      </w:r>
      <w:r w:rsidR="00770146" w:rsidRPr="00694010">
        <w:rPr>
          <w:lang w:val="en-US"/>
        </w:rPr>
        <w:t xml:space="preserve">were </w:t>
      </w:r>
      <w:r w:rsidR="00444F7B" w:rsidRPr="00694010">
        <w:rPr>
          <w:lang w:val="en-US"/>
        </w:rPr>
        <w:t>identifie</w:t>
      </w:r>
      <w:r w:rsidR="00FA05AF" w:rsidRPr="00694010">
        <w:rPr>
          <w:lang w:val="en-US"/>
        </w:rPr>
        <w:t>d</w:t>
      </w:r>
      <w:r w:rsidR="00EE4520" w:rsidRPr="00694010">
        <w:rPr>
          <w:lang w:val="en-US"/>
        </w:rPr>
        <w:t xml:space="preserve"> across all sources</w:t>
      </w:r>
      <w:bookmarkStart w:id="4" w:name="_Toc309114688"/>
      <w:r w:rsidR="00C95B29" w:rsidRPr="00694010">
        <w:rPr>
          <w:lang w:val="en-US"/>
        </w:rPr>
        <w:t>.</w:t>
      </w:r>
    </w:p>
    <w:p w14:paraId="0F1E8DEE" w14:textId="77777777" w:rsidR="000D57DA" w:rsidRPr="00694010" w:rsidRDefault="000D57DA">
      <w:pPr>
        <w:spacing w:line="276" w:lineRule="auto"/>
        <w:rPr>
          <w:rFonts w:asciiTheme="majorHAnsi" w:eastAsiaTheme="majorEastAsia" w:hAnsiTheme="majorHAnsi" w:cstheme="majorBidi"/>
          <w:bCs/>
          <w:color w:val="000000" w:themeColor="text2"/>
          <w:sz w:val="32"/>
          <w:szCs w:val="28"/>
          <w:lang w:val="en-US"/>
        </w:rPr>
      </w:pPr>
      <w:r w:rsidRPr="00694010">
        <w:rPr>
          <w:lang w:val="en-US"/>
        </w:rPr>
        <w:br w:type="page"/>
      </w:r>
    </w:p>
    <w:p w14:paraId="276CE8FE" w14:textId="503B5451" w:rsidR="0025610E" w:rsidRPr="00694010" w:rsidRDefault="0025610E" w:rsidP="0025610E">
      <w:pPr>
        <w:pStyle w:val="Heading1Nonumber"/>
        <w:rPr>
          <w:lang w:val="en-US"/>
        </w:rPr>
      </w:pPr>
      <w:r w:rsidRPr="00694010">
        <w:rPr>
          <w:lang w:val="en-US"/>
        </w:rPr>
        <w:lastRenderedPageBreak/>
        <w:t>References</w:t>
      </w:r>
    </w:p>
    <w:bookmarkEnd w:id="4"/>
    <w:p w14:paraId="3075EEF4" w14:textId="1D4A3CD1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 xml:space="preserve">Robert C, Schachter J, Long GV, Arance A, </w:t>
      </w:r>
      <w:r w:rsidR="00157C2A" w:rsidRPr="00694010">
        <w:rPr>
          <w:noProof/>
          <w:lang w:val="en-US"/>
        </w:rPr>
        <w:t xml:space="preserve">Grob JJ, Mortier L,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Pembrolizumab versus Ipilimumab in Advanced Melanoma. N Engl J Med 2015; 372:2521-32.</w:t>
      </w:r>
    </w:p>
    <w:p w14:paraId="1F474BA3" w14:textId="2F0CA367" w:rsidR="00477DDB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Robert C, Long GV, Brady B, Dutriaux C,</w:t>
      </w:r>
      <w:r w:rsidR="00157C2A" w:rsidRPr="00694010">
        <w:rPr>
          <w:noProof/>
          <w:lang w:val="en-US"/>
        </w:rPr>
        <w:t xml:space="preserve"> Maio M, Mortier L,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Nivolumab in previously untreated melanoma without BRAF mutation. N Engl J Med 2015; 372:320-30.</w:t>
      </w:r>
    </w:p>
    <w:p w14:paraId="078D3D0C" w14:textId="34D10657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 xml:space="preserve">Long G, Atkinson V, Ascierto P, </w:t>
      </w:r>
      <w:r w:rsidR="003840C1" w:rsidRPr="00694010">
        <w:rPr>
          <w:noProof/>
          <w:lang w:val="en-US"/>
        </w:rPr>
        <w:t>Nutriaux C, Maio M, Mortier L,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Nivolumab improved survival vs dacarbazine in patients with untreated advanced melanoma. Journal of Translational Medicine 2015; 13 (Suppl 1):O6.</w:t>
      </w:r>
    </w:p>
    <w:p w14:paraId="76520A9D" w14:textId="27317142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Larkin J, Chiarion-Sileni V, Gonzalez R, Grob JJ</w:t>
      </w:r>
      <w:r w:rsidR="00E06CC9" w:rsidRPr="00694010">
        <w:rPr>
          <w:noProof/>
          <w:lang w:val="en-US"/>
        </w:rPr>
        <w:t>, Cowey CL, Lao CD</w:t>
      </w:r>
      <w:r w:rsidRPr="00694010">
        <w:rPr>
          <w:noProof/>
          <w:lang w:val="en-US"/>
        </w:rPr>
        <w:t xml:space="preserve">,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Combined Nivolumab and Ipilimumab or Monotherapy in Untreated Melanoma. N Engl J Med 2015; 373:23-34.</w:t>
      </w:r>
    </w:p>
    <w:p w14:paraId="4D8AA503" w14:textId="79E91D89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Postow MA, Chesney J, Pavlick AC, Robert C,</w:t>
      </w:r>
      <w:r w:rsidR="00677028" w:rsidRPr="00694010">
        <w:rPr>
          <w:noProof/>
          <w:lang w:val="en-US"/>
        </w:rPr>
        <w:t xml:space="preserve"> Grossmann K, McDermott D,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Nivolumab and ipilimumab versus ipilimumab in untreated melanoma. N Engl J Med 2015; 372:2006-17.</w:t>
      </w:r>
    </w:p>
    <w:p w14:paraId="6B62B9FA" w14:textId="4D08ACA1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Hodi FS, O'Day SJ, McDermott DF, Weber RW,</w:t>
      </w:r>
      <w:r w:rsidR="00677028" w:rsidRPr="00694010">
        <w:rPr>
          <w:noProof/>
          <w:lang w:val="en-US"/>
        </w:rPr>
        <w:t xml:space="preserve"> Sosman JA, Haanen JB,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Improved survival with ipilimumab in patients with metastatic melanoma. N Engl J Med 2010; 363:711-23.</w:t>
      </w:r>
    </w:p>
    <w:p w14:paraId="04793A96" w14:textId="64058D2C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McDermott D, Haanen J, Chen TT, Lorigan P,</w:t>
      </w:r>
      <w:r w:rsidR="00061583" w:rsidRPr="00694010">
        <w:rPr>
          <w:noProof/>
          <w:lang w:val="en-US"/>
        </w:rPr>
        <w:t xml:space="preserve"> O’day S, and MDX010-20 investigators</w:t>
      </w:r>
      <w:r w:rsidRPr="00694010">
        <w:rPr>
          <w:noProof/>
          <w:lang w:val="en-US"/>
        </w:rPr>
        <w:t>. Efficacy and safety of ipilimumab in metastatic melanoma patients surviving more than 2 years following treatment in a phase III trial (MDX010-20). Ann Oncol 2013; 24:2694-8.</w:t>
      </w:r>
    </w:p>
    <w:p w14:paraId="20578D2F" w14:textId="600DF258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Chapman PB, Hauschild A, Robert C, Haanen JB,</w:t>
      </w:r>
      <w:r w:rsidR="00061583" w:rsidRPr="00694010">
        <w:rPr>
          <w:noProof/>
          <w:lang w:val="en-US"/>
        </w:rPr>
        <w:t xml:space="preserve"> Ascierto P, Larkin J,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Improved survival with vemurafenib in melanoma with BRAF V600E mutation. N Engl J Med 2011; 364:2507-16.</w:t>
      </w:r>
    </w:p>
    <w:p w14:paraId="74944964" w14:textId="17F04068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McArthur GA, Chapman PB, Robert C, Larkin J,</w:t>
      </w:r>
      <w:r w:rsidR="00694F54" w:rsidRPr="00694010">
        <w:rPr>
          <w:noProof/>
          <w:lang w:val="en-US"/>
        </w:rPr>
        <w:t xml:space="preserve"> Haanen JB, Dummer R,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Safety and efficacy of vemurafenib in BRAF(V600E) and BRAF(V600K) mutation-positive melanoma (BRIM-3): extended follow-up of a phase 3, randomised, open-label study. Lancet Oncol 2014; 15:323-32.</w:t>
      </w:r>
    </w:p>
    <w:p w14:paraId="7382E8BE" w14:textId="5E1CFA7D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Hauschild A, McArthur G, Robert C, Larkin J,</w:t>
      </w:r>
      <w:r w:rsidR="00B31A73" w:rsidRPr="00694010">
        <w:rPr>
          <w:noProof/>
          <w:lang w:val="en-US"/>
        </w:rPr>
        <w:t xml:space="preserve"> Haanen J, Ribas A,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Vemurafenib Improves Overall Survival Compared With Dacarbazine in Advanced BRAFV600-Mutated Melanoma: Updated Results From a Phase 3 Randomized, Multicenter Trial. Presented at the 10th International Meeting of the Society for Melanoma Research; November 17-20, 2013; Philadelphia, Pennsylvania,.</w:t>
      </w:r>
    </w:p>
    <w:p w14:paraId="704D7000" w14:textId="414C0108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lastRenderedPageBreak/>
        <w:t>Hauschild A, Grob JJ, Demidov LV, Jouary T,</w:t>
      </w:r>
      <w:r w:rsidR="00B31A73" w:rsidRPr="00694010">
        <w:rPr>
          <w:noProof/>
          <w:lang w:val="en-US"/>
        </w:rPr>
        <w:t xml:space="preserve"> Gutzmer R, Millward M,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Dabrafenib in BRAF-mutated metastatic melanoma: a multicentre, open-label, phase 3 randomised controlled trial. Lancet 2012; 380:358-65.</w:t>
      </w:r>
    </w:p>
    <w:p w14:paraId="292874A9" w14:textId="44AFEE63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Hauschild A, Grob J, Demidov L, Jouary T,</w:t>
      </w:r>
      <w:r w:rsidR="00B31A73" w:rsidRPr="00694010">
        <w:rPr>
          <w:noProof/>
          <w:lang w:val="en-US"/>
        </w:rPr>
        <w:t xml:space="preserve"> </w:t>
      </w:r>
      <w:r w:rsidR="005544C4" w:rsidRPr="00694010">
        <w:rPr>
          <w:noProof/>
          <w:lang w:val="en-US"/>
        </w:rPr>
        <w:t>Gutzmer R, Millward M,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An update on BREAK-3, a phase III, randomized trial: Dabrafenib (DAB) versus dacarbazine (DTIC) in patients with BRAF V600E-positive mutation metastatic melanoma (MM),. Journal of Clinical Oncology 2013; 31:(suppl; abstr 9013).</w:t>
      </w:r>
    </w:p>
    <w:p w14:paraId="50DCFE28" w14:textId="6BA6E7A9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Hauschild A, Grob J, Demidov L, Jouary T,</w:t>
      </w:r>
      <w:r w:rsidR="00734CD0" w:rsidRPr="00694010">
        <w:rPr>
          <w:noProof/>
          <w:lang w:val="en-US"/>
        </w:rPr>
        <w:t xml:space="preserve"> Gutzmer R, Millward M,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="008038F7" w:rsidRPr="00694010">
        <w:rPr>
          <w:noProof/>
          <w:lang w:val="en-US"/>
        </w:rPr>
        <w:t>. An U</w:t>
      </w:r>
      <w:r w:rsidRPr="00694010">
        <w:rPr>
          <w:noProof/>
          <w:lang w:val="en-US"/>
        </w:rPr>
        <w:t xml:space="preserve">pdate on </w:t>
      </w:r>
      <w:r w:rsidR="008038F7" w:rsidRPr="00694010">
        <w:rPr>
          <w:noProof/>
          <w:lang w:val="en-US"/>
        </w:rPr>
        <w:t xml:space="preserve">Overall Survival (OS) and Follow-On Therapies </w:t>
      </w:r>
      <w:r w:rsidR="00714F48" w:rsidRPr="00694010">
        <w:rPr>
          <w:noProof/>
          <w:lang w:val="en-US"/>
        </w:rPr>
        <w:t>I</w:t>
      </w:r>
      <w:r w:rsidR="008038F7" w:rsidRPr="00694010">
        <w:rPr>
          <w:noProof/>
          <w:lang w:val="en-US"/>
        </w:rPr>
        <w:t>n BREAK-3</w:t>
      </w:r>
      <w:r w:rsidR="00714F48" w:rsidRPr="00694010">
        <w:rPr>
          <w:noProof/>
          <w:lang w:val="en-US"/>
        </w:rPr>
        <w:t>, a Phase III, Randomized Trial:</w:t>
      </w:r>
      <w:r w:rsidR="008038F7" w:rsidRPr="00694010">
        <w:rPr>
          <w:noProof/>
          <w:lang w:val="en-US"/>
        </w:rPr>
        <w:t xml:space="preserve"> Dabrafenib </w:t>
      </w:r>
      <w:r w:rsidRPr="00694010">
        <w:rPr>
          <w:noProof/>
          <w:lang w:val="en-US"/>
        </w:rPr>
        <w:t>(</w:t>
      </w:r>
      <w:r w:rsidR="008038F7" w:rsidRPr="00694010">
        <w:rPr>
          <w:noProof/>
          <w:lang w:val="en-US"/>
        </w:rPr>
        <w:t>D</w:t>
      </w:r>
      <w:r w:rsidR="00714F48" w:rsidRPr="00694010">
        <w:rPr>
          <w:noProof/>
          <w:lang w:val="en-US"/>
        </w:rPr>
        <w:t>) vs. Dacarbazine (DTIC) in P</w:t>
      </w:r>
      <w:r w:rsidRPr="00694010">
        <w:rPr>
          <w:noProof/>
          <w:lang w:val="en-US"/>
        </w:rPr>
        <w:t>at</w:t>
      </w:r>
      <w:r w:rsidR="008038F7" w:rsidRPr="00694010">
        <w:rPr>
          <w:noProof/>
          <w:lang w:val="en-US"/>
        </w:rPr>
        <w:t>ients</w:t>
      </w:r>
      <w:r w:rsidR="00714F48" w:rsidRPr="00694010">
        <w:rPr>
          <w:noProof/>
          <w:lang w:val="en-US"/>
        </w:rPr>
        <w:t xml:space="preserve"> (pts)</w:t>
      </w:r>
      <w:r w:rsidR="008038F7" w:rsidRPr="00694010">
        <w:rPr>
          <w:noProof/>
          <w:lang w:val="en-US"/>
        </w:rPr>
        <w:t xml:space="preserve"> with BRAF V600E M</w:t>
      </w:r>
      <w:r w:rsidRPr="00694010">
        <w:rPr>
          <w:noProof/>
          <w:lang w:val="en-US"/>
        </w:rPr>
        <w:t>utation</w:t>
      </w:r>
      <w:r w:rsidR="00714F48" w:rsidRPr="00694010">
        <w:rPr>
          <w:noProof/>
          <w:lang w:val="en-US"/>
        </w:rPr>
        <w:t>-Posit</w:t>
      </w:r>
      <w:r w:rsidR="008038F7" w:rsidRPr="00694010">
        <w:rPr>
          <w:noProof/>
          <w:lang w:val="en-US"/>
        </w:rPr>
        <w:t>i</w:t>
      </w:r>
      <w:r w:rsidR="00714F48" w:rsidRPr="00694010">
        <w:rPr>
          <w:noProof/>
          <w:lang w:val="en-US"/>
        </w:rPr>
        <w:t>v</w:t>
      </w:r>
      <w:r w:rsidR="008038F7" w:rsidRPr="00694010">
        <w:rPr>
          <w:noProof/>
          <w:lang w:val="en-US"/>
        </w:rPr>
        <w:t>e Metastatic Melanoma (MM)</w:t>
      </w:r>
      <w:r w:rsidRPr="00694010">
        <w:rPr>
          <w:noProof/>
          <w:lang w:val="en-US"/>
        </w:rPr>
        <w:t>. Presented at ESMO Annual Meeting, 29 September, 2014.</w:t>
      </w:r>
    </w:p>
    <w:p w14:paraId="03165D5E" w14:textId="2458343B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Grob J, Demidov L, Jouary T, Gutzmer R,</w:t>
      </w:r>
      <w:r w:rsidR="00E83B0D" w:rsidRPr="00694010">
        <w:rPr>
          <w:noProof/>
          <w:lang w:val="en-US"/>
        </w:rPr>
        <w:t xml:space="preserve"> Millward M, Rutkowski P,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A Landmark Analysis of 3-year Overall Survival (OS) and Follow-On Therapies in BREAK-3, a Phase III, Randomized Trial: Dabrafenib vs. Dacarbazine (DTIC) in Patients (pts) with BRAF V600E Mutation-Positive Metastatic Melanoma. Presented at Society for Melanoma Research congress, 13-16 November 2014, Zurich, Switzerland.</w:t>
      </w:r>
    </w:p>
    <w:p w14:paraId="73535EE3" w14:textId="12979EA6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Flaherty KT, Robert C, Hersey P, Nathan P,</w:t>
      </w:r>
      <w:r w:rsidR="00AB6A6D" w:rsidRPr="00694010">
        <w:rPr>
          <w:noProof/>
          <w:lang w:val="en-US"/>
        </w:rPr>
        <w:t xml:space="preserve"> Garbe C, Milhem M,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Improved survival with MEK inhibition in BRAF-mutated melanoma. N Engl J Med 2012; 367:107-14.</w:t>
      </w:r>
    </w:p>
    <w:p w14:paraId="0B00618A" w14:textId="206BA8F3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Long GV, Stroyakovskiy D, Gogas H, Levchenko E,</w:t>
      </w:r>
      <w:r w:rsidR="00AB6A6D" w:rsidRPr="00694010">
        <w:rPr>
          <w:noProof/>
          <w:lang w:val="en-US"/>
        </w:rPr>
        <w:t xml:space="preserve"> de Braud F, Larkin J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Combined BRAF and MEK inhibition versus BRAF inhibition alone in melanoma. N Engl J Med 2014; 371:1877-88.</w:t>
      </w:r>
    </w:p>
    <w:p w14:paraId="0D1837FF" w14:textId="112CE74E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Long GV, Stroyakovskiy D, Gogas H, Levchenko E,</w:t>
      </w:r>
      <w:r w:rsidR="00AB6A6D" w:rsidRPr="00694010">
        <w:rPr>
          <w:noProof/>
          <w:lang w:val="en-US"/>
        </w:rPr>
        <w:t xml:space="preserve"> de Braud F, Larkin J,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Dabrafenib and trametinib versus dabrafenib and placebo for Val600 BRAF-mutant melanoma: a multicentre, double-blind, phase 3 randomised controlled trial. Lancet 2015; 386:444-51.</w:t>
      </w:r>
    </w:p>
    <w:p w14:paraId="3CB3BDAA" w14:textId="093200DE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Flaherty KT, Infante JR, Daud A, Gonzalez R,</w:t>
      </w:r>
      <w:r w:rsidR="00486D8E" w:rsidRPr="00694010">
        <w:rPr>
          <w:noProof/>
          <w:lang w:val="en-US"/>
        </w:rPr>
        <w:t xml:space="preserve"> Kefford RF, Sosman J,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Combined BRAF and MEK inhibition in melanoma with BRAF V600 mutations. N Engl J Med 2012; 367:1694-703.</w:t>
      </w:r>
    </w:p>
    <w:p w14:paraId="155C7442" w14:textId="3DECB5CA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Robert C, Karaszewska B, Schachter J, Rutkowski P,</w:t>
      </w:r>
      <w:r w:rsidR="00486D8E" w:rsidRPr="00694010">
        <w:rPr>
          <w:noProof/>
          <w:lang w:val="en-US"/>
        </w:rPr>
        <w:t xml:space="preserve"> Mackiewicz A, Stroiakovski D,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Improved overall survival in melanoma with combined dabrafenib and trametinib. N Engl J Med 2015; 372:30-9.</w:t>
      </w:r>
    </w:p>
    <w:p w14:paraId="7EBB5926" w14:textId="5805D751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Eisenhauer EA, Therasse P, Bogaerts J, Schwartz LH,</w:t>
      </w:r>
      <w:r w:rsidR="00F310E5" w:rsidRPr="00694010">
        <w:rPr>
          <w:noProof/>
          <w:lang w:val="en-US"/>
        </w:rPr>
        <w:t xml:space="preserve"> Sargent D, Ford R,</w:t>
      </w:r>
      <w:r w:rsidRPr="00694010">
        <w:rPr>
          <w:noProof/>
          <w:lang w:val="en-US"/>
        </w:rPr>
        <w:t xml:space="preserve"> </w:t>
      </w:r>
      <w:r w:rsidR="000E22BE"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New response evaluation criteria in solid tumours: revised RECIST guideline (version 1.1). Eur J Cancer 2009; 45:228-47.</w:t>
      </w:r>
    </w:p>
    <w:p w14:paraId="741F2E87" w14:textId="77777777" w:rsidR="006002AF" w:rsidRPr="00694010" w:rsidRDefault="006002AF" w:rsidP="006002AF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lastRenderedPageBreak/>
        <w:t>Dummer R, Hauschild A, Guggenheim M, Keilholz U, Pentheroudakis G. Cutaneous melanoma: ESMO Clinical Practice Guidelines for diagnosis, treatment and follow-up. Ann Oncol 2012; 23 Suppl 7:vii86-91.</w:t>
      </w:r>
    </w:p>
    <w:p w14:paraId="19FF8001" w14:textId="77777777" w:rsidR="006002AF" w:rsidRPr="00694010" w:rsidRDefault="006002AF" w:rsidP="006002AF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 xml:space="preserve">Garbe C, Peris K, Hauschild A, Saiag P, Middleton M, Spatz A, </w:t>
      </w:r>
      <w:r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Diagnosis and treatment of melanoma. European consensus-based interdisciplinary guideline-Update 2012. Eur J Cancer 2012; 48:2375-90.</w:t>
      </w:r>
    </w:p>
    <w:p w14:paraId="793D79DF" w14:textId="77777777" w:rsidR="00617C40" w:rsidRPr="00694010" w:rsidRDefault="00617C40" w:rsidP="00617C40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Pflugfelder A, Kochs C, Blum A, Capellaro M, Czeschik C, Dettenborn T, et al. Malignant melanoma S3-guideline "diagnosis, therapy and follow-up of melanoma". J Dtsch Dermatol Ges 2013; 11 Suppl 6:1-116, 1-26.</w:t>
      </w:r>
    </w:p>
    <w:p w14:paraId="0399839C" w14:textId="77777777" w:rsidR="00617C40" w:rsidRPr="00694010" w:rsidRDefault="00617C40" w:rsidP="00617C40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Associazzione Italiana di Oncologia Medica AIOM. Linee guida MELANOMA. 2015 Edition. http://www.aiom.it/professionisti/documenti-scientifici/linee-guida/melanoma/1,718,1 (Accessed 10 August 2016).</w:t>
      </w:r>
    </w:p>
    <w:p w14:paraId="6820955F" w14:textId="77777777" w:rsidR="00617C40" w:rsidRPr="00694010" w:rsidRDefault="00617C40" w:rsidP="00617C40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Integraal kankercentrum Nederland KNL oncoline. Melanoom. http://oncoline.nl/melanoom. (Accessed 24 March 2016).</w:t>
      </w:r>
    </w:p>
    <w:p w14:paraId="5E805AEF" w14:textId="77777777" w:rsidR="00617C40" w:rsidRPr="00694010" w:rsidRDefault="00617C40" w:rsidP="00617C40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 xml:space="preserve">Berrocal A, Arance A, Espinosa E, Castano AG, Cao MG, Larriba JLG, </w:t>
      </w:r>
      <w:r w:rsidRPr="00694010">
        <w:rPr>
          <w:rStyle w:val="Italic"/>
          <w:lang w:val="en-US"/>
        </w:rPr>
        <w:t>et al</w:t>
      </w:r>
      <w:r w:rsidRPr="00694010">
        <w:rPr>
          <w:noProof/>
          <w:lang w:val="en-US"/>
        </w:rPr>
        <w:t>. SEOM guidelines for the management of Malignant Melanoma 2015. Clin Transl Oncol 2015; 17:1030-5.</w:t>
      </w:r>
    </w:p>
    <w:p w14:paraId="7D2D5F0F" w14:textId="77777777" w:rsidR="00617C40" w:rsidRPr="00694010" w:rsidRDefault="00617C40" w:rsidP="00617C40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Regionala cancercentrum I samverkan. National health care programs melanoma. National guidelines for treatment of malignant melanoma 2014. http://www.cancercentrum.se/globalassets/cancerdiagnoser/hud/vardprogram/natvp_malignt_melanom_rev.2015-01-19lang.pdf. (Accessed 24 March 2016).</w:t>
      </w:r>
    </w:p>
    <w:p w14:paraId="27D1B92E" w14:textId="77777777" w:rsidR="00617C40" w:rsidRPr="00694010" w:rsidRDefault="00617C40" w:rsidP="00617C40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National Comprehensive Cancer Network (NCCN). NCCN Clinical Practice Guidelines in Oncology. Melanoma Version 3.2015. www.nccn.org. (Accessed October 2015).</w:t>
      </w:r>
    </w:p>
    <w:p w14:paraId="2FABF55C" w14:textId="3EDB1B41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National Institute for Health and Care Excellence (NICE). Ipilimumab for previously untreated advanced (unresectable or metastatic) melanoma. Technology appraisal guidance. nice.org.uk/guidance/ta319. 23rd July 2014. https://www.nice.org.uk/guidance/ta319/resources/ipilimumab-for-previously-untreated-advanced-unresectable-or-metastatic-melanoma-82602434841541 (Accessed 10th August 2016).</w:t>
      </w:r>
    </w:p>
    <w:p w14:paraId="75053F23" w14:textId="76B16673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 xml:space="preserve">National Institute for Health and Care Excellence (NICE). Dabrafenib for treating unresectable or metastatic BRAF V600 mutation-positive melanoma. Technology appraisal guidance. nice.org.uk/guidance/ta321. 22nd October 2014. </w:t>
      </w:r>
      <w:r w:rsidRPr="00694010">
        <w:rPr>
          <w:noProof/>
          <w:lang w:val="en-US"/>
        </w:rPr>
        <w:lastRenderedPageBreak/>
        <w:t>https://www.nice.org.uk/guidance/ta321/resources/dabrafenib-for-treating-unresectable-or-metastatic-brafv600-mutationpositive-melanoma-82602481870789 (Accessed 10th August 2016).</w:t>
      </w:r>
    </w:p>
    <w:p w14:paraId="1AE8C2D8" w14:textId="0EB441D1" w:rsidR="001F04F1" w:rsidRPr="00694010" w:rsidRDefault="001F04F1" w:rsidP="002E6EAD">
      <w:pPr>
        <w:pStyle w:val="ReferenceBodyText"/>
        <w:numPr>
          <w:ilvl w:val="0"/>
          <w:numId w:val="20"/>
        </w:numPr>
        <w:ind w:left="357" w:hanging="357"/>
        <w:rPr>
          <w:noProof/>
          <w:lang w:val="en-US"/>
        </w:rPr>
      </w:pPr>
      <w:r w:rsidRPr="00694010">
        <w:rPr>
          <w:noProof/>
          <w:lang w:val="en-US"/>
        </w:rPr>
        <w:t>National Institute for Health and Care Excellence (NICE). Pembrolizumab for treating advanced melanoma after disease progression with ipilimumab. Technology appraisal guidance. nice.org.uk/guidance/ta357. 7th October 2015. https://www.nice.org.uk/guidance/ta357/resources/pembrolizumab-for-treating-advanced-melanoma-after-disease-progression-with-ipilimumab-82602673347013 (Accessed 10th August 2016).</w:t>
      </w:r>
    </w:p>
    <w:p w14:paraId="3C6CDC45" w14:textId="77777777" w:rsidR="00AA4D9C" w:rsidRPr="00694010" w:rsidRDefault="00AA4D9C" w:rsidP="00477DDB">
      <w:pPr>
        <w:pStyle w:val="ListParagraph"/>
        <w:numPr>
          <w:ilvl w:val="0"/>
          <w:numId w:val="20"/>
        </w:numPr>
        <w:rPr>
          <w:sz w:val="20"/>
          <w:lang w:val="en-US"/>
        </w:rPr>
      </w:pPr>
      <w:r w:rsidRPr="00694010">
        <w:rPr>
          <w:lang w:val="en-US"/>
        </w:rPr>
        <w:br w:type="page"/>
      </w:r>
    </w:p>
    <w:p w14:paraId="55463119" w14:textId="748D995B" w:rsidR="007E7182" w:rsidRPr="00694010" w:rsidRDefault="00AA4D9C" w:rsidP="00AA4D9C">
      <w:pPr>
        <w:pStyle w:val="Heading1"/>
        <w:rPr>
          <w:lang w:val="en-US"/>
        </w:rPr>
      </w:pPr>
      <w:bookmarkStart w:id="5" w:name="_Ref494201420"/>
      <w:r w:rsidRPr="00694010">
        <w:rPr>
          <w:lang w:val="en-US"/>
        </w:rPr>
        <w:lastRenderedPageBreak/>
        <w:t>Tables</w:t>
      </w:r>
      <w:bookmarkEnd w:id="5"/>
    </w:p>
    <w:p w14:paraId="1491ED87" w14:textId="302524D4" w:rsidR="00C20158" w:rsidRPr="00694010" w:rsidRDefault="00450A07" w:rsidP="00C20158">
      <w:pPr>
        <w:pStyle w:val="Caption"/>
        <w:rPr>
          <w:lang w:val="en-US"/>
        </w:rPr>
      </w:pPr>
      <w:r w:rsidRPr="00694010">
        <w:rPr>
          <w:lang w:val="en-US"/>
        </w:rPr>
        <w:t xml:space="preserve">Supplementary </w:t>
      </w:r>
      <w:r w:rsidR="00ED70B2" w:rsidRPr="00694010">
        <w:rPr>
          <w:lang w:val="en-US"/>
        </w:rPr>
        <w:t xml:space="preserve">table </w:t>
      </w:r>
      <w:r w:rsidR="00694010" w:rsidRPr="00694010">
        <w:rPr>
          <w:lang w:val="en-US"/>
        </w:rPr>
        <w:fldChar w:fldCharType="begin"/>
      </w:r>
      <w:r w:rsidR="00694010" w:rsidRPr="00694010">
        <w:rPr>
          <w:lang w:val="en-US"/>
        </w:rPr>
        <w:instrText xml:space="preserve"> SEQ Supplementary_appendix \* ARABIC </w:instrText>
      </w:r>
      <w:r w:rsidR="00694010" w:rsidRPr="00694010">
        <w:rPr>
          <w:lang w:val="en-US"/>
        </w:rPr>
        <w:fldChar w:fldCharType="separate"/>
      </w:r>
      <w:r w:rsidR="006A005D" w:rsidRPr="00694010">
        <w:rPr>
          <w:noProof/>
          <w:lang w:val="en-US"/>
        </w:rPr>
        <w:t>1</w:t>
      </w:r>
      <w:r w:rsidR="00694010" w:rsidRPr="00694010">
        <w:rPr>
          <w:noProof/>
          <w:lang w:val="en-US"/>
        </w:rPr>
        <w:fldChar w:fldCharType="end"/>
      </w:r>
      <w:bookmarkStart w:id="6" w:name="_Toc428558120"/>
      <w:r w:rsidR="00C20158" w:rsidRPr="00694010">
        <w:rPr>
          <w:lang w:val="en-US"/>
        </w:rPr>
        <w:t xml:space="preserve"> Search strategy for Embase and MEDLINE via </w:t>
      </w:r>
      <w:bookmarkEnd w:id="6"/>
      <w:r w:rsidR="00C20158" w:rsidRPr="00694010">
        <w:rPr>
          <w:lang w:val="en-US"/>
        </w:rPr>
        <w:t>Ovid</w:t>
      </w:r>
    </w:p>
    <w:tbl>
      <w:tblPr>
        <w:tblStyle w:val="PRMATableAccent3"/>
        <w:tblW w:w="0" w:type="auto"/>
        <w:tblLook w:val="04A0" w:firstRow="1" w:lastRow="0" w:firstColumn="1" w:lastColumn="0" w:noHBand="0" w:noVBand="1"/>
      </w:tblPr>
      <w:tblGrid>
        <w:gridCol w:w="800"/>
        <w:gridCol w:w="7089"/>
        <w:gridCol w:w="1127"/>
      </w:tblGrid>
      <w:tr w:rsidR="004C4387" w:rsidRPr="00694010" w14:paraId="5DB7AAD6" w14:textId="77777777" w:rsidTr="00646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tcW w:w="800" w:type="dxa"/>
            <w:noWrap/>
          </w:tcPr>
          <w:p w14:paraId="110CE856" w14:textId="2DEAA902" w:rsidR="004C4387" w:rsidRPr="00694010" w:rsidRDefault="004C4387" w:rsidP="00B33CCA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Line</w:t>
            </w:r>
          </w:p>
        </w:tc>
        <w:tc>
          <w:tcPr>
            <w:tcW w:w="7089" w:type="dxa"/>
          </w:tcPr>
          <w:p w14:paraId="3739F3A0" w14:textId="77777777" w:rsidR="004C4387" w:rsidRPr="00694010" w:rsidRDefault="004C4387" w:rsidP="00B33CCA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Search term</w:t>
            </w:r>
          </w:p>
        </w:tc>
        <w:tc>
          <w:tcPr>
            <w:tcW w:w="1127" w:type="dxa"/>
            <w:noWrap/>
          </w:tcPr>
          <w:p w14:paraId="4544066F" w14:textId="77777777" w:rsidR="004C4387" w:rsidRPr="00694010" w:rsidRDefault="004C4387" w:rsidP="00B33CCA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Results</w:t>
            </w:r>
          </w:p>
        </w:tc>
      </w:tr>
      <w:tr w:rsidR="004C4387" w:rsidRPr="00694010" w14:paraId="0EA4B350" w14:textId="77777777" w:rsidTr="006460A5">
        <w:trPr>
          <w:trHeight w:val="296"/>
        </w:trPr>
        <w:tc>
          <w:tcPr>
            <w:tcW w:w="800" w:type="dxa"/>
            <w:noWrap/>
          </w:tcPr>
          <w:p w14:paraId="6A21BDC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</w:t>
            </w:r>
          </w:p>
        </w:tc>
        <w:tc>
          <w:tcPr>
            <w:tcW w:w="7089" w:type="dxa"/>
          </w:tcPr>
          <w:p w14:paraId="2B79E2DE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exp skin tumor/ or exp Skin Neoplasms/</w:t>
            </w:r>
          </w:p>
        </w:tc>
        <w:tc>
          <w:tcPr>
            <w:tcW w:w="1127" w:type="dxa"/>
            <w:noWrap/>
          </w:tcPr>
          <w:p w14:paraId="7E01303E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388,115</w:t>
            </w:r>
          </w:p>
        </w:tc>
      </w:tr>
      <w:tr w:rsidR="004C4387" w:rsidRPr="00694010" w14:paraId="6FFE4D04" w14:textId="77777777" w:rsidTr="006460A5">
        <w:trPr>
          <w:trHeight w:val="296"/>
        </w:trPr>
        <w:tc>
          <w:tcPr>
            <w:tcW w:w="800" w:type="dxa"/>
            <w:noWrap/>
          </w:tcPr>
          <w:p w14:paraId="5F7FB00B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</w:t>
            </w:r>
          </w:p>
        </w:tc>
        <w:tc>
          <w:tcPr>
            <w:tcW w:w="7089" w:type="dxa"/>
          </w:tcPr>
          <w:p w14:paraId="409187B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exp melanoma/</w:t>
            </w:r>
          </w:p>
        </w:tc>
        <w:tc>
          <w:tcPr>
            <w:tcW w:w="1127" w:type="dxa"/>
            <w:noWrap/>
          </w:tcPr>
          <w:p w14:paraId="2A112D29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192,233</w:t>
            </w:r>
          </w:p>
        </w:tc>
      </w:tr>
      <w:tr w:rsidR="004C4387" w:rsidRPr="00694010" w14:paraId="1434AF4F" w14:textId="77777777" w:rsidTr="006460A5">
        <w:trPr>
          <w:trHeight w:val="296"/>
        </w:trPr>
        <w:tc>
          <w:tcPr>
            <w:tcW w:w="800" w:type="dxa"/>
            <w:noWrap/>
          </w:tcPr>
          <w:p w14:paraId="09DD8B7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#3</w:t>
            </w:r>
          </w:p>
        </w:tc>
        <w:tc>
          <w:tcPr>
            <w:tcW w:w="7089" w:type="dxa"/>
          </w:tcPr>
          <w:p w14:paraId="133C1532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((skin adj neoplasm$) or (skin adj cancer$) or (skin adj tumour$) or (skin adj tumor$) or (skin adj carcinoma$) or (skin adj adenocarcinoma$) or (skin adj sarcoma$) or melanoma).ti,ab.</w:t>
            </w:r>
          </w:p>
        </w:tc>
        <w:tc>
          <w:tcPr>
            <w:tcW w:w="1127" w:type="dxa"/>
            <w:noWrap/>
          </w:tcPr>
          <w:p w14:paraId="0305E527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228,184</w:t>
            </w:r>
          </w:p>
        </w:tc>
      </w:tr>
      <w:tr w:rsidR="004C4387" w:rsidRPr="00694010" w14:paraId="5903F13B" w14:textId="77777777" w:rsidTr="006460A5">
        <w:trPr>
          <w:trHeight w:val="296"/>
        </w:trPr>
        <w:tc>
          <w:tcPr>
            <w:tcW w:w="800" w:type="dxa"/>
            <w:noWrap/>
          </w:tcPr>
          <w:p w14:paraId="44362EA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#4</w:t>
            </w:r>
          </w:p>
        </w:tc>
        <w:tc>
          <w:tcPr>
            <w:tcW w:w="7089" w:type="dxa"/>
          </w:tcPr>
          <w:p w14:paraId="6DA7F1E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1 or 2 or 3</w:t>
            </w:r>
          </w:p>
        </w:tc>
        <w:tc>
          <w:tcPr>
            <w:tcW w:w="1127" w:type="dxa"/>
            <w:noWrap/>
          </w:tcPr>
          <w:p w14:paraId="5EF78707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573,787</w:t>
            </w:r>
          </w:p>
        </w:tc>
      </w:tr>
      <w:tr w:rsidR="004C4387" w:rsidRPr="00694010" w14:paraId="62A91EF7" w14:textId="77777777" w:rsidTr="006460A5">
        <w:trPr>
          <w:trHeight w:val="296"/>
        </w:trPr>
        <w:tc>
          <w:tcPr>
            <w:tcW w:w="800" w:type="dxa"/>
            <w:noWrap/>
          </w:tcPr>
          <w:p w14:paraId="074A4E89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#5</w:t>
            </w:r>
          </w:p>
        </w:tc>
        <w:tc>
          <w:tcPr>
            <w:tcW w:w="7089" w:type="dxa"/>
          </w:tcPr>
          <w:p w14:paraId="48B3990A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(advanced or metasta$ or recurr$ or unresect$ or non-resect$ or disseminated or stage 3 or (stage adj III) or (stage adj IIIC) or (stage adj 3C) or stage 4 or (stage adj IV)).ti,ab.</w:t>
            </w:r>
          </w:p>
        </w:tc>
        <w:tc>
          <w:tcPr>
            <w:tcW w:w="1127" w:type="dxa"/>
            <w:noWrap/>
          </w:tcPr>
          <w:p w14:paraId="2D02E21C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2,388,796</w:t>
            </w:r>
          </w:p>
        </w:tc>
      </w:tr>
      <w:tr w:rsidR="004C4387" w:rsidRPr="00694010" w14:paraId="55887776" w14:textId="77777777" w:rsidTr="006460A5">
        <w:trPr>
          <w:trHeight w:val="296"/>
        </w:trPr>
        <w:tc>
          <w:tcPr>
            <w:tcW w:w="800" w:type="dxa"/>
            <w:noWrap/>
          </w:tcPr>
          <w:p w14:paraId="0D15DEEC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#6</w:t>
            </w:r>
          </w:p>
        </w:tc>
        <w:tc>
          <w:tcPr>
            <w:tcW w:w="7089" w:type="dxa"/>
          </w:tcPr>
          <w:p w14:paraId="1B15BA82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4 and 5</w:t>
            </w:r>
          </w:p>
        </w:tc>
        <w:tc>
          <w:tcPr>
            <w:tcW w:w="1127" w:type="dxa"/>
            <w:noWrap/>
          </w:tcPr>
          <w:p w14:paraId="2BA0DE9A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151,087</w:t>
            </w:r>
          </w:p>
        </w:tc>
      </w:tr>
      <w:tr w:rsidR="004C4387" w:rsidRPr="00694010" w14:paraId="546FB32F" w14:textId="77777777" w:rsidTr="006460A5">
        <w:trPr>
          <w:trHeight w:val="296"/>
        </w:trPr>
        <w:tc>
          <w:tcPr>
            <w:tcW w:w="800" w:type="dxa"/>
            <w:noWrap/>
          </w:tcPr>
          <w:p w14:paraId="6F5BC89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#7</w:t>
            </w:r>
          </w:p>
        </w:tc>
        <w:tc>
          <w:tcPr>
            <w:tcW w:w="7089" w:type="dxa"/>
          </w:tcPr>
          <w:p w14:paraId="2F2AA005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(pembrolizumab or lambrolizumab or MK3475 or MK-3475).ti,ab. </w:t>
            </w:r>
          </w:p>
        </w:tc>
        <w:tc>
          <w:tcPr>
            <w:tcW w:w="1127" w:type="dxa"/>
            <w:noWrap/>
          </w:tcPr>
          <w:p w14:paraId="1149B9F5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224</w:t>
            </w:r>
          </w:p>
        </w:tc>
      </w:tr>
      <w:tr w:rsidR="004C4387" w:rsidRPr="00694010" w14:paraId="7CBD4129" w14:textId="77777777" w:rsidTr="006460A5">
        <w:trPr>
          <w:trHeight w:val="296"/>
        </w:trPr>
        <w:tc>
          <w:tcPr>
            <w:tcW w:w="800" w:type="dxa"/>
            <w:noWrap/>
          </w:tcPr>
          <w:p w14:paraId="5C3A015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#8</w:t>
            </w:r>
          </w:p>
        </w:tc>
        <w:tc>
          <w:tcPr>
            <w:tcW w:w="7089" w:type="dxa"/>
          </w:tcPr>
          <w:p w14:paraId="38525CB1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(ipilimumab or Yervoy or CTLA-4 or CTLA4 or MDX-CTLA4 or MDX-010 or MDX-101).ti,ab.</w:t>
            </w:r>
          </w:p>
        </w:tc>
        <w:tc>
          <w:tcPr>
            <w:tcW w:w="1127" w:type="dxa"/>
            <w:noWrap/>
          </w:tcPr>
          <w:p w14:paraId="4ABAD654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14,571</w:t>
            </w:r>
          </w:p>
        </w:tc>
      </w:tr>
      <w:tr w:rsidR="004C4387" w:rsidRPr="00694010" w14:paraId="03475781" w14:textId="77777777" w:rsidTr="006460A5">
        <w:trPr>
          <w:trHeight w:val="296"/>
        </w:trPr>
        <w:tc>
          <w:tcPr>
            <w:tcW w:w="800" w:type="dxa"/>
            <w:noWrap/>
          </w:tcPr>
          <w:p w14:paraId="0379AA46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#9</w:t>
            </w:r>
          </w:p>
        </w:tc>
        <w:tc>
          <w:tcPr>
            <w:tcW w:w="7089" w:type="dxa"/>
          </w:tcPr>
          <w:p w14:paraId="6D85F3F4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(vemurafenib or Zelboraf or PLX4032 or PLX-4032 or 1029872-54-5 or RG7204).ti,ab.</w:t>
            </w:r>
          </w:p>
        </w:tc>
        <w:tc>
          <w:tcPr>
            <w:tcW w:w="1127" w:type="dxa"/>
            <w:noWrap/>
          </w:tcPr>
          <w:p w14:paraId="46ECBE24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2,845</w:t>
            </w:r>
          </w:p>
        </w:tc>
      </w:tr>
      <w:tr w:rsidR="004C4387" w:rsidRPr="00694010" w14:paraId="04613B5D" w14:textId="77777777" w:rsidTr="006460A5">
        <w:trPr>
          <w:trHeight w:val="296"/>
        </w:trPr>
        <w:tc>
          <w:tcPr>
            <w:tcW w:w="800" w:type="dxa"/>
            <w:noWrap/>
          </w:tcPr>
          <w:p w14:paraId="62F49CF8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#10</w:t>
            </w:r>
          </w:p>
        </w:tc>
        <w:tc>
          <w:tcPr>
            <w:tcW w:w="7089" w:type="dxa"/>
          </w:tcPr>
          <w:p w14:paraId="5D36BD45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(dabrafenib or Tafinlar or GSK2118436 or GSK-2118436 or GSK2118436A or GSK-2118436A or 1195765-45-7).ti,ab.</w:t>
            </w:r>
          </w:p>
        </w:tc>
        <w:tc>
          <w:tcPr>
            <w:tcW w:w="1127" w:type="dxa"/>
            <w:noWrap/>
          </w:tcPr>
          <w:p w14:paraId="1807F57B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856</w:t>
            </w:r>
          </w:p>
        </w:tc>
      </w:tr>
      <w:tr w:rsidR="004C4387" w:rsidRPr="00694010" w14:paraId="77573E5A" w14:textId="77777777" w:rsidTr="006460A5">
        <w:trPr>
          <w:trHeight w:val="296"/>
        </w:trPr>
        <w:tc>
          <w:tcPr>
            <w:tcW w:w="800" w:type="dxa"/>
            <w:noWrap/>
          </w:tcPr>
          <w:p w14:paraId="212F23CC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#11</w:t>
            </w:r>
          </w:p>
        </w:tc>
        <w:tc>
          <w:tcPr>
            <w:tcW w:w="7089" w:type="dxa"/>
          </w:tcPr>
          <w:p w14:paraId="287D07C0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(nivolumab or anti-PD-1 or BMS-93655 or ONO-4538).ti,ab</w:t>
            </w:r>
          </w:p>
        </w:tc>
        <w:tc>
          <w:tcPr>
            <w:tcW w:w="1127" w:type="dxa"/>
            <w:noWrap/>
          </w:tcPr>
          <w:p w14:paraId="5F9F24E5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1,014</w:t>
            </w:r>
          </w:p>
        </w:tc>
      </w:tr>
      <w:tr w:rsidR="004C4387" w:rsidRPr="00694010" w14:paraId="0089D3CE" w14:textId="77777777" w:rsidTr="006460A5">
        <w:trPr>
          <w:trHeight w:val="296"/>
        </w:trPr>
        <w:tc>
          <w:tcPr>
            <w:tcW w:w="800" w:type="dxa"/>
            <w:noWrap/>
          </w:tcPr>
          <w:p w14:paraId="690008B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#12</w:t>
            </w:r>
          </w:p>
        </w:tc>
        <w:tc>
          <w:tcPr>
            <w:tcW w:w="7089" w:type="dxa"/>
          </w:tcPr>
          <w:p w14:paraId="415C393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(trametinib or Mekinist or GSK1120212 OR GSK-1120212).ti,ab.</w:t>
            </w:r>
          </w:p>
        </w:tc>
        <w:tc>
          <w:tcPr>
            <w:tcW w:w="1127" w:type="dxa"/>
            <w:noWrap/>
          </w:tcPr>
          <w:p w14:paraId="0A0BC4CE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719</w:t>
            </w:r>
          </w:p>
        </w:tc>
      </w:tr>
      <w:tr w:rsidR="004C4387" w:rsidRPr="00694010" w14:paraId="1C68A0A5" w14:textId="77777777" w:rsidTr="006460A5">
        <w:trPr>
          <w:trHeight w:val="296"/>
        </w:trPr>
        <w:tc>
          <w:tcPr>
            <w:tcW w:w="800" w:type="dxa"/>
            <w:noWrap/>
          </w:tcPr>
          <w:p w14:paraId="428F2575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#13</w:t>
            </w:r>
          </w:p>
        </w:tc>
        <w:tc>
          <w:tcPr>
            <w:tcW w:w="7089" w:type="dxa"/>
          </w:tcPr>
          <w:p w14:paraId="089CC60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(temozolomide or Temodar or Temodal or Temcad or ccrg 81045 or ccrg81045 or mb 39831 or mb39831 or nsc 362856 or nsc362856).ti,ab.</w:t>
            </w:r>
          </w:p>
        </w:tc>
        <w:tc>
          <w:tcPr>
            <w:tcW w:w="1127" w:type="dxa"/>
            <w:noWrap/>
          </w:tcPr>
          <w:p w14:paraId="01650B21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11,711</w:t>
            </w:r>
          </w:p>
        </w:tc>
      </w:tr>
      <w:tr w:rsidR="004C4387" w:rsidRPr="00694010" w14:paraId="2B7D7B43" w14:textId="77777777" w:rsidTr="006460A5">
        <w:trPr>
          <w:trHeight w:val="296"/>
        </w:trPr>
        <w:tc>
          <w:tcPr>
            <w:tcW w:w="800" w:type="dxa"/>
            <w:noWrap/>
          </w:tcPr>
          <w:p w14:paraId="74E7A17F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#14</w:t>
            </w:r>
          </w:p>
        </w:tc>
        <w:tc>
          <w:tcPr>
            <w:tcW w:w="7089" w:type="dxa"/>
          </w:tcPr>
          <w:p w14:paraId="752B7C62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(dacarbazine or dacarbazin$ or DTIC or nsc 45388 or nsc45388 or deticene or imidazole carboxamide or 4342-03-4).ti,ab. </w:t>
            </w:r>
          </w:p>
        </w:tc>
        <w:tc>
          <w:tcPr>
            <w:tcW w:w="1127" w:type="dxa"/>
            <w:noWrap/>
          </w:tcPr>
          <w:p w14:paraId="204FABC5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7,041</w:t>
            </w:r>
          </w:p>
        </w:tc>
      </w:tr>
      <w:tr w:rsidR="004C4387" w:rsidRPr="00694010" w14:paraId="4A41041B" w14:textId="77777777" w:rsidTr="006460A5">
        <w:trPr>
          <w:trHeight w:val="296"/>
        </w:trPr>
        <w:tc>
          <w:tcPr>
            <w:tcW w:w="800" w:type="dxa"/>
            <w:noWrap/>
          </w:tcPr>
          <w:p w14:paraId="07EE72E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#15</w:t>
            </w:r>
          </w:p>
        </w:tc>
        <w:tc>
          <w:tcPr>
            <w:tcW w:w="7089" w:type="dxa"/>
          </w:tcPr>
          <w:p w14:paraId="61BA351F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(IL-2 or interleukin-2 or IL2 or interleukine 2 or Ro-23-6019 or Ro 23 6019 or Ro236019 or Ro-236019 or Ro 236019 or RU 49637 or RU-49637 or RU49637 or aldesleukin or Proleukin or Interking or denileukin diftitox or Ontak).ti,ab.</w:t>
            </w:r>
          </w:p>
        </w:tc>
        <w:tc>
          <w:tcPr>
            <w:tcW w:w="1127" w:type="dxa"/>
            <w:noWrap/>
          </w:tcPr>
          <w:p w14:paraId="3F94CB1E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135,655</w:t>
            </w:r>
          </w:p>
        </w:tc>
      </w:tr>
      <w:tr w:rsidR="004C4387" w:rsidRPr="00694010" w14:paraId="35895053" w14:textId="77777777" w:rsidTr="006460A5">
        <w:trPr>
          <w:trHeight w:val="296"/>
        </w:trPr>
        <w:tc>
          <w:tcPr>
            <w:tcW w:w="800" w:type="dxa"/>
            <w:noWrap/>
          </w:tcPr>
          <w:p w14:paraId="3B47613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#16</w:t>
            </w:r>
          </w:p>
        </w:tc>
        <w:tc>
          <w:tcPr>
            <w:tcW w:w="7089" w:type="dxa"/>
          </w:tcPr>
          <w:p w14:paraId="3C6959EA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(Fotemustine or Muforan or Muphoran or Mustoforan or Mustophoran or S 10036 or S10036).ti,ab. </w:t>
            </w:r>
          </w:p>
        </w:tc>
        <w:tc>
          <w:tcPr>
            <w:tcW w:w="1127" w:type="dxa"/>
            <w:noWrap/>
          </w:tcPr>
          <w:p w14:paraId="30AB452B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820</w:t>
            </w:r>
          </w:p>
        </w:tc>
      </w:tr>
      <w:tr w:rsidR="004C4387" w:rsidRPr="00694010" w14:paraId="41A6DB21" w14:textId="77777777" w:rsidTr="006460A5">
        <w:trPr>
          <w:trHeight w:val="296"/>
        </w:trPr>
        <w:tc>
          <w:tcPr>
            <w:tcW w:w="800" w:type="dxa"/>
            <w:noWrap/>
          </w:tcPr>
          <w:p w14:paraId="6FDB417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#17</w:t>
            </w:r>
          </w:p>
        </w:tc>
        <w:tc>
          <w:tcPr>
            <w:tcW w:w="7089" w:type="dxa"/>
          </w:tcPr>
          <w:p w14:paraId="496C413C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or/7-16</w:t>
            </w:r>
          </w:p>
        </w:tc>
        <w:tc>
          <w:tcPr>
            <w:tcW w:w="1127" w:type="dxa"/>
            <w:noWrap/>
          </w:tcPr>
          <w:p w14:paraId="590F7921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169,940</w:t>
            </w:r>
          </w:p>
        </w:tc>
      </w:tr>
      <w:tr w:rsidR="004C4387" w:rsidRPr="00694010" w14:paraId="4C14524B" w14:textId="77777777" w:rsidTr="006460A5">
        <w:trPr>
          <w:trHeight w:val="296"/>
        </w:trPr>
        <w:tc>
          <w:tcPr>
            <w:tcW w:w="800" w:type="dxa"/>
            <w:noWrap/>
          </w:tcPr>
          <w:p w14:paraId="3931494B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#18</w:t>
            </w:r>
          </w:p>
        </w:tc>
        <w:tc>
          <w:tcPr>
            <w:tcW w:w="7089" w:type="dxa"/>
          </w:tcPr>
          <w:p w14:paraId="32D5A6F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exp randomized controlled trial/</w:t>
            </w:r>
          </w:p>
        </w:tc>
        <w:tc>
          <w:tcPr>
            <w:tcW w:w="1127" w:type="dxa"/>
            <w:noWrap/>
          </w:tcPr>
          <w:p w14:paraId="497296E9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787,032</w:t>
            </w:r>
          </w:p>
        </w:tc>
      </w:tr>
      <w:tr w:rsidR="004C4387" w:rsidRPr="00694010" w14:paraId="07AFFCDE" w14:textId="77777777" w:rsidTr="006460A5">
        <w:trPr>
          <w:trHeight w:val="296"/>
        </w:trPr>
        <w:tc>
          <w:tcPr>
            <w:tcW w:w="800" w:type="dxa"/>
            <w:noWrap/>
          </w:tcPr>
          <w:p w14:paraId="42A5E56E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#19</w:t>
            </w:r>
          </w:p>
        </w:tc>
        <w:tc>
          <w:tcPr>
            <w:tcW w:w="7089" w:type="dxa"/>
          </w:tcPr>
          <w:p w14:paraId="715F9329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(random* or placebo* or single blind* or double blind* or triple blind*).ti,ab,kw. </w:t>
            </w:r>
          </w:p>
        </w:tc>
        <w:tc>
          <w:tcPr>
            <w:tcW w:w="1127" w:type="dxa"/>
            <w:noWrap/>
          </w:tcPr>
          <w:p w14:paraId="7A9D82CD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1,993,976</w:t>
            </w:r>
          </w:p>
        </w:tc>
      </w:tr>
      <w:tr w:rsidR="004C4387" w:rsidRPr="00694010" w14:paraId="1E7BC353" w14:textId="77777777" w:rsidTr="006460A5">
        <w:trPr>
          <w:trHeight w:val="296"/>
        </w:trPr>
        <w:tc>
          <w:tcPr>
            <w:tcW w:w="800" w:type="dxa"/>
            <w:noWrap/>
          </w:tcPr>
          <w:p w14:paraId="0584970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#20</w:t>
            </w:r>
          </w:p>
        </w:tc>
        <w:tc>
          <w:tcPr>
            <w:tcW w:w="7089" w:type="dxa"/>
          </w:tcPr>
          <w:p w14:paraId="4AA1F0B5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18 or 19 </w:t>
            </w:r>
          </w:p>
        </w:tc>
        <w:tc>
          <w:tcPr>
            <w:tcW w:w="1127" w:type="dxa"/>
            <w:noWrap/>
          </w:tcPr>
          <w:p w14:paraId="419C2672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2,154,542</w:t>
            </w:r>
          </w:p>
        </w:tc>
      </w:tr>
      <w:tr w:rsidR="004C4387" w:rsidRPr="00694010" w14:paraId="46031CBA" w14:textId="77777777" w:rsidTr="006460A5">
        <w:trPr>
          <w:trHeight w:val="296"/>
        </w:trPr>
        <w:tc>
          <w:tcPr>
            <w:tcW w:w="800" w:type="dxa"/>
            <w:noWrap/>
          </w:tcPr>
          <w:p w14:paraId="0D010DD0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#21</w:t>
            </w:r>
          </w:p>
        </w:tc>
        <w:tc>
          <w:tcPr>
            <w:tcW w:w="7089" w:type="dxa"/>
          </w:tcPr>
          <w:p w14:paraId="7C7BA30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(animal$ not human$).sh,hw. </w:t>
            </w:r>
          </w:p>
        </w:tc>
        <w:tc>
          <w:tcPr>
            <w:tcW w:w="1127" w:type="dxa"/>
            <w:noWrap/>
          </w:tcPr>
          <w:p w14:paraId="2E2B164C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7,905,298</w:t>
            </w:r>
          </w:p>
        </w:tc>
      </w:tr>
      <w:tr w:rsidR="004C4387" w:rsidRPr="00694010" w14:paraId="682A3ACC" w14:textId="77777777" w:rsidTr="006460A5">
        <w:trPr>
          <w:trHeight w:val="296"/>
        </w:trPr>
        <w:tc>
          <w:tcPr>
            <w:tcW w:w="800" w:type="dxa"/>
            <w:noWrap/>
          </w:tcPr>
          <w:p w14:paraId="0071F17A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lastRenderedPageBreak/>
              <w:t>#22</w:t>
            </w:r>
          </w:p>
        </w:tc>
        <w:tc>
          <w:tcPr>
            <w:tcW w:w="7089" w:type="dxa"/>
          </w:tcPr>
          <w:p w14:paraId="2E4989FF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((comment or editorial or meta-analysis or practice-guideline or review or letter or journal correspondence) not "randomized controlled trial").pt. </w:t>
            </w:r>
          </w:p>
        </w:tc>
        <w:tc>
          <w:tcPr>
            <w:tcW w:w="1127" w:type="dxa"/>
            <w:noWrap/>
          </w:tcPr>
          <w:p w14:paraId="563FC9B6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6,987,719</w:t>
            </w:r>
          </w:p>
        </w:tc>
      </w:tr>
      <w:tr w:rsidR="004C4387" w:rsidRPr="00694010" w14:paraId="7E8671E1" w14:textId="77777777" w:rsidTr="006460A5">
        <w:trPr>
          <w:trHeight w:val="296"/>
        </w:trPr>
        <w:tc>
          <w:tcPr>
            <w:tcW w:w="800" w:type="dxa"/>
            <w:noWrap/>
          </w:tcPr>
          <w:p w14:paraId="371E8704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#23</w:t>
            </w:r>
          </w:p>
        </w:tc>
        <w:tc>
          <w:tcPr>
            <w:tcW w:w="7089" w:type="dxa"/>
          </w:tcPr>
          <w:p w14:paraId="292E754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(random sampl$ or random digit$ or random effect$ or random survey or random regression).ti,ab. not "randomized controlled trial".pt. </w:t>
            </w:r>
          </w:p>
        </w:tc>
        <w:tc>
          <w:tcPr>
            <w:tcW w:w="1127" w:type="dxa"/>
            <w:noWrap/>
          </w:tcPr>
          <w:p w14:paraId="7656E46F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123,241</w:t>
            </w:r>
          </w:p>
        </w:tc>
      </w:tr>
      <w:tr w:rsidR="004C4387" w:rsidRPr="00694010" w14:paraId="18C9F522" w14:textId="77777777" w:rsidTr="006460A5">
        <w:trPr>
          <w:trHeight w:val="296"/>
        </w:trPr>
        <w:tc>
          <w:tcPr>
            <w:tcW w:w="800" w:type="dxa"/>
            <w:noWrap/>
          </w:tcPr>
          <w:p w14:paraId="06CBB2D0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#24</w:t>
            </w:r>
          </w:p>
        </w:tc>
        <w:tc>
          <w:tcPr>
            <w:tcW w:w="7089" w:type="dxa"/>
          </w:tcPr>
          <w:p w14:paraId="4F978298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or/21-23</w:t>
            </w:r>
          </w:p>
        </w:tc>
        <w:tc>
          <w:tcPr>
            <w:tcW w:w="1127" w:type="dxa"/>
            <w:noWrap/>
          </w:tcPr>
          <w:p w14:paraId="0279E16E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14,688,992</w:t>
            </w:r>
          </w:p>
        </w:tc>
      </w:tr>
      <w:tr w:rsidR="004C4387" w:rsidRPr="00694010" w14:paraId="20A1F973" w14:textId="77777777" w:rsidTr="006460A5">
        <w:trPr>
          <w:trHeight w:val="296"/>
        </w:trPr>
        <w:tc>
          <w:tcPr>
            <w:tcW w:w="800" w:type="dxa"/>
            <w:noWrap/>
          </w:tcPr>
          <w:p w14:paraId="16CDC75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#25</w:t>
            </w:r>
          </w:p>
        </w:tc>
        <w:tc>
          <w:tcPr>
            <w:tcW w:w="7089" w:type="dxa"/>
          </w:tcPr>
          <w:p w14:paraId="6F65F321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20 not 24</w:t>
            </w:r>
          </w:p>
        </w:tc>
        <w:tc>
          <w:tcPr>
            <w:tcW w:w="1127" w:type="dxa"/>
            <w:noWrap/>
          </w:tcPr>
          <w:p w14:paraId="352D299B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1,631,295</w:t>
            </w:r>
          </w:p>
        </w:tc>
      </w:tr>
      <w:tr w:rsidR="004C4387" w:rsidRPr="00694010" w14:paraId="521269A9" w14:textId="77777777" w:rsidTr="006460A5">
        <w:trPr>
          <w:trHeight w:val="296"/>
        </w:trPr>
        <w:tc>
          <w:tcPr>
            <w:tcW w:w="800" w:type="dxa"/>
            <w:noWrap/>
          </w:tcPr>
          <w:p w14:paraId="00EB77F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#26</w:t>
            </w:r>
          </w:p>
        </w:tc>
        <w:tc>
          <w:tcPr>
            <w:tcW w:w="7089" w:type="dxa"/>
          </w:tcPr>
          <w:p w14:paraId="6465E145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6 and 17 and 25</w:t>
            </w:r>
          </w:p>
        </w:tc>
        <w:tc>
          <w:tcPr>
            <w:tcW w:w="1127" w:type="dxa"/>
            <w:noWrap/>
          </w:tcPr>
          <w:p w14:paraId="33800A28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1,086</w:t>
            </w:r>
          </w:p>
        </w:tc>
      </w:tr>
    </w:tbl>
    <w:p w14:paraId="2259A0FC" w14:textId="51BB7BEA" w:rsidR="006460A5" w:rsidRPr="00694010" w:rsidRDefault="006460A5" w:rsidP="006460A5">
      <w:pPr>
        <w:pStyle w:val="Footnote"/>
        <w:rPr>
          <w:lang w:val="en-US"/>
        </w:rPr>
      </w:pPr>
      <w:bookmarkStart w:id="7" w:name="_Ref464825123"/>
      <w:bookmarkStart w:id="8" w:name="_Toc428558121"/>
      <w:r w:rsidRPr="00694010">
        <w:rPr>
          <w:lang w:val="en-US"/>
        </w:rPr>
        <w:t>Search performed 27 July 2015</w:t>
      </w:r>
    </w:p>
    <w:p w14:paraId="208DA83C" w14:textId="77777777" w:rsidR="006460A5" w:rsidRPr="00694010" w:rsidRDefault="006460A5">
      <w:pPr>
        <w:spacing w:line="276" w:lineRule="auto"/>
        <w:rPr>
          <w:sz w:val="19"/>
          <w:lang w:val="en-US"/>
        </w:rPr>
      </w:pPr>
      <w:r w:rsidRPr="00694010">
        <w:rPr>
          <w:lang w:val="en-US"/>
        </w:rPr>
        <w:br w:type="page"/>
      </w:r>
    </w:p>
    <w:bookmarkEnd w:id="7"/>
    <w:bookmarkEnd w:id="8"/>
    <w:p w14:paraId="52A8FAB5" w14:textId="657ECE8F" w:rsidR="0061310D" w:rsidRPr="00694010" w:rsidRDefault="00ED70B2" w:rsidP="0061310D">
      <w:pPr>
        <w:pStyle w:val="Caption"/>
        <w:rPr>
          <w:lang w:val="en-US"/>
        </w:rPr>
      </w:pPr>
      <w:r w:rsidRPr="00694010">
        <w:rPr>
          <w:lang w:val="en-US"/>
        </w:rPr>
        <w:lastRenderedPageBreak/>
        <w:t>Supplementary table</w:t>
      </w:r>
      <w:r w:rsidR="0061310D" w:rsidRPr="00694010">
        <w:rPr>
          <w:lang w:val="en-US"/>
        </w:rPr>
        <w:t xml:space="preserve"> </w:t>
      </w:r>
      <w:r w:rsidR="00694010" w:rsidRPr="00694010">
        <w:rPr>
          <w:lang w:val="en-US"/>
        </w:rPr>
        <w:fldChar w:fldCharType="begin"/>
      </w:r>
      <w:r w:rsidR="00694010" w:rsidRPr="00694010">
        <w:rPr>
          <w:lang w:val="en-US"/>
        </w:rPr>
        <w:instrText xml:space="preserve"> SEQ Supplementary_appendix \* ARABIC </w:instrText>
      </w:r>
      <w:r w:rsidR="00694010" w:rsidRPr="00694010">
        <w:rPr>
          <w:lang w:val="en-US"/>
        </w:rPr>
        <w:fldChar w:fldCharType="separate"/>
      </w:r>
      <w:r w:rsidR="006A005D" w:rsidRPr="00694010">
        <w:rPr>
          <w:noProof/>
          <w:lang w:val="en-US"/>
        </w:rPr>
        <w:t>2</w:t>
      </w:r>
      <w:r w:rsidR="00694010" w:rsidRPr="00694010">
        <w:rPr>
          <w:noProof/>
          <w:lang w:val="en-US"/>
        </w:rPr>
        <w:fldChar w:fldCharType="end"/>
      </w:r>
      <w:r w:rsidR="0061310D" w:rsidRPr="00694010">
        <w:rPr>
          <w:lang w:val="en-US"/>
        </w:rPr>
        <w:t xml:space="preserve"> Search strategy for Cochrane Register of Controlled Trials</w:t>
      </w:r>
    </w:p>
    <w:tbl>
      <w:tblPr>
        <w:tblStyle w:val="PRMATableAccent3"/>
        <w:tblW w:w="9067" w:type="dxa"/>
        <w:tblLook w:val="04A0" w:firstRow="1" w:lastRow="0" w:firstColumn="1" w:lastColumn="0" w:noHBand="0" w:noVBand="1"/>
      </w:tblPr>
      <w:tblGrid>
        <w:gridCol w:w="805"/>
        <w:gridCol w:w="7128"/>
        <w:gridCol w:w="1134"/>
      </w:tblGrid>
      <w:tr w:rsidR="004C4387" w:rsidRPr="00694010" w14:paraId="46C84160" w14:textId="77777777" w:rsidTr="00B33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805" w:type="dxa"/>
            <w:noWrap/>
          </w:tcPr>
          <w:p w14:paraId="50F6FA3D" w14:textId="77777777" w:rsidR="004C4387" w:rsidRPr="00694010" w:rsidRDefault="004C4387" w:rsidP="00B33CCA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Line</w:t>
            </w:r>
          </w:p>
        </w:tc>
        <w:tc>
          <w:tcPr>
            <w:tcW w:w="7128" w:type="dxa"/>
            <w:noWrap/>
          </w:tcPr>
          <w:p w14:paraId="2DEAD3F9" w14:textId="77777777" w:rsidR="004C4387" w:rsidRPr="00694010" w:rsidRDefault="004C4387" w:rsidP="00B33CCA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Search term</w:t>
            </w:r>
          </w:p>
        </w:tc>
        <w:tc>
          <w:tcPr>
            <w:tcW w:w="1134" w:type="dxa"/>
            <w:noWrap/>
          </w:tcPr>
          <w:p w14:paraId="24D2D1D3" w14:textId="77777777" w:rsidR="004C4387" w:rsidRPr="00694010" w:rsidRDefault="004C4387" w:rsidP="00B33CCA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Results</w:t>
            </w:r>
          </w:p>
        </w:tc>
      </w:tr>
      <w:tr w:rsidR="004C4387" w:rsidRPr="00694010" w14:paraId="4EAF5CB5" w14:textId="77777777" w:rsidTr="00B33CCA">
        <w:trPr>
          <w:trHeight w:val="300"/>
        </w:trPr>
        <w:tc>
          <w:tcPr>
            <w:tcW w:w="805" w:type="dxa"/>
            <w:noWrap/>
          </w:tcPr>
          <w:p w14:paraId="0B80E2C9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</w:t>
            </w:r>
          </w:p>
        </w:tc>
        <w:tc>
          <w:tcPr>
            <w:tcW w:w="7128" w:type="dxa"/>
            <w:noWrap/>
          </w:tcPr>
          <w:p w14:paraId="6A88E380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MeSH descriptor: [Skin Neoplasms] explode all trees</w:t>
            </w:r>
          </w:p>
        </w:tc>
        <w:tc>
          <w:tcPr>
            <w:tcW w:w="1134" w:type="dxa"/>
            <w:noWrap/>
          </w:tcPr>
          <w:p w14:paraId="208CA554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1,226</w:t>
            </w:r>
          </w:p>
        </w:tc>
      </w:tr>
      <w:tr w:rsidR="004C4387" w:rsidRPr="00694010" w14:paraId="339A3E1D" w14:textId="77777777" w:rsidTr="00B33CCA">
        <w:trPr>
          <w:trHeight w:val="300"/>
        </w:trPr>
        <w:tc>
          <w:tcPr>
            <w:tcW w:w="805" w:type="dxa"/>
            <w:noWrap/>
          </w:tcPr>
          <w:p w14:paraId="388479C0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#2</w:t>
            </w:r>
          </w:p>
        </w:tc>
        <w:tc>
          <w:tcPr>
            <w:tcW w:w="7128" w:type="dxa"/>
            <w:noWrap/>
          </w:tcPr>
          <w:p w14:paraId="4D3F871A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melanoma</w:t>
            </w:r>
          </w:p>
        </w:tc>
        <w:tc>
          <w:tcPr>
            <w:tcW w:w="1134" w:type="dxa"/>
            <w:noWrap/>
          </w:tcPr>
          <w:p w14:paraId="192ECDCF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2,594</w:t>
            </w:r>
          </w:p>
        </w:tc>
      </w:tr>
      <w:tr w:rsidR="004C4387" w:rsidRPr="00694010" w14:paraId="5B9F1F30" w14:textId="77777777" w:rsidTr="00B33CCA">
        <w:trPr>
          <w:trHeight w:val="300"/>
        </w:trPr>
        <w:tc>
          <w:tcPr>
            <w:tcW w:w="805" w:type="dxa"/>
            <w:noWrap/>
          </w:tcPr>
          <w:p w14:paraId="3F4DB60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#3</w:t>
            </w:r>
          </w:p>
        </w:tc>
        <w:tc>
          <w:tcPr>
            <w:tcW w:w="7128" w:type="dxa"/>
            <w:noWrap/>
          </w:tcPr>
          <w:p w14:paraId="234DF08F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 or #2</w:t>
            </w:r>
          </w:p>
        </w:tc>
        <w:tc>
          <w:tcPr>
            <w:tcW w:w="1134" w:type="dxa"/>
            <w:noWrap/>
          </w:tcPr>
          <w:p w14:paraId="00125DA4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3,152</w:t>
            </w:r>
          </w:p>
        </w:tc>
      </w:tr>
      <w:tr w:rsidR="004C4387" w:rsidRPr="00694010" w14:paraId="665F5BD7" w14:textId="77777777" w:rsidTr="00B33CCA">
        <w:trPr>
          <w:trHeight w:val="300"/>
        </w:trPr>
        <w:tc>
          <w:tcPr>
            <w:tcW w:w="805" w:type="dxa"/>
            <w:noWrap/>
          </w:tcPr>
          <w:p w14:paraId="027C60A4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#4</w:t>
            </w:r>
          </w:p>
        </w:tc>
        <w:tc>
          <w:tcPr>
            <w:tcW w:w="7128" w:type="dxa"/>
            <w:noWrap/>
          </w:tcPr>
          <w:p w14:paraId="7894196A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(ipilimumab or Yervoy or CTLA-4 or CTLA4 or MDX-CTLA4 or MDX-010 or MDX-101): ti,ab,kw</w:t>
            </w:r>
          </w:p>
        </w:tc>
        <w:tc>
          <w:tcPr>
            <w:tcW w:w="1134" w:type="dxa"/>
            <w:noWrap/>
          </w:tcPr>
          <w:p w14:paraId="649FED4C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183</w:t>
            </w:r>
          </w:p>
        </w:tc>
      </w:tr>
      <w:tr w:rsidR="004C4387" w:rsidRPr="00694010" w14:paraId="3D119A06" w14:textId="77777777" w:rsidTr="00B33CCA">
        <w:trPr>
          <w:trHeight w:val="300"/>
        </w:trPr>
        <w:tc>
          <w:tcPr>
            <w:tcW w:w="805" w:type="dxa"/>
            <w:noWrap/>
          </w:tcPr>
          <w:p w14:paraId="73534223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#5</w:t>
            </w:r>
          </w:p>
        </w:tc>
        <w:tc>
          <w:tcPr>
            <w:tcW w:w="7128" w:type="dxa"/>
            <w:noWrap/>
          </w:tcPr>
          <w:p w14:paraId="5C1D1C4B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(pembrolizumab or lambrolizumab or MK3475 or MK-3475): ti,ab,kw</w:t>
            </w:r>
          </w:p>
        </w:tc>
        <w:tc>
          <w:tcPr>
            <w:tcW w:w="1134" w:type="dxa"/>
            <w:noWrap/>
          </w:tcPr>
          <w:p w14:paraId="63D35285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11</w:t>
            </w:r>
          </w:p>
        </w:tc>
      </w:tr>
      <w:tr w:rsidR="004C4387" w:rsidRPr="00694010" w14:paraId="5E730F19" w14:textId="77777777" w:rsidTr="00B33CCA">
        <w:trPr>
          <w:trHeight w:val="300"/>
        </w:trPr>
        <w:tc>
          <w:tcPr>
            <w:tcW w:w="805" w:type="dxa"/>
            <w:noWrap/>
          </w:tcPr>
          <w:p w14:paraId="674EAC9F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#6</w:t>
            </w:r>
          </w:p>
        </w:tc>
        <w:tc>
          <w:tcPr>
            <w:tcW w:w="7128" w:type="dxa"/>
            <w:noWrap/>
          </w:tcPr>
          <w:p w14:paraId="504144C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(vemurafenib or Zelboraf or PLX4032 or PLX-4032 or 1029872-54-5 or RG7204): ti,ab,kw</w:t>
            </w:r>
          </w:p>
        </w:tc>
        <w:tc>
          <w:tcPr>
            <w:tcW w:w="1134" w:type="dxa"/>
            <w:noWrap/>
          </w:tcPr>
          <w:p w14:paraId="72F93BAB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36</w:t>
            </w:r>
          </w:p>
        </w:tc>
      </w:tr>
      <w:tr w:rsidR="004C4387" w:rsidRPr="00694010" w14:paraId="4F717018" w14:textId="77777777" w:rsidTr="00B33CCA">
        <w:trPr>
          <w:trHeight w:val="300"/>
        </w:trPr>
        <w:tc>
          <w:tcPr>
            <w:tcW w:w="805" w:type="dxa"/>
            <w:noWrap/>
          </w:tcPr>
          <w:p w14:paraId="7F171535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#7</w:t>
            </w:r>
          </w:p>
        </w:tc>
        <w:tc>
          <w:tcPr>
            <w:tcW w:w="7128" w:type="dxa"/>
            <w:noWrap/>
          </w:tcPr>
          <w:p w14:paraId="33959E5F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(dabrafenib or Tafinlar or GSK2118436 or GSK-2118436 or GSK2118436A or GSK-2118436A or 1195765-45-7): ti,ab,kw</w:t>
            </w:r>
          </w:p>
        </w:tc>
        <w:tc>
          <w:tcPr>
            <w:tcW w:w="1134" w:type="dxa"/>
            <w:noWrap/>
          </w:tcPr>
          <w:p w14:paraId="0DE96FC4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21</w:t>
            </w:r>
          </w:p>
        </w:tc>
      </w:tr>
      <w:tr w:rsidR="004C4387" w:rsidRPr="00694010" w14:paraId="11E6440C" w14:textId="77777777" w:rsidTr="00B33CCA">
        <w:trPr>
          <w:trHeight w:val="300"/>
        </w:trPr>
        <w:tc>
          <w:tcPr>
            <w:tcW w:w="805" w:type="dxa"/>
            <w:noWrap/>
          </w:tcPr>
          <w:p w14:paraId="4DE623E8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#8</w:t>
            </w:r>
          </w:p>
        </w:tc>
        <w:tc>
          <w:tcPr>
            <w:tcW w:w="7128" w:type="dxa"/>
            <w:noWrap/>
          </w:tcPr>
          <w:p w14:paraId="10FC574C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(nivolumab or anti-PD-1 or BMS-93655 or ONO-4538): ti,ab,kw</w:t>
            </w:r>
          </w:p>
        </w:tc>
        <w:tc>
          <w:tcPr>
            <w:tcW w:w="1134" w:type="dxa"/>
            <w:noWrap/>
          </w:tcPr>
          <w:p w14:paraId="3BADB42F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22</w:t>
            </w:r>
          </w:p>
        </w:tc>
      </w:tr>
      <w:tr w:rsidR="004C4387" w:rsidRPr="00694010" w14:paraId="38154CC1" w14:textId="77777777" w:rsidTr="00B33CCA">
        <w:trPr>
          <w:trHeight w:val="300"/>
        </w:trPr>
        <w:tc>
          <w:tcPr>
            <w:tcW w:w="805" w:type="dxa"/>
            <w:noWrap/>
          </w:tcPr>
          <w:p w14:paraId="49CD3316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#9</w:t>
            </w:r>
          </w:p>
        </w:tc>
        <w:tc>
          <w:tcPr>
            <w:tcW w:w="7128" w:type="dxa"/>
            <w:noWrap/>
          </w:tcPr>
          <w:p w14:paraId="602DABB5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(trametinib or Mekinist or GSK1120212 or GSK-1120212): ti,ab,kw</w:t>
            </w:r>
          </w:p>
        </w:tc>
        <w:tc>
          <w:tcPr>
            <w:tcW w:w="1134" w:type="dxa"/>
            <w:noWrap/>
          </w:tcPr>
          <w:p w14:paraId="53211AFD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22</w:t>
            </w:r>
          </w:p>
        </w:tc>
      </w:tr>
      <w:tr w:rsidR="004C4387" w:rsidRPr="00694010" w14:paraId="7D27B6BA" w14:textId="77777777" w:rsidTr="00B33CCA">
        <w:trPr>
          <w:trHeight w:val="300"/>
        </w:trPr>
        <w:tc>
          <w:tcPr>
            <w:tcW w:w="805" w:type="dxa"/>
            <w:noWrap/>
          </w:tcPr>
          <w:p w14:paraId="242E50B9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#10</w:t>
            </w:r>
          </w:p>
        </w:tc>
        <w:tc>
          <w:tcPr>
            <w:tcW w:w="7128" w:type="dxa"/>
            <w:noWrap/>
          </w:tcPr>
          <w:p w14:paraId="1FDB7D0F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(temozolomide or Temodar or Temodal or Temcad or ccrg 81045 or ccrg81045 or mb 39831 or mb39831 or nsc 362856 or nsc362856): ti,ab,kw</w:t>
            </w:r>
          </w:p>
        </w:tc>
        <w:tc>
          <w:tcPr>
            <w:tcW w:w="1134" w:type="dxa"/>
            <w:noWrap/>
          </w:tcPr>
          <w:p w14:paraId="4259769A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348</w:t>
            </w:r>
          </w:p>
        </w:tc>
      </w:tr>
      <w:tr w:rsidR="004C4387" w:rsidRPr="00694010" w14:paraId="2E2C6FDF" w14:textId="77777777" w:rsidTr="00B33CCA">
        <w:trPr>
          <w:trHeight w:val="300"/>
        </w:trPr>
        <w:tc>
          <w:tcPr>
            <w:tcW w:w="805" w:type="dxa"/>
            <w:noWrap/>
          </w:tcPr>
          <w:p w14:paraId="7799F40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#11</w:t>
            </w:r>
          </w:p>
        </w:tc>
        <w:tc>
          <w:tcPr>
            <w:tcW w:w="7128" w:type="dxa"/>
            <w:noWrap/>
          </w:tcPr>
          <w:p w14:paraId="6833B77D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(dacarbazine or dacarbazin$ or DTIC or nsc 45388 or nsc45388 or deticene or imidazole carboxamide or 4342-03-4): ti,ab,kw </w:t>
            </w:r>
          </w:p>
        </w:tc>
        <w:tc>
          <w:tcPr>
            <w:tcW w:w="1134" w:type="dxa"/>
            <w:noWrap/>
          </w:tcPr>
          <w:p w14:paraId="2313157F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810</w:t>
            </w:r>
          </w:p>
        </w:tc>
      </w:tr>
      <w:tr w:rsidR="004C4387" w:rsidRPr="00694010" w14:paraId="6D6D0B72" w14:textId="77777777" w:rsidTr="00B33CCA">
        <w:trPr>
          <w:trHeight w:val="300"/>
        </w:trPr>
        <w:tc>
          <w:tcPr>
            <w:tcW w:w="805" w:type="dxa"/>
            <w:noWrap/>
          </w:tcPr>
          <w:p w14:paraId="79CC8378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#12</w:t>
            </w:r>
          </w:p>
        </w:tc>
        <w:tc>
          <w:tcPr>
            <w:tcW w:w="7128" w:type="dxa"/>
            <w:noWrap/>
          </w:tcPr>
          <w:p w14:paraId="35DC7B0B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(IL-2 or interleukin-2 or IL2 or interleukine 2 or Ro-23-6019 or Ro 23 6019 or Ro236019 or Ro-236019 or Ro 236019 or RU 49637 or RU-49637 or RU49637 or aldesleukin or Proleukin or Interking or denileukin diftitox or Ontak): ti,ab,kw</w:t>
            </w:r>
          </w:p>
        </w:tc>
        <w:tc>
          <w:tcPr>
            <w:tcW w:w="1134" w:type="dxa"/>
            <w:noWrap/>
          </w:tcPr>
          <w:p w14:paraId="666936ED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2,668</w:t>
            </w:r>
          </w:p>
        </w:tc>
      </w:tr>
      <w:tr w:rsidR="004C4387" w:rsidRPr="00694010" w14:paraId="10001CE9" w14:textId="77777777" w:rsidTr="00B33CCA">
        <w:trPr>
          <w:trHeight w:val="300"/>
        </w:trPr>
        <w:tc>
          <w:tcPr>
            <w:tcW w:w="805" w:type="dxa"/>
            <w:noWrap/>
          </w:tcPr>
          <w:p w14:paraId="0B5CFD18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#13</w:t>
            </w:r>
          </w:p>
        </w:tc>
        <w:tc>
          <w:tcPr>
            <w:tcW w:w="7128" w:type="dxa"/>
            <w:noWrap/>
          </w:tcPr>
          <w:p w14:paraId="09662BC2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(Fotemustine or Muforan or Muphoran or Mustoforan or Mustophoran or S 10036 or S10036):ti,ab,kw </w:t>
            </w:r>
          </w:p>
        </w:tc>
        <w:tc>
          <w:tcPr>
            <w:tcW w:w="1134" w:type="dxa"/>
            <w:noWrap/>
          </w:tcPr>
          <w:p w14:paraId="2FA96122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29</w:t>
            </w:r>
          </w:p>
        </w:tc>
      </w:tr>
      <w:tr w:rsidR="004C4387" w:rsidRPr="00694010" w14:paraId="08CD268B" w14:textId="77777777" w:rsidTr="00B33CCA">
        <w:trPr>
          <w:trHeight w:val="300"/>
        </w:trPr>
        <w:tc>
          <w:tcPr>
            <w:tcW w:w="805" w:type="dxa"/>
            <w:noWrap/>
          </w:tcPr>
          <w:p w14:paraId="6F61DC0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#14</w:t>
            </w:r>
          </w:p>
        </w:tc>
        <w:tc>
          <w:tcPr>
            <w:tcW w:w="7128" w:type="dxa"/>
            <w:noWrap/>
          </w:tcPr>
          <w:p w14:paraId="1842DA07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#4 or #5 or #6 or #7 or #8 or #9 or #10 or #11 or #12 or #13</w:t>
            </w:r>
          </w:p>
        </w:tc>
        <w:tc>
          <w:tcPr>
            <w:tcW w:w="1134" w:type="dxa"/>
            <w:noWrap/>
          </w:tcPr>
          <w:p w14:paraId="57B2FE28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3,828</w:t>
            </w:r>
          </w:p>
        </w:tc>
      </w:tr>
      <w:tr w:rsidR="004C4387" w:rsidRPr="00694010" w14:paraId="0CDE067B" w14:textId="77777777" w:rsidTr="00B33CCA">
        <w:trPr>
          <w:trHeight w:val="300"/>
        </w:trPr>
        <w:tc>
          <w:tcPr>
            <w:tcW w:w="805" w:type="dxa"/>
            <w:noWrap/>
          </w:tcPr>
          <w:p w14:paraId="414C4616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#15</w:t>
            </w:r>
          </w:p>
        </w:tc>
        <w:tc>
          <w:tcPr>
            <w:tcW w:w="7128" w:type="dxa"/>
            <w:noWrap/>
          </w:tcPr>
          <w:p w14:paraId="26299E8C" w14:textId="77777777" w:rsidR="004C4387" w:rsidRPr="00694010" w:rsidRDefault="004C4387" w:rsidP="00B33CCA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#3 and #14</w:t>
            </w:r>
          </w:p>
        </w:tc>
        <w:tc>
          <w:tcPr>
            <w:tcW w:w="1134" w:type="dxa"/>
            <w:noWrap/>
          </w:tcPr>
          <w:p w14:paraId="25B4318F" w14:textId="77777777" w:rsidR="004C4387" w:rsidRPr="00694010" w:rsidRDefault="004C4387" w:rsidP="00B33CCA">
            <w:pPr>
              <w:pStyle w:val="TableBodyCentred"/>
              <w:rPr>
                <w:lang w:val="en-US"/>
              </w:rPr>
            </w:pPr>
            <w:r w:rsidRPr="00694010">
              <w:rPr>
                <w:lang w:val="en-US"/>
              </w:rPr>
              <w:t>682</w:t>
            </w:r>
          </w:p>
        </w:tc>
      </w:tr>
    </w:tbl>
    <w:p w14:paraId="21F1FFD0" w14:textId="5BEF9020" w:rsidR="006460A5" w:rsidRPr="00694010" w:rsidRDefault="006460A5" w:rsidP="006460A5">
      <w:pPr>
        <w:pStyle w:val="Footnote"/>
        <w:rPr>
          <w:lang w:val="en-US"/>
        </w:rPr>
      </w:pPr>
      <w:r w:rsidRPr="00694010">
        <w:rPr>
          <w:lang w:val="en-US"/>
        </w:rPr>
        <w:t>Search performed July 27, 2015</w:t>
      </w:r>
    </w:p>
    <w:p w14:paraId="3CAB53C2" w14:textId="77777777" w:rsidR="004C4387" w:rsidRPr="00694010" w:rsidRDefault="004C4387" w:rsidP="004C4387">
      <w:pPr>
        <w:rPr>
          <w:lang w:val="en-US"/>
        </w:rPr>
      </w:pPr>
      <w:r w:rsidRPr="00694010">
        <w:rPr>
          <w:lang w:val="en-US"/>
        </w:rPr>
        <w:br w:type="page"/>
      </w:r>
    </w:p>
    <w:p w14:paraId="13ED76DE" w14:textId="6A463C5A" w:rsidR="006A005D" w:rsidRPr="00694010" w:rsidRDefault="006A005D" w:rsidP="006A005D">
      <w:pPr>
        <w:pStyle w:val="Caption"/>
        <w:rPr>
          <w:lang w:val="en-US"/>
        </w:rPr>
      </w:pPr>
      <w:r w:rsidRPr="00694010">
        <w:rPr>
          <w:lang w:val="en-US"/>
        </w:rPr>
        <w:lastRenderedPageBreak/>
        <w:t xml:space="preserve">Supplementary </w:t>
      </w:r>
      <w:r w:rsidR="00ED70B2" w:rsidRPr="00694010">
        <w:rPr>
          <w:lang w:val="en-US"/>
        </w:rPr>
        <w:t>table</w:t>
      </w:r>
      <w:r w:rsidRPr="00694010">
        <w:rPr>
          <w:lang w:val="en-US"/>
        </w:rPr>
        <w:t xml:space="preserve"> </w:t>
      </w:r>
      <w:r w:rsidR="00694010" w:rsidRPr="00694010">
        <w:rPr>
          <w:lang w:val="en-US"/>
        </w:rPr>
        <w:fldChar w:fldCharType="begin"/>
      </w:r>
      <w:r w:rsidR="00694010" w:rsidRPr="00694010">
        <w:rPr>
          <w:lang w:val="en-US"/>
        </w:rPr>
        <w:instrText xml:space="preserve"> SEQ Supplementary_appendix \* ARABIC </w:instrText>
      </w:r>
      <w:r w:rsidR="00694010" w:rsidRPr="00694010">
        <w:rPr>
          <w:lang w:val="en-US"/>
        </w:rPr>
        <w:fldChar w:fldCharType="separate"/>
      </w:r>
      <w:r w:rsidRPr="00694010">
        <w:rPr>
          <w:noProof/>
          <w:lang w:val="en-US"/>
        </w:rPr>
        <w:t>3</w:t>
      </w:r>
      <w:r w:rsidR="00694010" w:rsidRPr="00694010">
        <w:rPr>
          <w:noProof/>
          <w:lang w:val="en-US"/>
        </w:rPr>
        <w:fldChar w:fldCharType="end"/>
      </w:r>
      <w:r w:rsidRPr="00694010">
        <w:rPr>
          <w:lang w:val="en-US"/>
        </w:rPr>
        <w:t xml:space="preserve">  Clinical trials of immunotherapy agents (anti-PD-1 or anti-CTLA-4)</w:t>
      </w:r>
    </w:p>
    <w:tbl>
      <w:tblPr>
        <w:tblStyle w:val="PRMATableAccent2"/>
        <w:tblW w:w="9666" w:type="dxa"/>
        <w:tblLayout w:type="fixed"/>
        <w:tblLook w:val="0420" w:firstRow="1" w:lastRow="0" w:firstColumn="0" w:lastColumn="0" w:noHBand="0" w:noVBand="1"/>
      </w:tblPr>
      <w:tblGrid>
        <w:gridCol w:w="2056"/>
        <w:gridCol w:w="2061"/>
        <w:gridCol w:w="2134"/>
        <w:gridCol w:w="1921"/>
        <w:gridCol w:w="1494"/>
      </w:tblGrid>
      <w:tr w:rsidR="00BD4FDD" w:rsidRPr="00694010" w14:paraId="044C7950" w14:textId="77777777" w:rsidTr="00BD4F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"/>
        </w:trPr>
        <w:tc>
          <w:tcPr>
            <w:tcW w:w="2056" w:type="dxa"/>
            <w:tcBorders>
              <w:bottom w:val="single" w:sz="4" w:space="0" w:color="B2B2B2" w:themeColor="accent2"/>
            </w:tcBorders>
            <w:hideMark/>
          </w:tcPr>
          <w:p w14:paraId="09559254" w14:textId="77777777" w:rsidR="00BD4FDD" w:rsidRPr="00694010" w:rsidRDefault="00BD4FD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Trial</w:t>
            </w:r>
          </w:p>
        </w:tc>
        <w:tc>
          <w:tcPr>
            <w:tcW w:w="2061" w:type="dxa"/>
            <w:tcBorders>
              <w:bottom w:val="single" w:sz="4" w:space="0" w:color="B2B2B2" w:themeColor="accent2"/>
            </w:tcBorders>
            <w:hideMark/>
          </w:tcPr>
          <w:p w14:paraId="32DB51BF" w14:textId="77777777" w:rsidR="00BD4FDD" w:rsidRPr="00694010" w:rsidRDefault="00BD4FD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Treatment arms</w:t>
            </w:r>
          </w:p>
        </w:tc>
        <w:tc>
          <w:tcPr>
            <w:tcW w:w="2134" w:type="dxa"/>
            <w:tcBorders>
              <w:bottom w:val="single" w:sz="4" w:space="0" w:color="B2B2B2" w:themeColor="accent2"/>
            </w:tcBorders>
            <w:hideMark/>
          </w:tcPr>
          <w:p w14:paraId="654D9C95" w14:textId="77777777" w:rsidR="00BD4FDD" w:rsidRPr="00694010" w:rsidRDefault="00BD4FD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Condition (stage)</w:t>
            </w:r>
          </w:p>
        </w:tc>
        <w:tc>
          <w:tcPr>
            <w:tcW w:w="1921" w:type="dxa"/>
            <w:tcBorders>
              <w:bottom w:val="single" w:sz="4" w:space="0" w:color="B2B2B2" w:themeColor="accent2"/>
            </w:tcBorders>
            <w:hideMark/>
          </w:tcPr>
          <w:p w14:paraId="6D7CE97A" w14:textId="77777777" w:rsidR="00BD4FDD" w:rsidRPr="00694010" w:rsidRDefault="00BD4FD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Line of treatment</w:t>
            </w:r>
          </w:p>
        </w:tc>
        <w:tc>
          <w:tcPr>
            <w:tcW w:w="1494" w:type="dxa"/>
            <w:tcBorders>
              <w:bottom w:val="single" w:sz="4" w:space="0" w:color="B2B2B2" w:themeColor="accent2"/>
            </w:tcBorders>
            <w:hideMark/>
          </w:tcPr>
          <w:p w14:paraId="6C15D5FE" w14:textId="77777777" w:rsidR="00BD4FDD" w:rsidRPr="00694010" w:rsidRDefault="00BD4FD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BRAF status</w:t>
            </w:r>
          </w:p>
        </w:tc>
      </w:tr>
      <w:tr w:rsidR="00BD4FDD" w:rsidRPr="00694010" w14:paraId="697BCB38" w14:textId="77777777" w:rsidTr="00BD4FDD">
        <w:trPr>
          <w:trHeight w:val="14"/>
        </w:trPr>
        <w:tc>
          <w:tcPr>
            <w:tcW w:w="9666" w:type="dxa"/>
            <w:gridSpan w:val="5"/>
            <w:shd w:val="clear" w:color="auto" w:fill="D9D9D9" w:themeFill="background1" w:themeFillShade="D9"/>
          </w:tcPr>
          <w:p w14:paraId="453A5280" w14:textId="0FE3E713" w:rsidR="00BD4FDD" w:rsidRPr="00694010" w:rsidRDefault="00BD4FDD" w:rsidP="00BD4FDD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Pembrolizumab</w:t>
            </w:r>
          </w:p>
        </w:tc>
      </w:tr>
      <w:tr w:rsidR="00BD4FDD" w:rsidRPr="00694010" w14:paraId="75D51879" w14:textId="77777777" w:rsidTr="00BD4FDD">
        <w:trPr>
          <w:trHeight w:val="14"/>
        </w:trPr>
        <w:tc>
          <w:tcPr>
            <w:tcW w:w="2056" w:type="dxa"/>
            <w:vMerge w:val="restart"/>
            <w:hideMark/>
          </w:tcPr>
          <w:p w14:paraId="1125841C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Keynote 006</w:t>
            </w:r>
          </w:p>
          <w:p w14:paraId="6749EC9A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NCT01866319</w:t>
            </w:r>
          </w:p>
        </w:tc>
        <w:tc>
          <w:tcPr>
            <w:tcW w:w="2061" w:type="dxa"/>
            <w:hideMark/>
          </w:tcPr>
          <w:p w14:paraId="1A06C642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Pembrolizumab 10 mg/kg q2w</w:t>
            </w:r>
          </w:p>
        </w:tc>
        <w:tc>
          <w:tcPr>
            <w:tcW w:w="2134" w:type="dxa"/>
            <w:vMerge w:val="restart"/>
            <w:hideMark/>
          </w:tcPr>
          <w:p w14:paraId="7AE56F2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</w:t>
            </w:r>
          </w:p>
          <w:p w14:paraId="4EE5A19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stage III, IV</w:t>
            </w:r>
          </w:p>
        </w:tc>
        <w:tc>
          <w:tcPr>
            <w:tcW w:w="1921" w:type="dxa"/>
            <w:vMerge w:val="restart"/>
            <w:hideMark/>
          </w:tcPr>
          <w:p w14:paraId="5A747B03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 or second</w:t>
            </w:r>
          </w:p>
          <w:p w14:paraId="41A01089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Ipilimumab + anti-PD-1-naive</w:t>
            </w:r>
          </w:p>
        </w:tc>
        <w:tc>
          <w:tcPr>
            <w:tcW w:w="1494" w:type="dxa"/>
            <w:vMerge w:val="restart"/>
            <w:hideMark/>
          </w:tcPr>
          <w:p w14:paraId="34A72792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WT and mutated</w:t>
            </w:r>
          </w:p>
        </w:tc>
      </w:tr>
      <w:tr w:rsidR="00BD4FDD" w:rsidRPr="00694010" w14:paraId="6F728399" w14:textId="77777777" w:rsidTr="00BD4FDD">
        <w:trPr>
          <w:trHeight w:val="14"/>
        </w:trPr>
        <w:tc>
          <w:tcPr>
            <w:tcW w:w="2056" w:type="dxa"/>
            <w:vMerge/>
            <w:hideMark/>
          </w:tcPr>
          <w:p w14:paraId="0B18D7C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2061" w:type="dxa"/>
            <w:hideMark/>
          </w:tcPr>
          <w:p w14:paraId="531A2CC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Pembrolizumab 10 mg/kg q3w</w:t>
            </w:r>
          </w:p>
        </w:tc>
        <w:tc>
          <w:tcPr>
            <w:tcW w:w="2134" w:type="dxa"/>
            <w:vMerge/>
            <w:hideMark/>
          </w:tcPr>
          <w:p w14:paraId="38A0E9CE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921" w:type="dxa"/>
            <w:vMerge/>
            <w:hideMark/>
          </w:tcPr>
          <w:p w14:paraId="10364D92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494" w:type="dxa"/>
            <w:vMerge/>
            <w:hideMark/>
          </w:tcPr>
          <w:p w14:paraId="0E4A835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</w:tr>
      <w:tr w:rsidR="00BD4FDD" w:rsidRPr="00694010" w14:paraId="269AA634" w14:textId="77777777" w:rsidTr="00124DEC">
        <w:trPr>
          <w:trHeight w:val="14"/>
        </w:trPr>
        <w:tc>
          <w:tcPr>
            <w:tcW w:w="2056" w:type="dxa"/>
            <w:vMerge/>
            <w:tcBorders>
              <w:bottom w:val="single" w:sz="4" w:space="0" w:color="B2B2B2" w:themeColor="accent2"/>
            </w:tcBorders>
            <w:hideMark/>
          </w:tcPr>
          <w:p w14:paraId="172F8948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2061" w:type="dxa"/>
            <w:tcBorders>
              <w:bottom w:val="single" w:sz="4" w:space="0" w:color="B2B2B2" w:themeColor="accent2"/>
            </w:tcBorders>
            <w:hideMark/>
          </w:tcPr>
          <w:p w14:paraId="15B25D02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Ipilimumab 3 mg/kg q3w</w:t>
            </w:r>
          </w:p>
        </w:tc>
        <w:tc>
          <w:tcPr>
            <w:tcW w:w="2134" w:type="dxa"/>
            <w:vMerge/>
            <w:tcBorders>
              <w:bottom w:val="single" w:sz="4" w:space="0" w:color="B2B2B2" w:themeColor="accent2"/>
            </w:tcBorders>
            <w:hideMark/>
          </w:tcPr>
          <w:p w14:paraId="7BAC119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921" w:type="dxa"/>
            <w:vMerge/>
            <w:tcBorders>
              <w:bottom w:val="single" w:sz="4" w:space="0" w:color="B2B2B2" w:themeColor="accent2"/>
            </w:tcBorders>
            <w:hideMark/>
          </w:tcPr>
          <w:p w14:paraId="132B603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494" w:type="dxa"/>
            <w:vMerge/>
            <w:tcBorders>
              <w:bottom w:val="single" w:sz="4" w:space="0" w:color="B2B2B2" w:themeColor="accent2"/>
            </w:tcBorders>
            <w:hideMark/>
          </w:tcPr>
          <w:p w14:paraId="0216E4CB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</w:tr>
      <w:tr w:rsidR="00124DEC" w:rsidRPr="00694010" w14:paraId="4744738B" w14:textId="77777777" w:rsidTr="00124DEC">
        <w:trPr>
          <w:trHeight w:val="14"/>
        </w:trPr>
        <w:tc>
          <w:tcPr>
            <w:tcW w:w="9666" w:type="dxa"/>
            <w:gridSpan w:val="5"/>
            <w:shd w:val="clear" w:color="auto" w:fill="D9D9D9" w:themeFill="background1" w:themeFillShade="D9"/>
          </w:tcPr>
          <w:p w14:paraId="0B9AA8A5" w14:textId="0EA54581" w:rsidR="00124DEC" w:rsidRPr="00694010" w:rsidRDefault="00124DEC" w:rsidP="00124DEC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Nivolumab</w:t>
            </w:r>
          </w:p>
        </w:tc>
      </w:tr>
      <w:tr w:rsidR="00BD4FDD" w:rsidRPr="00694010" w14:paraId="7BAFC9F5" w14:textId="77777777" w:rsidTr="00BD4FDD">
        <w:trPr>
          <w:trHeight w:val="14"/>
        </w:trPr>
        <w:tc>
          <w:tcPr>
            <w:tcW w:w="2056" w:type="dxa"/>
            <w:vMerge w:val="restart"/>
            <w:hideMark/>
          </w:tcPr>
          <w:p w14:paraId="777362C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CheckMate 066</w:t>
            </w:r>
          </w:p>
          <w:p w14:paraId="20A10373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NCT01721772</w:t>
            </w:r>
          </w:p>
        </w:tc>
        <w:tc>
          <w:tcPr>
            <w:tcW w:w="2061" w:type="dxa"/>
            <w:hideMark/>
          </w:tcPr>
          <w:p w14:paraId="5C0E0B32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Nivolumab 3 mg/kg q2w</w:t>
            </w:r>
          </w:p>
        </w:tc>
        <w:tc>
          <w:tcPr>
            <w:tcW w:w="2134" w:type="dxa"/>
            <w:vMerge w:val="restart"/>
            <w:hideMark/>
          </w:tcPr>
          <w:p w14:paraId="551BBFB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</w:t>
            </w:r>
          </w:p>
          <w:p w14:paraId="2495D04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stage III, IV</w:t>
            </w:r>
          </w:p>
        </w:tc>
        <w:tc>
          <w:tcPr>
            <w:tcW w:w="1921" w:type="dxa"/>
            <w:vMerge w:val="restart"/>
            <w:hideMark/>
          </w:tcPr>
          <w:p w14:paraId="2263171F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First </w:t>
            </w:r>
          </w:p>
        </w:tc>
        <w:tc>
          <w:tcPr>
            <w:tcW w:w="1494" w:type="dxa"/>
            <w:vMerge w:val="restart"/>
            <w:hideMark/>
          </w:tcPr>
          <w:p w14:paraId="4E7ABB0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WT </w:t>
            </w:r>
          </w:p>
        </w:tc>
      </w:tr>
      <w:tr w:rsidR="00BD4FDD" w:rsidRPr="00694010" w14:paraId="72537DBF" w14:textId="77777777" w:rsidTr="00124DEC">
        <w:trPr>
          <w:trHeight w:val="14"/>
        </w:trPr>
        <w:tc>
          <w:tcPr>
            <w:tcW w:w="2056" w:type="dxa"/>
            <w:vMerge/>
            <w:tcBorders>
              <w:bottom w:val="single" w:sz="4" w:space="0" w:color="B2B2B2" w:themeColor="accent2"/>
            </w:tcBorders>
            <w:hideMark/>
          </w:tcPr>
          <w:p w14:paraId="21E3B1CB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2061" w:type="dxa"/>
            <w:tcBorders>
              <w:bottom w:val="single" w:sz="4" w:space="0" w:color="B2B2B2" w:themeColor="accent2"/>
            </w:tcBorders>
            <w:hideMark/>
          </w:tcPr>
          <w:p w14:paraId="372880E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Dacarbazine 1,000 mg/m</w:t>
            </w:r>
            <w:r w:rsidRPr="00694010">
              <w:rPr>
                <w:rStyle w:val="Superscript"/>
                <w:lang w:val="en-US"/>
              </w:rPr>
              <w:t>2</w:t>
            </w:r>
            <w:r w:rsidRPr="00694010">
              <w:rPr>
                <w:lang w:val="en-US"/>
              </w:rPr>
              <w:t xml:space="preserve"> q3w</w:t>
            </w:r>
          </w:p>
        </w:tc>
        <w:tc>
          <w:tcPr>
            <w:tcW w:w="2134" w:type="dxa"/>
            <w:vMerge/>
            <w:tcBorders>
              <w:bottom w:val="single" w:sz="4" w:space="0" w:color="B2B2B2" w:themeColor="accent2"/>
            </w:tcBorders>
            <w:hideMark/>
          </w:tcPr>
          <w:p w14:paraId="3BE8C47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921" w:type="dxa"/>
            <w:vMerge/>
            <w:tcBorders>
              <w:bottom w:val="single" w:sz="4" w:space="0" w:color="B2B2B2" w:themeColor="accent2"/>
            </w:tcBorders>
            <w:hideMark/>
          </w:tcPr>
          <w:p w14:paraId="6BC558AD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494" w:type="dxa"/>
            <w:vMerge/>
            <w:tcBorders>
              <w:bottom w:val="single" w:sz="4" w:space="0" w:color="B2B2B2" w:themeColor="accent2"/>
            </w:tcBorders>
            <w:hideMark/>
          </w:tcPr>
          <w:p w14:paraId="0CE7CA1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</w:tr>
      <w:tr w:rsidR="00124DEC" w:rsidRPr="00694010" w14:paraId="1ECAB4B0" w14:textId="77777777" w:rsidTr="00124DEC">
        <w:trPr>
          <w:trHeight w:val="14"/>
        </w:trPr>
        <w:tc>
          <w:tcPr>
            <w:tcW w:w="9666" w:type="dxa"/>
            <w:gridSpan w:val="5"/>
            <w:shd w:val="clear" w:color="auto" w:fill="D9D9D9" w:themeFill="background1" w:themeFillShade="D9"/>
          </w:tcPr>
          <w:p w14:paraId="58BE7CE8" w14:textId="4814F52B" w:rsidR="00124DEC" w:rsidRPr="00694010" w:rsidRDefault="00124DEC" w:rsidP="00124DEC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Nivolumab in combination with ipilimumab</w:t>
            </w:r>
          </w:p>
        </w:tc>
      </w:tr>
      <w:tr w:rsidR="00BD4FDD" w:rsidRPr="00694010" w14:paraId="5D90EF80" w14:textId="77777777" w:rsidTr="00BD4FDD">
        <w:trPr>
          <w:trHeight w:val="14"/>
        </w:trPr>
        <w:tc>
          <w:tcPr>
            <w:tcW w:w="2056" w:type="dxa"/>
            <w:vMerge w:val="restart"/>
            <w:hideMark/>
          </w:tcPr>
          <w:p w14:paraId="678C01D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CheckMate 067</w:t>
            </w:r>
          </w:p>
          <w:p w14:paraId="012E8E50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NCT01844505</w:t>
            </w:r>
          </w:p>
        </w:tc>
        <w:tc>
          <w:tcPr>
            <w:tcW w:w="2061" w:type="dxa"/>
            <w:hideMark/>
          </w:tcPr>
          <w:p w14:paraId="72164F4D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Nivolumab 3 mg/kg q2w</w:t>
            </w:r>
          </w:p>
        </w:tc>
        <w:tc>
          <w:tcPr>
            <w:tcW w:w="2134" w:type="dxa"/>
            <w:vMerge w:val="restart"/>
            <w:hideMark/>
          </w:tcPr>
          <w:p w14:paraId="148A420D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</w:t>
            </w:r>
          </w:p>
          <w:p w14:paraId="17149FFA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stage III, IV</w:t>
            </w:r>
          </w:p>
        </w:tc>
        <w:tc>
          <w:tcPr>
            <w:tcW w:w="1921" w:type="dxa"/>
            <w:vMerge w:val="restart"/>
            <w:hideMark/>
          </w:tcPr>
          <w:p w14:paraId="0D49F69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</w:t>
            </w:r>
          </w:p>
        </w:tc>
        <w:tc>
          <w:tcPr>
            <w:tcW w:w="1494" w:type="dxa"/>
            <w:vMerge w:val="restart"/>
            <w:hideMark/>
          </w:tcPr>
          <w:p w14:paraId="6985BE3E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WT and mutated</w:t>
            </w:r>
          </w:p>
        </w:tc>
      </w:tr>
      <w:tr w:rsidR="00BD4FDD" w:rsidRPr="00694010" w14:paraId="0BAB03AC" w14:textId="77777777" w:rsidTr="00BD4FDD">
        <w:trPr>
          <w:trHeight w:val="14"/>
        </w:trPr>
        <w:tc>
          <w:tcPr>
            <w:tcW w:w="2056" w:type="dxa"/>
            <w:vMerge/>
            <w:hideMark/>
          </w:tcPr>
          <w:p w14:paraId="1C40DCC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2061" w:type="dxa"/>
            <w:hideMark/>
          </w:tcPr>
          <w:p w14:paraId="7F6207D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Nivolumab 1 mg/kg q3w + ipilimumab 3 mg/kg q3w</w:t>
            </w:r>
          </w:p>
        </w:tc>
        <w:tc>
          <w:tcPr>
            <w:tcW w:w="2134" w:type="dxa"/>
            <w:vMerge/>
            <w:hideMark/>
          </w:tcPr>
          <w:p w14:paraId="2A2C702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921" w:type="dxa"/>
            <w:vMerge/>
            <w:hideMark/>
          </w:tcPr>
          <w:p w14:paraId="05D75DD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494" w:type="dxa"/>
            <w:vMerge/>
            <w:hideMark/>
          </w:tcPr>
          <w:p w14:paraId="3236BFA4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</w:tr>
      <w:tr w:rsidR="00BD4FDD" w:rsidRPr="00694010" w14:paraId="79555686" w14:textId="77777777" w:rsidTr="00BD4FDD">
        <w:trPr>
          <w:trHeight w:val="14"/>
        </w:trPr>
        <w:tc>
          <w:tcPr>
            <w:tcW w:w="2056" w:type="dxa"/>
            <w:vMerge/>
            <w:hideMark/>
          </w:tcPr>
          <w:p w14:paraId="3AB88619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2061" w:type="dxa"/>
            <w:hideMark/>
          </w:tcPr>
          <w:p w14:paraId="53FD31CA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Ipilimumab 3 mg/kg q3w</w:t>
            </w:r>
          </w:p>
        </w:tc>
        <w:tc>
          <w:tcPr>
            <w:tcW w:w="2134" w:type="dxa"/>
            <w:vMerge/>
            <w:hideMark/>
          </w:tcPr>
          <w:p w14:paraId="5190D30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921" w:type="dxa"/>
            <w:vMerge/>
            <w:hideMark/>
          </w:tcPr>
          <w:p w14:paraId="3BFBA508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494" w:type="dxa"/>
            <w:vMerge/>
            <w:hideMark/>
          </w:tcPr>
          <w:p w14:paraId="3FF6EB50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</w:tr>
      <w:tr w:rsidR="00BD4FDD" w:rsidRPr="00694010" w14:paraId="27A3861E" w14:textId="77777777" w:rsidTr="00BD4FDD">
        <w:trPr>
          <w:trHeight w:val="14"/>
        </w:trPr>
        <w:tc>
          <w:tcPr>
            <w:tcW w:w="2056" w:type="dxa"/>
            <w:vMerge w:val="restart"/>
            <w:hideMark/>
          </w:tcPr>
          <w:p w14:paraId="59E53BCE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CheckMate 069</w:t>
            </w:r>
          </w:p>
          <w:p w14:paraId="4A3421AE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NCT01927419</w:t>
            </w:r>
          </w:p>
        </w:tc>
        <w:tc>
          <w:tcPr>
            <w:tcW w:w="2061" w:type="dxa"/>
            <w:hideMark/>
          </w:tcPr>
          <w:p w14:paraId="4CFCF3DD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Nivolumab 1 mg/kg q3w + ipilimumab 3 mg/kg q3w</w:t>
            </w:r>
            <w:r w:rsidRPr="00694010">
              <w:rPr>
                <w:rStyle w:val="Superscript"/>
                <w:lang w:val="en-US"/>
              </w:rPr>
              <w:t>b</w:t>
            </w:r>
          </w:p>
        </w:tc>
        <w:tc>
          <w:tcPr>
            <w:tcW w:w="2134" w:type="dxa"/>
            <w:vMerge w:val="restart"/>
            <w:hideMark/>
          </w:tcPr>
          <w:p w14:paraId="4FEF19C2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</w:t>
            </w:r>
          </w:p>
          <w:p w14:paraId="22BC006B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stage III, IV</w:t>
            </w:r>
          </w:p>
        </w:tc>
        <w:tc>
          <w:tcPr>
            <w:tcW w:w="1921" w:type="dxa"/>
            <w:vMerge w:val="restart"/>
            <w:hideMark/>
          </w:tcPr>
          <w:p w14:paraId="2168D3A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</w:t>
            </w:r>
          </w:p>
        </w:tc>
        <w:tc>
          <w:tcPr>
            <w:tcW w:w="1494" w:type="dxa"/>
            <w:vMerge w:val="restart"/>
            <w:hideMark/>
          </w:tcPr>
          <w:p w14:paraId="4D8C6BC8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WT and mutated</w:t>
            </w:r>
          </w:p>
        </w:tc>
      </w:tr>
      <w:tr w:rsidR="00BD4FDD" w:rsidRPr="00694010" w14:paraId="6D2F8EEF" w14:textId="77777777" w:rsidTr="00124DEC">
        <w:trPr>
          <w:trHeight w:val="14"/>
        </w:trPr>
        <w:tc>
          <w:tcPr>
            <w:tcW w:w="2056" w:type="dxa"/>
            <w:vMerge/>
            <w:tcBorders>
              <w:bottom w:val="single" w:sz="4" w:space="0" w:color="B2B2B2" w:themeColor="accent2"/>
            </w:tcBorders>
            <w:hideMark/>
          </w:tcPr>
          <w:p w14:paraId="475CF74D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2061" w:type="dxa"/>
            <w:tcBorders>
              <w:bottom w:val="single" w:sz="4" w:space="0" w:color="B2B2B2" w:themeColor="accent2"/>
            </w:tcBorders>
            <w:hideMark/>
          </w:tcPr>
          <w:p w14:paraId="54882CF9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Ipilimumab 3 mg/kg q3w</w:t>
            </w:r>
          </w:p>
        </w:tc>
        <w:tc>
          <w:tcPr>
            <w:tcW w:w="2134" w:type="dxa"/>
            <w:vMerge/>
            <w:tcBorders>
              <w:bottom w:val="single" w:sz="4" w:space="0" w:color="B2B2B2" w:themeColor="accent2"/>
            </w:tcBorders>
            <w:hideMark/>
          </w:tcPr>
          <w:p w14:paraId="2AA07B86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921" w:type="dxa"/>
            <w:vMerge/>
            <w:tcBorders>
              <w:bottom w:val="single" w:sz="4" w:space="0" w:color="B2B2B2" w:themeColor="accent2"/>
            </w:tcBorders>
            <w:hideMark/>
          </w:tcPr>
          <w:p w14:paraId="69AF8BFC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494" w:type="dxa"/>
            <w:vMerge/>
            <w:tcBorders>
              <w:bottom w:val="single" w:sz="4" w:space="0" w:color="B2B2B2" w:themeColor="accent2"/>
            </w:tcBorders>
            <w:hideMark/>
          </w:tcPr>
          <w:p w14:paraId="0E9A2741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</w:p>
        </w:tc>
      </w:tr>
      <w:tr w:rsidR="00124DEC" w:rsidRPr="00694010" w14:paraId="1C5AD092" w14:textId="77777777" w:rsidTr="00450A07">
        <w:trPr>
          <w:trHeight w:val="244"/>
        </w:trPr>
        <w:tc>
          <w:tcPr>
            <w:tcW w:w="9666" w:type="dxa"/>
            <w:gridSpan w:val="5"/>
            <w:shd w:val="clear" w:color="auto" w:fill="D9D9D9" w:themeFill="background1" w:themeFillShade="D9"/>
          </w:tcPr>
          <w:p w14:paraId="1FEE846B" w14:textId="141D3B5B" w:rsidR="00124DEC" w:rsidRPr="00694010" w:rsidRDefault="00124DEC" w:rsidP="00124DEC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Ipilimumab</w:t>
            </w:r>
          </w:p>
        </w:tc>
      </w:tr>
      <w:tr w:rsidR="00BD4FDD" w:rsidRPr="00694010" w14:paraId="301E236D" w14:textId="77777777" w:rsidTr="00BD4FDD">
        <w:trPr>
          <w:trHeight w:val="244"/>
        </w:trPr>
        <w:tc>
          <w:tcPr>
            <w:tcW w:w="2056" w:type="dxa"/>
            <w:vMerge w:val="restart"/>
            <w:hideMark/>
          </w:tcPr>
          <w:p w14:paraId="2A201450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MDX010-20</w:t>
            </w:r>
          </w:p>
          <w:p w14:paraId="2BB8008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NCT00094653</w:t>
            </w:r>
          </w:p>
        </w:tc>
        <w:tc>
          <w:tcPr>
            <w:tcW w:w="2061" w:type="dxa"/>
            <w:vMerge w:val="restart"/>
            <w:hideMark/>
          </w:tcPr>
          <w:p w14:paraId="4CF90F1D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Ipilimumab 3 mg/kg q3w + gp100 q3w</w:t>
            </w:r>
          </w:p>
        </w:tc>
        <w:tc>
          <w:tcPr>
            <w:tcW w:w="2134" w:type="dxa"/>
            <w:vMerge w:val="restart"/>
            <w:hideMark/>
          </w:tcPr>
          <w:p w14:paraId="7D40F2BC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</w:t>
            </w:r>
          </w:p>
          <w:p w14:paraId="3FAD1467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stage III, IV</w:t>
            </w:r>
          </w:p>
        </w:tc>
        <w:tc>
          <w:tcPr>
            <w:tcW w:w="1921" w:type="dxa"/>
            <w:vMerge w:val="restart"/>
            <w:hideMark/>
          </w:tcPr>
          <w:p w14:paraId="6DF481DE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 xml:space="preserve">Second </w:t>
            </w:r>
          </w:p>
        </w:tc>
        <w:tc>
          <w:tcPr>
            <w:tcW w:w="1494" w:type="dxa"/>
            <w:vMerge w:val="restart"/>
            <w:hideMark/>
          </w:tcPr>
          <w:p w14:paraId="5827024E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Any</w:t>
            </w:r>
          </w:p>
        </w:tc>
      </w:tr>
      <w:tr w:rsidR="00BD4FDD" w:rsidRPr="00694010" w14:paraId="5713E5E9" w14:textId="77777777" w:rsidTr="00BD4FDD">
        <w:trPr>
          <w:trHeight w:val="617"/>
        </w:trPr>
        <w:tc>
          <w:tcPr>
            <w:tcW w:w="2056" w:type="dxa"/>
            <w:vMerge/>
            <w:hideMark/>
          </w:tcPr>
          <w:p w14:paraId="0F41D97A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2061" w:type="dxa"/>
            <w:vMerge/>
            <w:hideMark/>
          </w:tcPr>
          <w:p w14:paraId="6C40DEBB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2134" w:type="dxa"/>
            <w:vMerge/>
            <w:hideMark/>
          </w:tcPr>
          <w:p w14:paraId="123C08B6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921" w:type="dxa"/>
            <w:vMerge/>
            <w:hideMark/>
          </w:tcPr>
          <w:p w14:paraId="2426F54D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494" w:type="dxa"/>
            <w:vMerge/>
            <w:hideMark/>
          </w:tcPr>
          <w:p w14:paraId="059D53E2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</w:tr>
      <w:tr w:rsidR="00BD4FDD" w:rsidRPr="00694010" w14:paraId="63CE6762" w14:textId="77777777" w:rsidTr="00BD4FDD">
        <w:trPr>
          <w:trHeight w:val="14"/>
        </w:trPr>
        <w:tc>
          <w:tcPr>
            <w:tcW w:w="2056" w:type="dxa"/>
            <w:vMerge/>
            <w:hideMark/>
          </w:tcPr>
          <w:p w14:paraId="31680AFD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2061" w:type="dxa"/>
            <w:hideMark/>
          </w:tcPr>
          <w:p w14:paraId="7F7A6299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Ipilimumab 3 mg/kg q3w</w:t>
            </w:r>
          </w:p>
        </w:tc>
        <w:tc>
          <w:tcPr>
            <w:tcW w:w="2134" w:type="dxa"/>
            <w:vMerge/>
            <w:hideMark/>
          </w:tcPr>
          <w:p w14:paraId="5CBFD137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921" w:type="dxa"/>
            <w:vMerge/>
            <w:hideMark/>
          </w:tcPr>
          <w:p w14:paraId="45CA0FD5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494" w:type="dxa"/>
            <w:vMerge/>
            <w:hideMark/>
          </w:tcPr>
          <w:p w14:paraId="73CE4AF2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</w:tr>
      <w:tr w:rsidR="00BD4FDD" w:rsidRPr="00694010" w14:paraId="3F4412A3" w14:textId="77777777" w:rsidTr="00BD4FDD">
        <w:trPr>
          <w:trHeight w:val="14"/>
        </w:trPr>
        <w:tc>
          <w:tcPr>
            <w:tcW w:w="2056" w:type="dxa"/>
            <w:vMerge/>
            <w:hideMark/>
          </w:tcPr>
          <w:p w14:paraId="00610EAB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2061" w:type="dxa"/>
            <w:hideMark/>
          </w:tcPr>
          <w:p w14:paraId="267C7776" w14:textId="77777777" w:rsidR="00BD4FDD" w:rsidRPr="00694010" w:rsidRDefault="00BD4FD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gp100 q3w</w:t>
            </w:r>
          </w:p>
        </w:tc>
        <w:tc>
          <w:tcPr>
            <w:tcW w:w="2134" w:type="dxa"/>
            <w:vMerge/>
            <w:hideMark/>
          </w:tcPr>
          <w:p w14:paraId="5E82FF29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921" w:type="dxa"/>
            <w:vMerge/>
            <w:hideMark/>
          </w:tcPr>
          <w:p w14:paraId="6283B045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494" w:type="dxa"/>
            <w:vMerge/>
            <w:hideMark/>
          </w:tcPr>
          <w:p w14:paraId="710E21E0" w14:textId="77777777" w:rsidR="00BD4FDD" w:rsidRPr="00694010" w:rsidRDefault="00BD4FDD" w:rsidP="001D47F3">
            <w:pPr>
              <w:pStyle w:val="BodyText"/>
              <w:rPr>
                <w:lang w:val="en-US"/>
              </w:rPr>
            </w:pPr>
          </w:p>
        </w:tc>
      </w:tr>
    </w:tbl>
    <w:p w14:paraId="70275847" w14:textId="77777777" w:rsidR="00B456DC" w:rsidRPr="00694010" w:rsidRDefault="00B456DC" w:rsidP="00B456DC">
      <w:pPr>
        <w:pStyle w:val="Footnote"/>
        <w:rPr>
          <w:lang w:val="en-US"/>
        </w:rPr>
      </w:pPr>
      <w:r w:rsidRPr="00694010">
        <w:rPr>
          <w:rStyle w:val="Superscript"/>
          <w:lang w:val="en-US"/>
        </w:rPr>
        <w:t>b</w:t>
      </w:r>
      <w:r w:rsidRPr="00694010">
        <w:rPr>
          <w:lang w:val="en-US"/>
        </w:rPr>
        <w:t xml:space="preserve"> For first four doses, followed by nivolumab 3 mg/kg q2w from cycle 3</w:t>
      </w:r>
    </w:p>
    <w:p w14:paraId="30728358" w14:textId="77777777" w:rsidR="00B456DC" w:rsidRPr="00694010" w:rsidRDefault="00B456DC" w:rsidP="00B456DC">
      <w:pPr>
        <w:pStyle w:val="Footnote"/>
        <w:rPr>
          <w:lang w:val="en-US"/>
        </w:rPr>
      </w:pPr>
      <w:r w:rsidRPr="00694010">
        <w:rPr>
          <w:lang w:val="en-US"/>
        </w:rPr>
        <w:t>q2w, every 2 weeks; q3w, every 3 weeks; WT, wild type</w:t>
      </w:r>
    </w:p>
    <w:p w14:paraId="3425A202" w14:textId="1340CC4C" w:rsidR="006460A5" w:rsidRPr="00694010" w:rsidRDefault="00B456DC" w:rsidP="00B456DC">
      <w:pPr>
        <w:pStyle w:val="Footnote"/>
        <w:rPr>
          <w:rStyle w:val="RemoveCharacterStyle"/>
          <w:lang w:val="en-US"/>
        </w:rPr>
      </w:pPr>
      <w:r w:rsidRPr="00694010">
        <w:rPr>
          <w:lang w:val="en-US"/>
        </w:rPr>
        <w:t>S</w:t>
      </w:r>
      <w:r w:rsidRPr="00694010">
        <w:rPr>
          <w:rStyle w:val="RemoveCharacterStyle"/>
          <w:lang w:val="en-US"/>
        </w:rPr>
        <w:t xml:space="preserve">ource: Robert </w:t>
      </w:r>
      <w:r w:rsidR="000E22BE"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., 2015</w:t>
      </w:r>
      <w:r w:rsidR="003770D0" w:rsidRPr="00694010">
        <w:rPr>
          <w:rStyle w:val="RemoveCharacterStyle"/>
          <w:lang w:val="en-US"/>
        </w:rPr>
        <w:t xml:space="preserve"> [1];</w:t>
      </w:r>
      <w:r w:rsidRPr="00694010">
        <w:rPr>
          <w:rStyle w:val="RemoveCharacterStyle"/>
          <w:vertAlign w:val="superscript"/>
          <w:lang w:val="en-US"/>
        </w:rPr>
        <w:t xml:space="preserve"> </w:t>
      </w:r>
      <w:r w:rsidRPr="00694010">
        <w:rPr>
          <w:rStyle w:val="RemoveCharacterStyle"/>
          <w:lang w:val="en-US"/>
        </w:rPr>
        <w:t xml:space="preserve">Robert </w:t>
      </w:r>
      <w:r w:rsidR="000E22BE"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., 2015</w:t>
      </w:r>
      <w:r w:rsidR="003770D0" w:rsidRPr="00694010">
        <w:rPr>
          <w:rStyle w:val="RemoveCharacterStyle"/>
          <w:lang w:val="en-US"/>
        </w:rPr>
        <w:t xml:space="preserve"> [2];</w:t>
      </w:r>
      <w:r w:rsidRPr="00694010">
        <w:rPr>
          <w:rStyle w:val="RemoveCharacterStyle"/>
          <w:lang w:val="en-US"/>
        </w:rPr>
        <w:t xml:space="preserve"> Long </w:t>
      </w:r>
      <w:r w:rsidR="000E22BE"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., 2015</w:t>
      </w:r>
      <w:r w:rsidR="000E22BE" w:rsidRPr="00694010">
        <w:rPr>
          <w:rStyle w:val="RemoveCharacterStyle"/>
          <w:lang w:val="en-US"/>
        </w:rPr>
        <w:t xml:space="preserve"> [3];</w:t>
      </w:r>
      <w:r w:rsidRPr="00694010">
        <w:rPr>
          <w:rStyle w:val="RemoveCharacterStyle"/>
          <w:lang w:val="en-US"/>
        </w:rPr>
        <w:t xml:space="preserve"> Larkin </w:t>
      </w:r>
      <w:r w:rsidR="000E22BE"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., 2015</w:t>
      </w:r>
      <w:r w:rsidR="000E22BE" w:rsidRPr="00694010">
        <w:rPr>
          <w:rStyle w:val="RemoveCharacterStyle"/>
          <w:lang w:val="en-US"/>
        </w:rPr>
        <w:t xml:space="preserve"> [4];</w:t>
      </w:r>
      <w:r w:rsidRPr="00694010">
        <w:rPr>
          <w:rStyle w:val="RemoveCharacterStyle"/>
          <w:lang w:val="en-US"/>
        </w:rPr>
        <w:t xml:space="preserve"> Postow </w:t>
      </w:r>
      <w:r w:rsidR="000E22BE"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., 2015</w:t>
      </w:r>
      <w:r w:rsidR="000E22BE" w:rsidRPr="00694010">
        <w:rPr>
          <w:rStyle w:val="RemoveCharacterStyle"/>
          <w:vertAlign w:val="superscript"/>
          <w:lang w:val="en-US"/>
        </w:rPr>
        <w:t xml:space="preserve"> [</w:t>
      </w:r>
      <w:r w:rsidR="000E22BE" w:rsidRPr="00694010">
        <w:rPr>
          <w:rStyle w:val="RemoveCharacterStyle"/>
          <w:lang w:val="en-US"/>
        </w:rPr>
        <w:t>5</w:t>
      </w:r>
      <w:r w:rsidR="000E22BE" w:rsidRPr="00694010">
        <w:rPr>
          <w:rStyle w:val="RemoveCharacterStyle"/>
          <w:vertAlign w:val="superscript"/>
          <w:lang w:val="en-US"/>
        </w:rPr>
        <w:t>];</w:t>
      </w:r>
      <w:r w:rsidRPr="00694010">
        <w:rPr>
          <w:rStyle w:val="RemoveCharacterStyle"/>
          <w:lang w:val="en-US"/>
        </w:rPr>
        <w:t xml:space="preserve"> Hodi </w:t>
      </w:r>
      <w:r w:rsidR="000E22BE"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., 2010</w:t>
      </w:r>
      <w:r w:rsidR="000E22BE" w:rsidRPr="00694010">
        <w:rPr>
          <w:rStyle w:val="RemoveCharacterStyle"/>
          <w:lang w:val="en-US"/>
        </w:rPr>
        <w:t xml:space="preserve"> [6];</w:t>
      </w:r>
      <w:r w:rsidRPr="00694010">
        <w:rPr>
          <w:rStyle w:val="RemoveCharacterStyle"/>
          <w:lang w:val="en-US"/>
        </w:rPr>
        <w:t xml:space="preserve"> McDermott </w:t>
      </w:r>
      <w:r w:rsidR="000E22BE"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., 201</w:t>
      </w:r>
      <w:r w:rsidR="000E22BE" w:rsidRPr="00694010">
        <w:rPr>
          <w:rStyle w:val="RemoveCharacterStyle"/>
          <w:lang w:val="en-US"/>
        </w:rPr>
        <w:t>3 [</w:t>
      </w:r>
      <w:r w:rsidR="003770D0" w:rsidRPr="00694010">
        <w:rPr>
          <w:rStyle w:val="RemoveCharacterStyle"/>
          <w:lang w:val="en-US"/>
        </w:rPr>
        <w:t>7]</w:t>
      </w:r>
    </w:p>
    <w:p w14:paraId="10F2F142" w14:textId="0B3D83C7" w:rsidR="006A005D" w:rsidRPr="00694010" w:rsidRDefault="006A005D" w:rsidP="006A005D">
      <w:pPr>
        <w:pStyle w:val="Caption"/>
        <w:rPr>
          <w:lang w:val="en-US"/>
        </w:rPr>
      </w:pPr>
      <w:r w:rsidRPr="00694010">
        <w:rPr>
          <w:lang w:val="en-US"/>
        </w:rPr>
        <w:lastRenderedPageBreak/>
        <w:t xml:space="preserve">Supplementary </w:t>
      </w:r>
      <w:r w:rsidR="00ED70B2" w:rsidRPr="00694010">
        <w:rPr>
          <w:lang w:val="en-US"/>
        </w:rPr>
        <w:t>table</w:t>
      </w:r>
      <w:r w:rsidRPr="00694010">
        <w:rPr>
          <w:lang w:val="en-US"/>
        </w:rPr>
        <w:t xml:space="preserve"> </w:t>
      </w:r>
      <w:r w:rsidR="00694010" w:rsidRPr="00694010">
        <w:rPr>
          <w:lang w:val="en-US"/>
        </w:rPr>
        <w:fldChar w:fldCharType="begin"/>
      </w:r>
      <w:r w:rsidR="00694010" w:rsidRPr="00694010">
        <w:rPr>
          <w:lang w:val="en-US"/>
        </w:rPr>
        <w:instrText xml:space="preserve"> SEQ Supplementary_appendix \* ARABIC </w:instrText>
      </w:r>
      <w:r w:rsidR="00694010" w:rsidRPr="00694010">
        <w:rPr>
          <w:lang w:val="en-US"/>
        </w:rPr>
        <w:fldChar w:fldCharType="separate"/>
      </w:r>
      <w:r w:rsidRPr="00694010">
        <w:rPr>
          <w:noProof/>
          <w:lang w:val="en-US"/>
        </w:rPr>
        <w:t>4</w:t>
      </w:r>
      <w:r w:rsidR="00694010" w:rsidRPr="00694010">
        <w:rPr>
          <w:noProof/>
          <w:lang w:val="en-US"/>
        </w:rPr>
        <w:fldChar w:fldCharType="end"/>
      </w:r>
      <w:r w:rsidRPr="00694010">
        <w:rPr>
          <w:lang w:val="en-US"/>
        </w:rPr>
        <w:t xml:space="preserve"> Clinical trials of targeted agents (BRAF or MEK inhibitors)</w:t>
      </w:r>
    </w:p>
    <w:tbl>
      <w:tblPr>
        <w:tblStyle w:val="PRMATableAccent2"/>
        <w:tblW w:w="9849" w:type="dxa"/>
        <w:tblLayout w:type="fixed"/>
        <w:tblLook w:val="0420" w:firstRow="1" w:lastRow="0" w:firstColumn="0" w:lastColumn="0" w:noHBand="0" w:noVBand="1"/>
      </w:tblPr>
      <w:tblGrid>
        <w:gridCol w:w="1944"/>
        <w:gridCol w:w="3806"/>
        <w:gridCol w:w="2536"/>
        <w:gridCol w:w="1563"/>
      </w:tblGrid>
      <w:tr w:rsidR="00115B3D" w:rsidRPr="00694010" w14:paraId="62CFAE1A" w14:textId="77777777" w:rsidTr="007B4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tcW w:w="1944" w:type="dxa"/>
            <w:tcBorders>
              <w:bottom w:val="single" w:sz="4" w:space="0" w:color="B2B2B2" w:themeColor="accent2"/>
            </w:tcBorders>
            <w:hideMark/>
          </w:tcPr>
          <w:p w14:paraId="033E030E" w14:textId="77777777" w:rsidR="00115B3D" w:rsidRPr="00694010" w:rsidRDefault="00115B3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Trial</w:t>
            </w:r>
          </w:p>
        </w:tc>
        <w:tc>
          <w:tcPr>
            <w:tcW w:w="3806" w:type="dxa"/>
            <w:tcBorders>
              <w:bottom w:val="single" w:sz="4" w:space="0" w:color="B2B2B2" w:themeColor="accent2"/>
            </w:tcBorders>
            <w:hideMark/>
          </w:tcPr>
          <w:p w14:paraId="7D07D732" w14:textId="77777777" w:rsidR="00115B3D" w:rsidRPr="00694010" w:rsidRDefault="00115B3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Treatment arms</w:t>
            </w:r>
          </w:p>
        </w:tc>
        <w:tc>
          <w:tcPr>
            <w:tcW w:w="2536" w:type="dxa"/>
            <w:tcBorders>
              <w:bottom w:val="single" w:sz="4" w:space="0" w:color="B2B2B2" w:themeColor="accent2"/>
            </w:tcBorders>
            <w:hideMark/>
          </w:tcPr>
          <w:p w14:paraId="59155FFB" w14:textId="77777777" w:rsidR="00115B3D" w:rsidRPr="00694010" w:rsidRDefault="00115B3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Condition (stage)</w:t>
            </w:r>
          </w:p>
        </w:tc>
        <w:tc>
          <w:tcPr>
            <w:tcW w:w="1563" w:type="dxa"/>
            <w:tcBorders>
              <w:bottom w:val="single" w:sz="4" w:space="0" w:color="B2B2B2" w:themeColor="accent2"/>
            </w:tcBorders>
            <w:hideMark/>
          </w:tcPr>
          <w:p w14:paraId="240FF441" w14:textId="77777777" w:rsidR="00115B3D" w:rsidRPr="00694010" w:rsidRDefault="00115B3D" w:rsidP="001D47F3">
            <w:pPr>
              <w:pStyle w:val="TableHeader"/>
              <w:rPr>
                <w:lang w:val="en-US"/>
              </w:rPr>
            </w:pPr>
            <w:r w:rsidRPr="00694010">
              <w:rPr>
                <w:lang w:val="en-US"/>
              </w:rPr>
              <w:t>Line of treatment</w:t>
            </w:r>
          </w:p>
        </w:tc>
      </w:tr>
      <w:tr w:rsidR="007B428E" w:rsidRPr="00694010" w14:paraId="17E29AB9" w14:textId="77777777" w:rsidTr="00450A07">
        <w:trPr>
          <w:trHeight w:val="19"/>
        </w:trPr>
        <w:tc>
          <w:tcPr>
            <w:tcW w:w="9849" w:type="dxa"/>
            <w:gridSpan w:val="4"/>
            <w:shd w:val="clear" w:color="auto" w:fill="D9D9D9" w:themeFill="background1" w:themeFillShade="D9"/>
          </w:tcPr>
          <w:p w14:paraId="41AFFF51" w14:textId="7840F0AA" w:rsidR="007B428E" w:rsidRPr="00694010" w:rsidRDefault="00AD1FA7" w:rsidP="007B428E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Vemurafenib</w:t>
            </w:r>
          </w:p>
        </w:tc>
      </w:tr>
      <w:tr w:rsidR="00115B3D" w:rsidRPr="00694010" w14:paraId="7EF3E998" w14:textId="77777777" w:rsidTr="007B428E">
        <w:trPr>
          <w:trHeight w:val="19"/>
        </w:trPr>
        <w:tc>
          <w:tcPr>
            <w:tcW w:w="1944" w:type="dxa"/>
            <w:vMerge w:val="restart"/>
            <w:hideMark/>
          </w:tcPr>
          <w:p w14:paraId="42ADF0D4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BRIM-3</w:t>
            </w:r>
          </w:p>
          <w:p w14:paraId="25FCD706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NCT01006980</w:t>
            </w:r>
          </w:p>
        </w:tc>
        <w:tc>
          <w:tcPr>
            <w:tcW w:w="3806" w:type="dxa"/>
            <w:hideMark/>
          </w:tcPr>
          <w:p w14:paraId="6FD1CB22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Vemurafenib 960 mg bid</w:t>
            </w:r>
          </w:p>
        </w:tc>
        <w:tc>
          <w:tcPr>
            <w:tcW w:w="2536" w:type="dxa"/>
            <w:vMerge w:val="restart"/>
            <w:hideMark/>
          </w:tcPr>
          <w:p w14:paraId="3FB78421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 stage IIIc, IV</w:t>
            </w:r>
          </w:p>
        </w:tc>
        <w:tc>
          <w:tcPr>
            <w:tcW w:w="1563" w:type="dxa"/>
            <w:vMerge w:val="restart"/>
            <w:hideMark/>
          </w:tcPr>
          <w:p w14:paraId="7E54BF73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</w:t>
            </w:r>
          </w:p>
        </w:tc>
      </w:tr>
      <w:tr w:rsidR="00115B3D" w:rsidRPr="00694010" w14:paraId="1EAB6BD6" w14:textId="77777777" w:rsidTr="007B428E">
        <w:trPr>
          <w:trHeight w:val="19"/>
        </w:trPr>
        <w:tc>
          <w:tcPr>
            <w:tcW w:w="1944" w:type="dxa"/>
            <w:vMerge/>
            <w:tcBorders>
              <w:bottom w:val="single" w:sz="4" w:space="0" w:color="B2B2B2" w:themeColor="accent2"/>
            </w:tcBorders>
            <w:hideMark/>
          </w:tcPr>
          <w:p w14:paraId="6E556BD2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3806" w:type="dxa"/>
            <w:tcBorders>
              <w:bottom w:val="single" w:sz="4" w:space="0" w:color="B2B2B2" w:themeColor="accent2"/>
            </w:tcBorders>
            <w:hideMark/>
          </w:tcPr>
          <w:p w14:paraId="5E163E04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Dacarbazine 1,000 mg/m</w:t>
            </w:r>
            <w:r w:rsidRPr="00694010">
              <w:rPr>
                <w:rStyle w:val="Superscript"/>
                <w:lang w:val="en-US"/>
              </w:rPr>
              <w:t>2</w:t>
            </w:r>
            <w:r w:rsidRPr="00694010">
              <w:rPr>
                <w:lang w:val="en-US"/>
              </w:rPr>
              <w:t xml:space="preserve"> q3w</w:t>
            </w:r>
          </w:p>
        </w:tc>
        <w:tc>
          <w:tcPr>
            <w:tcW w:w="2536" w:type="dxa"/>
            <w:vMerge/>
            <w:tcBorders>
              <w:bottom w:val="single" w:sz="4" w:space="0" w:color="B2B2B2" w:themeColor="accent2"/>
            </w:tcBorders>
            <w:hideMark/>
          </w:tcPr>
          <w:p w14:paraId="7B7781D8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bottom w:val="single" w:sz="4" w:space="0" w:color="B2B2B2" w:themeColor="accent2"/>
            </w:tcBorders>
            <w:hideMark/>
          </w:tcPr>
          <w:p w14:paraId="32BD4603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</w:tr>
      <w:tr w:rsidR="007B428E" w:rsidRPr="00694010" w14:paraId="0D6B3DE9" w14:textId="77777777" w:rsidTr="00450A07">
        <w:trPr>
          <w:trHeight w:val="19"/>
        </w:trPr>
        <w:tc>
          <w:tcPr>
            <w:tcW w:w="9849" w:type="dxa"/>
            <w:gridSpan w:val="4"/>
            <w:shd w:val="clear" w:color="auto" w:fill="D9D9D9" w:themeFill="background1" w:themeFillShade="D9"/>
          </w:tcPr>
          <w:p w14:paraId="3F28705C" w14:textId="6E5DA384" w:rsidR="007B428E" w:rsidRPr="00694010" w:rsidRDefault="00AD1FA7" w:rsidP="007B428E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Dabrafenib</w:t>
            </w:r>
          </w:p>
        </w:tc>
      </w:tr>
      <w:tr w:rsidR="00115B3D" w:rsidRPr="00694010" w14:paraId="5C73A4C7" w14:textId="77777777" w:rsidTr="007B428E">
        <w:trPr>
          <w:trHeight w:val="19"/>
        </w:trPr>
        <w:tc>
          <w:tcPr>
            <w:tcW w:w="1944" w:type="dxa"/>
            <w:vMerge w:val="restart"/>
            <w:hideMark/>
          </w:tcPr>
          <w:p w14:paraId="12BB7444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BREAK-3</w:t>
            </w:r>
          </w:p>
          <w:p w14:paraId="3C681E0F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NCT01227889</w:t>
            </w:r>
          </w:p>
        </w:tc>
        <w:tc>
          <w:tcPr>
            <w:tcW w:w="3806" w:type="dxa"/>
            <w:hideMark/>
          </w:tcPr>
          <w:p w14:paraId="0155F8A0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Dabrafenib 150 mg bid</w:t>
            </w:r>
          </w:p>
        </w:tc>
        <w:tc>
          <w:tcPr>
            <w:tcW w:w="2536" w:type="dxa"/>
            <w:vMerge w:val="restart"/>
            <w:hideMark/>
          </w:tcPr>
          <w:p w14:paraId="738ECFB4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</w:t>
            </w:r>
          </w:p>
          <w:p w14:paraId="48C33177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stage III, IV</w:t>
            </w:r>
          </w:p>
        </w:tc>
        <w:tc>
          <w:tcPr>
            <w:tcW w:w="1563" w:type="dxa"/>
            <w:vMerge w:val="restart"/>
            <w:hideMark/>
          </w:tcPr>
          <w:p w14:paraId="034D6C7D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 (IL-2 allowed)</w:t>
            </w:r>
          </w:p>
        </w:tc>
      </w:tr>
      <w:tr w:rsidR="00115B3D" w:rsidRPr="00694010" w14:paraId="4F5D90DB" w14:textId="77777777" w:rsidTr="007B428E">
        <w:trPr>
          <w:trHeight w:val="509"/>
        </w:trPr>
        <w:tc>
          <w:tcPr>
            <w:tcW w:w="1944" w:type="dxa"/>
            <w:vMerge/>
            <w:hideMark/>
          </w:tcPr>
          <w:p w14:paraId="5B855303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3806" w:type="dxa"/>
            <w:vMerge w:val="restart"/>
            <w:hideMark/>
          </w:tcPr>
          <w:p w14:paraId="24CE896F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Dacarbazine 1,000 mg/m</w:t>
            </w:r>
            <w:r w:rsidRPr="00694010">
              <w:rPr>
                <w:rStyle w:val="Superscript"/>
                <w:lang w:val="en-US"/>
              </w:rPr>
              <w:t>2</w:t>
            </w:r>
            <w:r w:rsidRPr="00694010">
              <w:rPr>
                <w:lang w:val="en-US"/>
              </w:rPr>
              <w:t xml:space="preserve"> q3w</w:t>
            </w:r>
          </w:p>
        </w:tc>
        <w:tc>
          <w:tcPr>
            <w:tcW w:w="2536" w:type="dxa"/>
            <w:vMerge/>
            <w:hideMark/>
          </w:tcPr>
          <w:p w14:paraId="6D06FF5C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563" w:type="dxa"/>
            <w:vMerge/>
            <w:hideMark/>
          </w:tcPr>
          <w:p w14:paraId="407F5971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</w:tr>
      <w:tr w:rsidR="00115B3D" w:rsidRPr="00694010" w14:paraId="5CD6E6C7" w14:textId="77777777" w:rsidTr="007B428E">
        <w:trPr>
          <w:trHeight w:val="509"/>
        </w:trPr>
        <w:tc>
          <w:tcPr>
            <w:tcW w:w="1944" w:type="dxa"/>
            <w:vMerge/>
            <w:tcBorders>
              <w:bottom w:val="single" w:sz="4" w:space="0" w:color="B2B2B2" w:themeColor="accent2"/>
            </w:tcBorders>
            <w:hideMark/>
          </w:tcPr>
          <w:p w14:paraId="538B0EE1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3806" w:type="dxa"/>
            <w:vMerge/>
            <w:tcBorders>
              <w:bottom w:val="single" w:sz="4" w:space="0" w:color="B2B2B2" w:themeColor="accent2"/>
            </w:tcBorders>
            <w:hideMark/>
          </w:tcPr>
          <w:p w14:paraId="18C6A81B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2536" w:type="dxa"/>
            <w:vMerge/>
            <w:tcBorders>
              <w:bottom w:val="single" w:sz="4" w:space="0" w:color="B2B2B2" w:themeColor="accent2"/>
            </w:tcBorders>
            <w:hideMark/>
          </w:tcPr>
          <w:p w14:paraId="62DF494F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bottom w:val="single" w:sz="4" w:space="0" w:color="B2B2B2" w:themeColor="accent2"/>
            </w:tcBorders>
            <w:hideMark/>
          </w:tcPr>
          <w:p w14:paraId="2B0C52E9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</w:tr>
      <w:tr w:rsidR="007B428E" w:rsidRPr="00694010" w14:paraId="7A6420E5" w14:textId="77777777" w:rsidTr="00450A07">
        <w:trPr>
          <w:trHeight w:val="19"/>
        </w:trPr>
        <w:tc>
          <w:tcPr>
            <w:tcW w:w="9849" w:type="dxa"/>
            <w:gridSpan w:val="4"/>
            <w:shd w:val="clear" w:color="auto" w:fill="D9D9D9" w:themeFill="background1" w:themeFillShade="D9"/>
          </w:tcPr>
          <w:p w14:paraId="5CA9D52E" w14:textId="1956DF3D" w:rsidR="007B428E" w:rsidRPr="00694010" w:rsidRDefault="00AD1FA7" w:rsidP="007B428E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Trametinib</w:t>
            </w:r>
          </w:p>
        </w:tc>
      </w:tr>
      <w:tr w:rsidR="00115B3D" w:rsidRPr="00694010" w14:paraId="0C0DAB52" w14:textId="77777777" w:rsidTr="007B428E">
        <w:trPr>
          <w:trHeight w:val="19"/>
        </w:trPr>
        <w:tc>
          <w:tcPr>
            <w:tcW w:w="1944" w:type="dxa"/>
            <w:vMerge w:val="restart"/>
            <w:hideMark/>
          </w:tcPr>
          <w:p w14:paraId="0BFC9F46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METRIC</w:t>
            </w:r>
          </w:p>
          <w:p w14:paraId="7576F1A8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NCT01245062</w:t>
            </w:r>
          </w:p>
        </w:tc>
        <w:tc>
          <w:tcPr>
            <w:tcW w:w="3806" w:type="dxa"/>
            <w:hideMark/>
          </w:tcPr>
          <w:p w14:paraId="6F21A0D5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Trametinib 2 mg qd</w:t>
            </w:r>
          </w:p>
        </w:tc>
        <w:tc>
          <w:tcPr>
            <w:tcW w:w="2536" w:type="dxa"/>
            <w:vMerge w:val="restart"/>
            <w:hideMark/>
          </w:tcPr>
          <w:p w14:paraId="1553D920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 stage IIIc, IV</w:t>
            </w:r>
          </w:p>
        </w:tc>
        <w:tc>
          <w:tcPr>
            <w:tcW w:w="1563" w:type="dxa"/>
            <w:vMerge w:val="restart"/>
            <w:hideMark/>
          </w:tcPr>
          <w:p w14:paraId="4CBD69FB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 or second</w:t>
            </w:r>
          </w:p>
        </w:tc>
      </w:tr>
      <w:tr w:rsidR="00115B3D" w:rsidRPr="00694010" w14:paraId="11A209D4" w14:textId="77777777" w:rsidTr="007B428E">
        <w:trPr>
          <w:trHeight w:val="19"/>
        </w:trPr>
        <w:tc>
          <w:tcPr>
            <w:tcW w:w="1944" w:type="dxa"/>
            <w:vMerge/>
            <w:tcBorders>
              <w:bottom w:val="single" w:sz="4" w:space="0" w:color="B2B2B2" w:themeColor="accent2"/>
            </w:tcBorders>
            <w:hideMark/>
          </w:tcPr>
          <w:p w14:paraId="037215AD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3806" w:type="dxa"/>
            <w:tcBorders>
              <w:bottom w:val="single" w:sz="4" w:space="0" w:color="B2B2B2" w:themeColor="accent2"/>
            </w:tcBorders>
            <w:hideMark/>
          </w:tcPr>
          <w:p w14:paraId="4AB639C1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Dacarbazine 1,000 mg/m</w:t>
            </w:r>
            <w:r w:rsidRPr="00694010">
              <w:rPr>
                <w:rStyle w:val="Superscript"/>
                <w:lang w:val="en-US"/>
              </w:rPr>
              <w:t>2</w:t>
            </w:r>
            <w:r w:rsidRPr="00694010">
              <w:rPr>
                <w:lang w:val="en-US"/>
              </w:rPr>
              <w:t xml:space="preserve"> or paclitaxel 175 mg/m</w:t>
            </w:r>
            <w:r w:rsidRPr="00694010">
              <w:rPr>
                <w:rStyle w:val="Superscript"/>
                <w:lang w:val="en-US"/>
              </w:rPr>
              <w:t>2</w:t>
            </w:r>
          </w:p>
        </w:tc>
        <w:tc>
          <w:tcPr>
            <w:tcW w:w="2536" w:type="dxa"/>
            <w:vMerge/>
            <w:tcBorders>
              <w:bottom w:val="single" w:sz="4" w:space="0" w:color="B2B2B2" w:themeColor="accent2"/>
            </w:tcBorders>
            <w:hideMark/>
          </w:tcPr>
          <w:p w14:paraId="674D5715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563" w:type="dxa"/>
            <w:vMerge/>
            <w:tcBorders>
              <w:bottom w:val="single" w:sz="4" w:space="0" w:color="B2B2B2" w:themeColor="accent2"/>
            </w:tcBorders>
            <w:hideMark/>
          </w:tcPr>
          <w:p w14:paraId="1D12B5BF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</w:tr>
      <w:tr w:rsidR="007B428E" w:rsidRPr="00694010" w14:paraId="4E159562" w14:textId="77777777" w:rsidTr="00450A07">
        <w:trPr>
          <w:trHeight w:val="19"/>
        </w:trPr>
        <w:tc>
          <w:tcPr>
            <w:tcW w:w="9849" w:type="dxa"/>
            <w:gridSpan w:val="4"/>
            <w:shd w:val="clear" w:color="auto" w:fill="D9D9D9" w:themeFill="background1" w:themeFillShade="D9"/>
          </w:tcPr>
          <w:p w14:paraId="6B94FF5D" w14:textId="34BEEA5F" w:rsidR="007B428E" w:rsidRPr="00694010" w:rsidRDefault="00AD1FA7" w:rsidP="00AD1FA7">
            <w:pPr>
              <w:pStyle w:val="TableHeaderCentred"/>
              <w:rPr>
                <w:lang w:val="en-US"/>
              </w:rPr>
            </w:pPr>
            <w:r w:rsidRPr="00694010">
              <w:rPr>
                <w:lang w:val="en-US"/>
              </w:rPr>
              <w:t>Dabrafenib in combination with trametinib</w:t>
            </w:r>
          </w:p>
        </w:tc>
      </w:tr>
      <w:tr w:rsidR="00115B3D" w:rsidRPr="00694010" w14:paraId="0D504888" w14:textId="77777777" w:rsidTr="007B428E">
        <w:trPr>
          <w:trHeight w:val="19"/>
        </w:trPr>
        <w:tc>
          <w:tcPr>
            <w:tcW w:w="1944" w:type="dxa"/>
            <w:vMerge w:val="restart"/>
            <w:hideMark/>
          </w:tcPr>
          <w:p w14:paraId="054B2665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NCT01584648</w:t>
            </w:r>
          </w:p>
        </w:tc>
        <w:tc>
          <w:tcPr>
            <w:tcW w:w="3806" w:type="dxa"/>
            <w:hideMark/>
          </w:tcPr>
          <w:p w14:paraId="2F0C98A1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Dabrafenib 150 mg bid + trametinib 2 mg qd</w:t>
            </w:r>
          </w:p>
        </w:tc>
        <w:tc>
          <w:tcPr>
            <w:tcW w:w="2536" w:type="dxa"/>
            <w:vMerge w:val="restart"/>
            <w:hideMark/>
          </w:tcPr>
          <w:p w14:paraId="18AE7E7A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 stage IIIc, IV</w:t>
            </w:r>
          </w:p>
        </w:tc>
        <w:tc>
          <w:tcPr>
            <w:tcW w:w="1563" w:type="dxa"/>
            <w:vMerge w:val="restart"/>
            <w:hideMark/>
          </w:tcPr>
          <w:p w14:paraId="7936C936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</w:t>
            </w:r>
          </w:p>
        </w:tc>
      </w:tr>
      <w:tr w:rsidR="00115B3D" w:rsidRPr="00694010" w14:paraId="3E0D38B8" w14:textId="77777777" w:rsidTr="007B428E">
        <w:trPr>
          <w:trHeight w:val="19"/>
        </w:trPr>
        <w:tc>
          <w:tcPr>
            <w:tcW w:w="1944" w:type="dxa"/>
            <w:vMerge/>
            <w:hideMark/>
          </w:tcPr>
          <w:p w14:paraId="5BFB4DAA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3806" w:type="dxa"/>
            <w:hideMark/>
          </w:tcPr>
          <w:p w14:paraId="52DF5ECE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Dabrafenib 150 mg bid</w:t>
            </w:r>
          </w:p>
        </w:tc>
        <w:tc>
          <w:tcPr>
            <w:tcW w:w="2536" w:type="dxa"/>
            <w:vMerge/>
            <w:hideMark/>
          </w:tcPr>
          <w:p w14:paraId="12B22970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563" w:type="dxa"/>
            <w:vMerge/>
            <w:hideMark/>
          </w:tcPr>
          <w:p w14:paraId="57EC63DC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</w:tr>
      <w:tr w:rsidR="00115B3D" w:rsidRPr="00694010" w14:paraId="542A8B95" w14:textId="77777777" w:rsidTr="007B428E">
        <w:trPr>
          <w:trHeight w:val="19"/>
        </w:trPr>
        <w:tc>
          <w:tcPr>
            <w:tcW w:w="1944" w:type="dxa"/>
            <w:vMerge w:val="restart"/>
            <w:hideMark/>
          </w:tcPr>
          <w:p w14:paraId="1C45D146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NCT01072175</w:t>
            </w:r>
          </w:p>
        </w:tc>
        <w:tc>
          <w:tcPr>
            <w:tcW w:w="3806" w:type="dxa"/>
            <w:hideMark/>
          </w:tcPr>
          <w:p w14:paraId="3D7A2985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Dabrafenib 150 mg bid</w:t>
            </w:r>
          </w:p>
        </w:tc>
        <w:tc>
          <w:tcPr>
            <w:tcW w:w="2536" w:type="dxa"/>
            <w:vMerge w:val="restart"/>
            <w:hideMark/>
          </w:tcPr>
          <w:p w14:paraId="5F846D15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Metastatic melanoma</w:t>
            </w:r>
          </w:p>
        </w:tc>
        <w:tc>
          <w:tcPr>
            <w:tcW w:w="1563" w:type="dxa"/>
            <w:vMerge w:val="restart"/>
            <w:hideMark/>
          </w:tcPr>
          <w:p w14:paraId="7659A08F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 (one previous chemo or IL-2 regimen or allowed)</w:t>
            </w:r>
          </w:p>
        </w:tc>
      </w:tr>
      <w:tr w:rsidR="00115B3D" w:rsidRPr="00694010" w14:paraId="6FD82BE9" w14:textId="77777777" w:rsidTr="007B428E">
        <w:trPr>
          <w:trHeight w:val="19"/>
        </w:trPr>
        <w:tc>
          <w:tcPr>
            <w:tcW w:w="1944" w:type="dxa"/>
            <w:vMerge/>
            <w:hideMark/>
          </w:tcPr>
          <w:p w14:paraId="7F39C04C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3806" w:type="dxa"/>
            <w:hideMark/>
          </w:tcPr>
          <w:p w14:paraId="65931666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Dabrafenib 150 mg bid + trametinib 1 mg qd</w:t>
            </w:r>
          </w:p>
        </w:tc>
        <w:tc>
          <w:tcPr>
            <w:tcW w:w="2536" w:type="dxa"/>
            <w:vMerge/>
            <w:hideMark/>
          </w:tcPr>
          <w:p w14:paraId="64C030C1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563" w:type="dxa"/>
            <w:vMerge/>
            <w:hideMark/>
          </w:tcPr>
          <w:p w14:paraId="3C1B5A5E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</w:tr>
      <w:tr w:rsidR="00115B3D" w:rsidRPr="00694010" w14:paraId="53781D67" w14:textId="77777777" w:rsidTr="007B428E">
        <w:trPr>
          <w:trHeight w:val="19"/>
        </w:trPr>
        <w:tc>
          <w:tcPr>
            <w:tcW w:w="1944" w:type="dxa"/>
            <w:vMerge/>
            <w:hideMark/>
          </w:tcPr>
          <w:p w14:paraId="5319729E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3806" w:type="dxa"/>
            <w:hideMark/>
          </w:tcPr>
          <w:p w14:paraId="124F03AC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Dabrafenib 150 mg bid + trametinib 2 mg qd</w:t>
            </w:r>
          </w:p>
        </w:tc>
        <w:tc>
          <w:tcPr>
            <w:tcW w:w="2536" w:type="dxa"/>
            <w:vMerge/>
            <w:hideMark/>
          </w:tcPr>
          <w:p w14:paraId="2316BFE0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  <w:tc>
          <w:tcPr>
            <w:tcW w:w="1563" w:type="dxa"/>
            <w:vMerge/>
            <w:hideMark/>
          </w:tcPr>
          <w:p w14:paraId="3ACBABBF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</w:p>
        </w:tc>
      </w:tr>
      <w:tr w:rsidR="00115B3D" w:rsidRPr="00694010" w14:paraId="49B90F07" w14:textId="77777777" w:rsidTr="007B428E">
        <w:trPr>
          <w:trHeight w:val="244"/>
        </w:trPr>
        <w:tc>
          <w:tcPr>
            <w:tcW w:w="1944" w:type="dxa"/>
            <w:vMerge w:val="restart"/>
            <w:hideMark/>
          </w:tcPr>
          <w:p w14:paraId="420CCCDD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NCT01597908</w:t>
            </w:r>
          </w:p>
        </w:tc>
        <w:tc>
          <w:tcPr>
            <w:tcW w:w="3806" w:type="dxa"/>
            <w:vMerge w:val="restart"/>
            <w:hideMark/>
          </w:tcPr>
          <w:p w14:paraId="001C08F7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Dabrafenib 150 mg bid + trametinib 2 mg qd</w:t>
            </w:r>
          </w:p>
        </w:tc>
        <w:tc>
          <w:tcPr>
            <w:tcW w:w="2536" w:type="dxa"/>
            <w:vMerge w:val="restart"/>
            <w:hideMark/>
          </w:tcPr>
          <w:p w14:paraId="1BA0584B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Unresectable stage IIIc, IV</w:t>
            </w:r>
          </w:p>
        </w:tc>
        <w:tc>
          <w:tcPr>
            <w:tcW w:w="1563" w:type="dxa"/>
            <w:vMerge w:val="restart"/>
            <w:hideMark/>
          </w:tcPr>
          <w:p w14:paraId="71680065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First</w:t>
            </w:r>
          </w:p>
        </w:tc>
      </w:tr>
      <w:tr w:rsidR="00115B3D" w:rsidRPr="00694010" w14:paraId="0F785E09" w14:textId="77777777" w:rsidTr="007B428E">
        <w:trPr>
          <w:trHeight w:val="618"/>
        </w:trPr>
        <w:tc>
          <w:tcPr>
            <w:tcW w:w="1944" w:type="dxa"/>
            <w:vMerge/>
            <w:hideMark/>
          </w:tcPr>
          <w:p w14:paraId="5B826944" w14:textId="77777777" w:rsidR="00115B3D" w:rsidRPr="00694010" w:rsidRDefault="00115B3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3806" w:type="dxa"/>
            <w:vMerge/>
            <w:hideMark/>
          </w:tcPr>
          <w:p w14:paraId="350D3ADB" w14:textId="77777777" w:rsidR="00115B3D" w:rsidRPr="00694010" w:rsidRDefault="00115B3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2536" w:type="dxa"/>
            <w:vMerge/>
            <w:hideMark/>
          </w:tcPr>
          <w:p w14:paraId="7485F57F" w14:textId="77777777" w:rsidR="00115B3D" w:rsidRPr="00694010" w:rsidRDefault="00115B3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563" w:type="dxa"/>
            <w:vMerge/>
            <w:hideMark/>
          </w:tcPr>
          <w:p w14:paraId="52280FEF" w14:textId="77777777" w:rsidR="00115B3D" w:rsidRPr="00694010" w:rsidRDefault="00115B3D" w:rsidP="001D47F3">
            <w:pPr>
              <w:pStyle w:val="BodyText"/>
              <w:rPr>
                <w:lang w:val="en-US"/>
              </w:rPr>
            </w:pPr>
          </w:p>
        </w:tc>
      </w:tr>
      <w:tr w:rsidR="00115B3D" w:rsidRPr="00694010" w14:paraId="64E3CC2D" w14:textId="77777777" w:rsidTr="007B428E">
        <w:trPr>
          <w:trHeight w:val="19"/>
        </w:trPr>
        <w:tc>
          <w:tcPr>
            <w:tcW w:w="1944" w:type="dxa"/>
            <w:vMerge/>
            <w:hideMark/>
          </w:tcPr>
          <w:p w14:paraId="17BC487A" w14:textId="77777777" w:rsidR="00115B3D" w:rsidRPr="00694010" w:rsidRDefault="00115B3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3806" w:type="dxa"/>
            <w:hideMark/>
          </w:tcPr>
          <w:p w14:paraId="2D35358E" w14:textId="77777777" w:rsidR="00115B3D" w:rsidRPr="00694010" w:rsidRDefault="00115B3D" w:rsidP="001D47F3">
            <w:pPr>
              <w:pStyle w:val="TableBody"/>
              <w:rPr>
                <w:lang w:val="en-US"/>
              </w:rPr>
            </w:pPr>
            <w:r w:rsidRPr="00694010">
              <w:rPr>
                <w:lang w:val="en-US"/>
              </w:rPr>
              <w:t>Vemurafenib 960 mg bid</w:t>
            </w:r>
          </w:p>
        </w:tc>
        <w:tc>
          <w:tcPr>
            <w:tcW w:w="2536" w:type="dxa"/>
            <w:vMerge/>
            <w:hideMark/>
          </w:tcPr>
          <w:p w14:paraId="585F4C22" w14:textId="77777777" w:rsidR="00115B3D" w:rsidRPr="00694010" w:rsidRDefault="00115B3D" w:rsidP="001D47F3">
            <w:pPr>
              <w:pStyle w:val="BodyText"/>
              <w:rPr>
                <w:lang w:val="en-US"/>
              </w:rPr>
            </w:pPr>
          </w:p>
        </w:tc>
        <w:tc>
          <w:tcPr>
            <w:tcW w:w="1563" w:type="dxa"/>
            <w:vMerge/>
            <w:hideMark/>
          </w:tcPr>
          <w:p w14:paraId="5AF88ECA" w14:textId="77777777" w:rsidR="00115B3D" w:rsidRPr="00694010" w:rsidRDefault="00115B3D" w:rsidP="001D47F3">
            <w:pPr>
              <w:pStyle w:val="BodyText"/>
              <w:rPr>
                <w:lang w:val="en-US"/>
              </w:rPr>
            </w:pPr>
          </w:p>
        </w:tc>
      </w:tr>
    </w:tbl>
    <w:p w14:paraId="45BBBC44" w14:textId="72E64388" w:rsidR="00503DDE" w:rsidRPr="00694010" w:rsidRDefault="00503DDE" w:rsidP="00503DDE">
      <w:pPr>
        <w:pStyle w:val="Footnote"/>
        <w:rPr>
          <w:lang w:val="en-US"/>
        </w:rPr>
      </w:pPr>
      <w:r w:rsidRPr="00694010">
        <w:rPr>
          <w:lang w:val="en-US"/>
        </w:rPr>
        <w:t>bid, twice daily; IL-2, interleukin 2; qd, daily; q3w, every 3 weeks</w:t>
      </w:r>
    </w:p>
    <w:p w14:paraId="1E12762D" w14:textId="2F763208" w:rsidR="00503DDE" w:rsidRPr="00694010" w:rsidRDefault="00503DDE" w:rsidP="00503DDE">
      <w:pPr>
        <w:pStyle w:val="Footnote"/>
        <w:rPr>
          <w:vertAlign w:val="superscript"/>
          <w:lang w:val="en-US"/>
        </w:rPr>
      </w:pPr>
      <w:r w:rsidRPr="00694010">
        <w:rPr>
          <w:lang w:val="en-US"/>
        </w:rPr>
        <w:t xml:space="preserve">Source: Chapman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2011</w:t>
      </w:r>
      <w:r w:rsidR="000E22BE" w:rsidRPr="00694010">
        <w:rPr>
          <w:lang w:val="en-US"/>
        </w:rPr>
        <w:t xml:space="preserve"> [8];</w:t>
      </w:r>
      <w:r w:rsidRPr="00694010">
        <w:rPr>
          <w:lang w:val="en-US"/>
        </w:rPr>
        <w:t xml:space="preserve"> McArthur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[9];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>2013</w:t>
      </w:r>
      <w:r w:rsidR="000E22BE" w:rsidRPr="00694010">
        <w:rPr>
          <w:lang w:val="en-US"/>
        </w:rPr>
        <w:t xml:space="preserve"> [10];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[11];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2013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12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13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Grob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14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Flaherty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[15];</w:t>
      </w:r>
      <w:r w:rsidRPr="00694010">
        <w:rPr>
          <w:vertAlign w:val="superscript"/>
          <w:lang w:val="en-US"/>
        </w:rPr>
        <w:t xml:space="preserve"> </w:t>
      </w:r>
      <w:r w:rsidRPr="00694010">
        <w:rPr>
          <w:lang w:val="en-US"/>
        </w:rPr>
        <w:t xml:space="preserve">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[16];</w:t>
      </w:r>
      <w:r w:rsidRPr="00694010">
        <w:rPr>
          <w:lang w:val="en-US"/>
        </w:rPr>
        <w:t xml:space="preserve"> 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[17];</w:t>
      </w:r>
      <w:r w:rsidRPr="00694010">
        <w:rPr>
          <w:vertAlign w:val="superscript"/>
          <w:lang w:val="en-US"/>
        </w:rPr>
        <w:t xml:space="preserve"> </w:t>
      </w:r>
      <w:r w:rsidRPr="00694010">
        <w:rPr>
          <w:lang w:val="en-US"/>
        </w:rPr>
        <w:t xml:space="preserve">Flaherty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[18];</w:t>
      </w:r>
      <w:r w:rsidRPr="00694010">
        <w:rPr>
          <w:lang w:val="en-US"/>
        </w:rPr>
        <w:t xml:space="preserve"> Robert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</w:t>
      </w:r>
      <w:r w:rsidR="000E22BE" w:rsidRPr="00694010">
        <w:rPr>
          <w:lang w:val="en-US"/>
        </w:rPr>
        <w:t>5 [</w:t>
      </w:r>
      <w:r w:rsidR="003770D0" w:rsidRPr="00694010">
        <w:rPr>
          <w:lang w:val="en-US"/>
        </w:rPr>
        <w:t>19]</w:t>
      </w:r>
    </w:p>
    <w:p w14:paraId="7509A7E5" w14:textId="77777777" w:rsidR="001C13DF" w:rsidRPr="00694010" w:rsidRDefault="001C13DF">
      <w:pPr>
        <w:spacing w:line="276" w:lineRule="auto"/>
        <w:rPr>
          <w:vertAlign w:val="superscript"/>
          <w:lang w:val="en-US"/>
        </w:rPr>
        <w:sectPr w:rsidR="001C13DF" w:rsidRPr="00694010" w:rsidSect="00503DD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0C4B60" w14:textId="3A8008EC" w:rsidR="006A005D" w:rsidRPr="00694010" w:rsidRDefault="006A005D" w:rsidP="006A005D">
      <w:pPr>
        <w:pStyle w:val="Caption"/>
        <w:rPr>
          <w:lang w:val="en-US"/>
        </w:rPr>
      </w:pPr>
      <w:r w:rsidRPr="00694010">
        <w:rPr>
          <w:lang w:val="en-US"/>
        </w:rPr>
        <w:lastRenderedPageBreak/>
        <w:t xml:space="preserve">Supplementary </w:t>
      </w:r>
      <w:r w:rsidR="00ED70B2" w:rsidRPr="00694010">
        <w:rPr>
          <w:lang w:val="en-US"/>
        </w:rPr>
        <w:t>table</w:t>
      </w:r>
      <w:r w:rsidRPr="00694010">
        <w:rPr>
          <w:lang w:val="en-US"/>
        </w:rPr>
        <w:t xml:space="preserve"> </w:t>
      </w:r>
      <w:r w:rsidR="00694010" w:rsidRPr="00694010">
        <w:rPr>
          <w:lang w:val="en-US"/>
        </w:rPr>
        <w:fldChar w:fldCharType="begin"/>
      </w:r>
      <w:r w:rsidR="00694010" w:rsidRPr="00694010">
        <w:rPr>
          <w:lang w:val="en-US"/>
        </w:rPr>
        <w:instrText xml:space="preserve"> SEQ Supplementary_appendix \* ARABIC </w:instrText>
      </w:r>
      <w:r w:rsidR="00694010" w:rsidRPr="00694010">
        <w:rPr>
          <w:lang w:val="en-US"/>
        </w:rPr>
        <w:fldChar w:fldCharType="separate"/>
      </w:r>
      <w:r w:rsidRPr="00694010">
        <w:rPr>
          <w:noProof/>
          <w:lang w:val="en-US"/>
        </w:rPr>
        <w:t>5</w:t>
      </w:r>
      <w:r w:rsidR="00694010" w:rsidRPr="00694010">
        <w:rPr>
          <w:noProof/>
          <w:lang w:val="en-US"/>
        </w:rPr>
        <w:fldChar w:fldCharType="end"/>
      </w:r>
      <w:r w:rsidRPr="00694010">
        <w:rPr>
          <w:lang w:val="en-US"/>
        </w:rPr>
        <w:t xml:space="preserve">  Matrix of stratification factors identified in clinical trials</w:t>
      </w:r>
    </w:p>
    <w:tbl>
      <w:tblPr>
        <w:tblStyle w:val="PRMATableAccent2"/>
        <w:tblW w:w="14609" w:type="dxa"/>
        <w:tblLook w:val="0420" w:firstRow="1" w:lastRow="0" w:firstColumn="0" w:lastColumn="0" w:noHBand="0" w:noVBand="1"/>
      </w:tblPr>
      <w:tblGrid>
        <w:gridCol w:w="481"/>
        <w:gridCol w:w="1542"/>
        <w:gridCol w:w="1603"/>
        <w:gridCol w:w="1220"/>
        <w:gridCol w:w="1220"/>
        <w:gridCol w:w="1221"/>
        <w:gridCol w:w="1220"/>
        <w:gridCol w:w="1220"/>
        <w:gridCol w:w="1221"/>
        <w:gridCol w:w="1220"/>
        <w:gridCol w:w="1220"/>
        <w:gridCol w:w="1221"/>
      </w:tblGrid>
      <w:tr w:rsidR="00B671A3" w:rsidRPr="00694010" w14:paraId="3E7757CD" w14:textId="77777777" w:rsidTr="00E03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2023" w:type="dxa"/>
            <w:gridSpan w:val="2"/>
            <w:vMerge w:val="restart"/>
          </w:tcPr>
          <w:p w14:paraId="514DF7AF" w14:textId="77777777" w:rsidR="00B671A3" w:rsidRPr="00694010" w:rsidRDefault="00B671A3" w:rsidP="00E039BD">
            <w:pPr>
              <w:pStyle w:val="TableHeader"/>
              <w:rPr>
                <w:sz w:val="16"/>
                <w:lang w:val="en-US" w:eastAsia="en-GB"/>
              </w:rPr>
            </w:pPr>
            <w:r w:rsidRPr="00694010">
              <w:rPr>
                <w:sz w:val="16"/>
                <w:lang w:val="en-US" w:eastAsia="en-GB"/>
              </w:rPr>
              <w:t>Treatment</w:t>
            </w:r>
          </w:p>
        </w:tc>
        <w:tc>
          <w:tcPr>
            <w:tcW w:w="1603" w:type="dxa"/>
            <w:vMerge w:val="restart"/>
          </w:tcPr>
          <w:p w14:paraId="3723CFEA" w14:textId="77777777" w:rsidR="00B671A3" w:rsidRPr="00694010" w:rsidRDefault="00B671A3" w:rsidP="00E039BD">
            <w:pPr>
              <w:pStyle w:val="TableHeader"/>
              <w:rPr>
                <w:sz w:val="16"/>
                <w:lang w:val="en-US" w:eastAsia="en-GB"/>
              </w:rPr>
            </w:pPr>
            <w:r w:rsidRPr="00694010">
              <w:rPr>
                <w:sz w:val="16"/>
                <w:lang w:val="en-US" w:eastAsia="en-GB"/>
              </w:rPr>
              <w:t>Trial</w:t>
            </w:r>
          </w:p>
        </w:tc>
        <w:tc>
          <w:tcPr>
            <w:tcW w:w="4881" w:type="dxa"/>
            <w:gridSpan w:val="4"/>
          </w:tcPr>
          <w:p w14:paraId="73EC0797" w14:textId="77777777" w:rsidR="00B671A3" w:rsidRPr="00694010" w:rsidRDefault="00B671A3" w:rsidP="00E039BD">
            <w:pPr>
              <w:pStyle w:val="TableHeaderCentred"/>
              <w:rPr>
                <w:sz w:val="16"/>
                <w:lang w:val="en-US" w:eastAsia="en-GB"/>
              </w:rPr>
            </w:pPr>
            <w:r w:rsidRPr="00694010">
              <w:rPr>
                <w:sz w:val="16"/>
                <w:lang w:val="en-US"/>
              </w:rPr>
              <w:t>Patient characteristics</w:t>
            </w:r>
          </w:p>
        </w:tc>
        <w:tc>
          <w:tcPr>
            <w:tcW w:w="6102" w:type="dxa"/>
            <w:gridSpan w:val="5"/>
          </w:tcPr>
          <w:p w14:paraId="40EC25EA" w14:textId="77777777" w:rsidR="00B671A3" w:rsidRPr="00694010" w:rsidRDefault="00B671A3" w:rsidP="00E039BD">
            <w:pPr>
              <w:pStyle w:val="TableHeaderCentred"/>
              <w:rPr>
                <w:sz w:val="16"/>
                <w:lang w:val="en-US" w:eastAsia="en-GB"/>
              </w:rPr>
            </w:pPr>
            <w:r w:rsidRPr="00694010">
              <w:rPr>
                <w:sz w:val="16"/>
                <w:lang w:val="en-US"/>
              </w:rPr>
              <w:t>Disease-related factors</w:t>
            </w:r>
          </w:p>
        </w:tc>
      </w:tr>
      <w:tr w:rsidR="00B671A3" w:rsidRPr="00694010" w14:paraId="1FBAED7E" w14:textId="77777777" w:rsidTr="00E039BD">
        <w:trPr>
          <w:cantSplit/>
          <w:trHeight w:val="284"/>
        </w:trPr>
        <w:tc>
          <w:tcPr>
            <w:tcW w:w="2023" w:type="dxa"/>
            <w:gridSpan w:val="2"/>
            <w:vMerge/>
            <w:hideMark/>
          </w:tcPr>
          <w:p w14:paraId="03702C7E" w14:textId="77777777" w:rsidR="00B671A3" w:rsidRPr="00694010" w:rsidRDefault="00B671A3" w:rsidP="00E039BD">
            <w:pPr>
              <w:pStyle w:val="TableHeader"/>
              <w:rPr>
                <w:color w:val="FFFFFF" w:themeColor="background1"/>
                <w:sz w:val="16"/>
                <w:lang w:val="en-US" w:eastAsia="en-GB"/>
              </w:rPr>
            </w:pPr>
          </w:p>
        </w:tc>
        <w:tc>
          <w:tcPr>
            <w:tcW w:w="1603" w:type="dxa"/>
            <w:vMerge/>
            <w:hideMark/>
          </w:tcPr>
          <w:p w14:paraId="01678929" w14:textId="77777777" w:rsidR="00B671A3" w:rsidRPr="00694010" w:rsidRDefault="00B671A3" w:rsidP="00E039BD">
            <w:pPr>
              <w:pStyle w:val="TableHeader"/>
              <w:rPr>
                <w:color w:val="FFFFFF" w:themeColor="background1"/>
                <w:sz w:val="16"/>
                <w:lang w:val="en-US" w:eastAsia="en-GB"/>
              </w:rPr>
            </w:pPr>
          </w:p>
        </w:tc>
        <w:tc>
          <w:tcPr>
            <w:tcW w:w="1220" w:type="dxa"/>
            <w:shd w:val="clear" w:color="auto" w:fill="B2B2B2" w:themeFill="accent2"/>
            <w:hideMark/>
          </w:tcPr>
          <w:p w14:paraId="7C05A3E3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Region</w:t>
            </w:r>
          </w:p>
        </w:tc>
        <w:tc>
          <w:tcPr>
            <w:tcW w:w="1220" w:type="dxa"/>
            <w:shd w:val="clear" w:color="auto" w:fill="B2B2B2" w:themeFill="accent2"/>
            <w:hideMark/>
          </w:tcPr>
          <w:p w14:paraId="7F6D2BEE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Stage</w:t>
            </w:r>
          </w:p>
        </w:tc>
        <w:tc>
          <w:tcPr>
            <w:tcW w:w="1221" w:type="dxa"/>
            <w:shd w:val="clear" w:color="auto" w:fill="B2B2B2" w:themeFill="accent2"/>
            <w:hideMark/>
          </w:tcPr>
          <w:p w14:paraId="1A3B4791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ECOG PS</w:t>
            </w:r>
          </w:p>
        </w:tc>
        <w:tc>
          <w:tcPr>
            <w:tcW w:w="1220" w:type="dxa"/>
            <w:shd w:val="clear" w:color="auto" w:fill="B2B2B2" w:themeFill="accent2"/>
            <w:hideMark/>
          </w:tcPr>
          <w:p w14:paraId="6F355420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LDH</w:t>
            </w:r>
          </w:p>
        </w:tc>
        <w:tc>
          <w:tcPr>
            <w:tcW w:w="1220" w:type="dxa"/>
            <w:shd w:val="clear" w:color="auto" w:fill="B2B2B2" w:themeFill="accent2"/>
            <w:hideMark/>
          </w:tcPr>
          <w:p w14:paraId="6BE93048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Previous treatment</w:t>
            </w:r>
          </w:p>
        </w:tc>
        <w:tc>
          <w:tcPr>
            <w:tcW w:w="1221" w:type="dxa"/>
            <w:shd w:val="clear" w:color="auto" w:fill="B2B2B2" w:themeFill="accent2"/>
            <w:hideMark/>
          </w:tcPr>
          <w:p w14:paraId="6BEE2048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Line</w:t>
            </w:r>
          </w:p>
        </w:tc>
        <w:tc>
          <w:tcPr>
            <w:tcW w:w="1220" w:type="dxa"/>
            <w:shd w:val="clear" w:color="auto" w:fill="B2B2B2" w:themeFill="accent2"/>
            <w:hideMark/>
          </w:tcPr>
          <w:p w14:paraId="29595A2D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BRAF status</w:t>
            </w:r>
          </w:p>
        </w:tc>
        <w:tc>
          <w:tcPr>
            <w:tcW w:w="1220" w:type="dxa"/>
            <w:shd w:val="clear" w:color="auto" w:fill="B2B2B2" w:themeFill="accent2"/>
            <w:hideMark/>
          </w:tcPr>
          <w:p w14:paraId="63E5391A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vertAlign w:val="superscript"/>
                <w:lang w:val="en-US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BRAF genotype</w:t>
            </w:r>
            <w:r w:rsidRPr="00694010">
              <w:rPr>
                <w:rStyle w:val="Superscript"/>
                <w:color w:val="FFFFFF" w:themeColor="background1"/>
                <w:sz w:val="16"/>
                <w:lang w:val="en-US"/>
              </w:rPr>
              <w:t>a</w:t>
            </w:r>
          </w:p>
        </w:tc>
        <w:tc>
          <w:tcPr>
            <w:tcW w:w="1221" w:type="dxa"/>
            <w:shd w:val="clear" w:color="auto" w:fill="B2B2B2" w:themeFill="accent2"/>
            <w:hideMark/>
          </w:tcPr>
          <w:p w14:paraId="6BCC8298" w14:textId="77777777" w:rsidR="00B671A3" w:rsidRPr="00694010" w:rsidRDefault="00B671A3" w:rsidP="00E039BD">
            <w:pPr>
              <w:pStyle w:val="TableHeaderCentred"/>
              <w:rPr>
                <w:color w:val="FFFFFF" w:themeColor="background1"/>
                <w:sz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lang w:val="en-US" w:eastAsia="en-GB"/>
              </w:rPr>
              <w:t>PD-L1 status</w:t>
            </w:r>
          </w:p>
        </w:tc>
      </w:tr>
      <w:tr w:rsidR="00B671A3" w:rsidRPr="00694010" w14:paraId="5192A485" w14:textId="77777777" w:rsidTr="006A005D">
        <w:trPr>
          <w:cantSplit/>
          <w:trHeight w:val="408"/>
        </w:trPr>
        <w:tc>
          <w:tcPr>
            <w:tcW w:w="0" w:type="auto"/>
            <w:vMerge w:val="restart"/>
            <w:textDirection w:val="btLr"/>
            <w:hideMark/>
          </w:tcPr>
          <w:p w14:paraId="6135C061" w14:textId="77777777" w:rsidR="00B671A3" w:rsidRPr="00694010" w:rsidRDefault="00B671A3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Immunotherapy</w:t>
            </w:r>
          </w:p>
        </w:tc>
        <w:tc>
          <w:tcPr>
            <w:tcW w:w="1533" w:type="dxa"/>
            <w:hideMark/>
          </w:tcPr>
          <w:p w14:paraId="66223F9F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Pembrolizumab</w:t>
            </w:r>
          </w:p>
        </w:tc>
        <w:tc>
          <w:tcPr>
            <w:tcW w:w="1603" w:type="dxa"/>
            <w:hideMark/>
          </w:tcPr>
          <w:p w14:paraId="4AEFB6AA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Keynote 006</w:t>
            </w:r>
          </w:p>
          <w:p w14:paraId="693F73EB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NCT01866319</w:t>
            </w:r>
          </w:p>
        </w:tc>
        <w:tc>
          <w:tcPr>
            <w:tcW w:w="1220" w:type="dxa"/>
            <w:hideMark/>
          </w:tcPr>
          <w:p w14:paraId="424EE83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6830859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2882B1E0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38EEB00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37E495C0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5751B4F9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7498A69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1F3B216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3A7C6745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</w:tr>
      <w:tr w:rsidR="00B671A3" w:rsidRPr="00694010" w14:paraId="54309FAD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01BE7616" w14:textId="77777777" w:rsidR="00B671A3" w:rsidRPr="00694010" w:rsidRDefault="00B671A3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02C4CF76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Nivolumab</w:t>
            </w:r>
          </w:p>
        </w:tc>
        <w:tc>
          <w:tcPr>
            <w:tcW w:w="1603" w:type="dxa"/>
            <w:hideMark/>
          </w:tcPr>
          <w:p w14:paraId="53578E73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CheckMate 066</w:t>
            </w:r>
          </w:p>
          <w:p w14:paraId="6100C589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NCT01721772</w:t>
            </w:r>
          </w:p>
        </w:tc>
        <w:tc>
          <w:tcPr>
            <w:tcW w:w="1220" w:type="dxa"/>
            <w:hideMark/>
          </w:tcPr>
          <w:p w14:paraId="75A70351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23371F82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14C0730E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360A95B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F1F293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797DB7C3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66FFB34A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7A8E1D08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38FCC57A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</w:tr>
      <w:tr w:rsidR="00B671A3" w:rsidRPr="00694010" w14:paraId="74A28C92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686A9F30" w14:textId="77777777" w:rsidR="00B671A3" w:rsidRPr="00694010" w:rsidRDefault="00B671A3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vMerge w:val="restart"/>
            <w:hideMark/>
          </w:tcPr>
          <w:p w14:paraId="5D69F17E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Nivolumab + ipilimumab</w:t>
            </w:r>
          </w:p>
        </w:tc>
        <w:tc>
          <w:tcPr>
            <w:tcW w:w="1603" w:type="dxa"/>
            <w:hideMark/>
          </w:tcPr>
          <w:p w14:paraId="44624EAF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CheckMate 067</w:t>
            </w:r>
          </w:p>
          <w:p w14:paraId="0A71563C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NCT01844505</w:t>
            </w:r>
          </w:p>
        </w:tc>
        <w:tc>
          <w:tcPr>
            <w:tcW w:w="1220" w:type="dxa"/>
            <w:hideMark/>
          </w:tcPr>
          <w:p w14:paraId="3905FA4A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355FAF17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32CCE6C3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79BDA5C5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7B8D7C16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7DDE4C34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541E5C9A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2BD36793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68392DE5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</w:tr>
      <w:tr w:rsidR="00B671A3" w:rsidRPr="00694010" w14:paraId="55D5FAC7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1AF7A9D6" w14:textId="77777777" w:rsidR="00B671A3" w:rsidRPr="00694010" w:rsidRDefault="00B671A3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vMerge/>
            <w:hideMark/>
          </w:tcPr>
          <w:p w14:paraId="2A3B46B1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603" w:type="dxa"/>
            <w:hideMark/>
          </w:tcPr>
          <w:p w14:paraId="3F13C6DF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CheckMate 069</w:t>
            </w:r>
          </w:p>
          <w:p w14:paraId="74C1394B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NCT01927419</w:t>
            </w:r>
          </w:p>
        </w:tc>
        <w:tc>
          <w:tcPr>
            <w:tcW w:w="1220" w:type="dxa"/>
            <w:hideMark/>
          </w:tcPr>
          <w:p w14:paraId="33BFDBB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625DFEA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4AFE7B4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1FCCE269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12169AC8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083CACD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1ABEB6AE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2172E224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4F5A4A01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B671A3" w:rsidRPr="00694010" w14:paraId="71D2C54F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0D028C26" w14:textId="77777777" w:rsidR="00B671A3" w:rsidRPr="00694010" w:rsidRDefault="00B671A3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35C737D7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Ipilimumab</w:t>
            </w:r>
          </w:p>
        </w:tc>
        <w:tc>
          <w:tcPr>
            <w:tcW w:w="1603" w:type="dxa"/>
            <w:hideMark/>
          </w:tcPr>
          <w:p w14:paraId="36B60920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NCT00094653</w:t>
            </w:r>
          </w:p>
        </w:tc>
        <w:tc>
          <w:tcPr>
            <w:tcW w:w="1220" w:type="dxa"/>
            <w:hideMark/>
          </w:tcPr>
          <w:p w14:paraId="0088D830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1CDA4876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7D1A91F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7F5F61F3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093D9101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19F0923B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3D26A41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0E730611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6DBC749E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B671A3" w:rsidRPr="00694010" w14:paraId="1F54AF89" w14:textId="77777777" w:rsidTr="006A005D">
        <w:trPr>
          <w:cantSplit/>
          <w:trHeight w:val="20"/>
        </w:trPr>
        <w:tc>
          <w:tcPr>
            <w:tcW w:w="0" w:type="auto"/>
            <w:vMerge w:val="restart"/>
            <w:textDirection w:val="btLr"/>
            <w:hideMark/>
          </w:tcPr>
          <w:p w14:paraId="3DE867E7" w14:textId="77777777" w:rsidR="00B671A3" w:rsidRPr="00694010" w:rsidRDefault="00B671A3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BRAF/MEK inhibitors</w:t>
            </w:r>
          </w:p>
        </w:tc>
        <w:tc>
          <w:tcPr>
            <w:tcW w:w="1533" w:type="dxa"/>
            <w:hideMark/>
          </w:tcPr>
          <w:p w14:paraId="17E6DAAB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Vemurafenib</w:t>
            </w:r>
          </w:p>
        </w:tc>
        <w:tc>
          <w:tcPr>
            <w:tcW w:w="1603" w:type="dxa"/>
            <w:hideMark/>
          </w:tcPr>
          <w:p w14:paraId="0E5F8C1E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BRIM-3</w:t>
            </w:r>
          </w:p>
          <w:p w14:paraId="028F2502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NCT01006980</w:t>
            </w:r>
          </w:p>
        </w:tc>
        <w:tc>
          <w:tcPr>
            <w:tcW w:w="1220" w:type="dxa"/>
            <w:hideMark/>
          </w:tcPr>
          <w:p w14:paraId="488B637D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2674A13C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635A37B6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171834CF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16AEAE10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46584C84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47C4057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6DBD2205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0BCF008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B671A3" w:rsidRPr="00694010" w14:paraId="682580E7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0EDEE8D9" w14:textId="77777777" w:rsidR="00B671A3" w:rsidRPr="00694010" w:rsidRDefault="00B671A3" w:rsidP="00E039BD">
            <w:pPr>
              <w:rPr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18978AA7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Dabrafenib</w:t>
            </w:r>
          </w:p>
        </w:tc>
        <w:tc>
          <w:tcPr>
            <w:tcW w:w="1603" w:type="dxa"/>
            <w:hideMark/>
          </w:tcPr>
          <w:p w14:paraId="08AED687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BREAK-3</w:t>
            </w:r>
          </w:p>
          <w:p w14:paraId="3668B2D0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NCT01227889</w:t>
            </w:r>
          </w:p>
        </w:tc>
        <w:tc>
          <w:tcPr>
            <w:tcW w:w="1220" w:type="dxa"/>
            <w:hideMark/>
          </w:tcPr>
          <w:p w14:paraId="69A0B11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54B7F11D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2FA9D33B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21195547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63E94C46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081FFE36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E681CDB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0B27E317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143FA18E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B671A3" w:rsidRPr="00694010" w14:paraId="14E9733C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01CF003A" w14:textId="77777777" w:rsidR="00B671A3" w:rsidRPr="00694010" w:rsidRDefault="00B671A3" w:rsidP="00E039BD">
            <w:pPr>
              <w:rPr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7D487088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Trametinib</w:t>
            </w:r>
          </w:p>
        </w:tc>
        <w:tc>
          <w:tcPr>
            <w:tcW w:w="1603" w:type="dxa"/>
            <w:hideMark/>
          </w:tcPr>
          <w:p w14:paraId="5F120BD7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METRIC</w:t>
            </w:r>
          </w:p>
          <w:p w14:paraId="525D2061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NT01245062</w:t>
            </w:r>
          </w:p>
        </w:tc>
        <w:tc>
          <w:tcPr>
            <w:tcW w:w="1220" w:type="dxa"/>
            <w:hideMark/>
          </w:tcPr>
          <w:p w14:paraId="59B00AF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51A0BA5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1E1A2A19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6CCDD047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2EBC33C6" w14:textId="77777777" w:rsidR="00B671A3" w:rsidRPr="00694010" w:rsidRDefault="00B671A3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051AEFB3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756A656A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0DC186FA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5463D4D9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B671A3" w:rsidRPr="00694010" w14:paraId="14B08468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5AF67593" w14:textId="77777777" w:rsidR="00B671A3" w:rsidRPr="00694010" w:rsidRDefault="00B671A3" w:rsidP="00E039BD">
            <w:pPr>
              <w:rPr>
                <w:lang w:val="en-US" w:eastAsia="en-GB"/>
              </w:rPr>
            </w:pPr>
          </w:p>
        </w:tc>
        <w:tc>
          <w:tcPr>
            <w:tcW w:w="1533" w:type="dxa"/>
            <w:vMerge w:val="restart"/>
            <w:hideMark/>
          </w:tcPr>
          <w:p w14:paraId="3C096BC2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Dabrafenib + trametinib</w:t>
            </w:r>
          </w:p>
        </w:tc>
        <w:tc>
          <w:tcPr>
            <w:tcW w:w="1603" w:type="dxa"/>
            <w:hideMark/>
          </w:tcPr>
          <w:p w14:paraId="5077C5C5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NCT01584648</w:t>
            </w:r>
          </w:p>
        </w:tc>
        <w:tc>
          <w:tcPr>
            <w:tcW w:w="1220" w:type="dxa"/>
            <w:hideMark/>
          </w:tcPr>
          <w:p w14:paraId="1DEAFDA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5B126090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6B0F4D2D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510A185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2A1153FE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75D00798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8C047A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1388DD9B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04AA4F4A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B671A3" w:rsidRPr="00694010" w14:paraId="663655E3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52D437F0" w14:textId="77777777" w:rsidR="00B671A3" w:rsidRPr="00694010" w:rsidRDefault="00B671A3" w:rsidP="00E039BD">
            <w:pPr>
              <w:rPr>
                <w:lang w:val="en-US" w:eastAsia="en-GB"/>
              </w:rPr>
            </w:pPr>
          </w:p>
        </w:tc>
        <w:tc>
          <w:tcPr>
            <w:tcW w:w="1533" w:type="dxa"/>
            <w:vMerge/>
            <w:hideMark/>
          </w:tcPr>
          <w:p w14:paraId="3272C7D5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603" w:type="dxa"/>
            <w:hideMark/>
          </w:tcPr>
          <w:p w14:paraId="78690174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NCT01072175</w:t>
            </w:r>
          </w:p>
        </w:tc>
        <w:tc>
          <w:tcPr>
            <w:tcW w:w="1220" w:type="dxa"/>
            <w:hideMark/>
          </w:tcPr>
          <w:p w14:paraId="6F69BF7D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6E42475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395774B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6B24A27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777A565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2B5066E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689B25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2B8CAE4B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4F074D89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B671A3" w:rsidRPr="00694010" w14:paraId="7B752F95" w14:textId="77777777" w:rsidTr="006A005D">
        <w:trPr>
          <w:cantSplit/>
          <w:trHeight w:val="20"/>
        </w:trPr>
        <w:tc>
          <w:tcPr>
            <w:tcW w:w="0" w:type="auto"/>
            <w:vMerge/>
            <w:hideMark/>
          </w:tcPr>
          <w:p w14:paraId="4D89CC7E" w14:textId="77777777" w:rsidR="00B671A3" w:rsidRPr="00694010" w:rsidRDefault="00B671A3" w:rsidP="00E039BD">
            <w:pPr>
              <w:rPr>
                <w:lang w:val="en-US" w:eastAsia="en-GB"/>
              </w:rPr>
            </w:pPr>
          </w:p>
        </w:tc>
        <w:tc>
          <w:tcPr>
            <w:tcW w:w="1533" w:type="dxa"/>
            <w:vMerge/>
            <w:hideMark/>
          </w:tcPr>
          <w:p w14:paraId="3A76CE3F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603" w:type="dxa"/>
            <w:hideMark/>
          </w:tcPr>
          <w:p w14:paraId="7AD323DF" w14:textId="77777777" w:rsidR="00B671A3" w:rsidRPr="00694010" w:rsidRDefault="00B671A3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NCT01597908</w:t>
            </w:r>
          </w:p>
        </w:tc>
        <w:tc>
          <w:tcPr>
            <w:tcW w:w="1220" w:type="dxa"/>
            <w:hideMark/>
          </w:tcPr>
          <w:p w14:paraId="11140BD0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4915F052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69B157BF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5380320C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0" w:type="dxa"/>
            <w:hideMark/>
          </w:tcPr>
          <w:p w14:paraId="780CD344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1" w:type="dxa"/>
            <w:hideMark/>
          </w:tcPr>
          <w:p w14:paraId="1F11E0E6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0BEDA183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220" w:type="dxa"/>
            <w:hideMark/>
          </w:tcPr>
          <w:p w14:paraId="3659DCC8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221" w:type="dxa"/>
            <w:hideMark/>
          </w:tcPr>
          <w:p w14:paraId="3077B55B" w14:textId="77777777" w:rsidR="00B671A3" w:rsidRPr="00694010" w:rsidRDefault="00B671A3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</w:tbl>
    <w:p w14:paraId="59AF6AED" w14:textId="77777777" w:rsidR="00B671A3" w:rsidRPr="00694010" w:rsidRDefault="00B671A3" w:rsidP="00B671A3">
      <w:pPr>
        <w:pStyle w:val="Footnote"/>
        <w:rPr>
          <w:lang w:val="en-US"/>
        </w:rPr>
      </w:pPr>
      <w:r w:rsidRPr="00694010">
        <w:rPr>
          <w:rStyle w:val="Superscript"/>
          <w:lang w:val="en-US"/>
        </w:rPr>
        <w:t>a</w:t>
      </w:r>
      <w:r w:rsidRPr="00694010">
        <w:rPr>
          <w:lang w:val="en-US"/>
        </w:rPr>
        <w:t xml:space="preserve"> V600 status</w:t>
      </w:r>
    </w:p>
    <w:p w14:paraId="37978AB4" w14:textId="77777777" w:rsidR="002B02B1" w:rsidRPr="00694010" w:rsidRDefault="002B02B1" w:rsidP="002B02B1">
      <w:pPr>
        <w:pStyle w:val="Footnote"/>
        <w:rPr>
          <w:lang w:val="en-US"/>
        </w:rPr>
      </w:pPr>
      <w:r w:rsidRPr="00694010">
        <w:rPr>
          <w:lang w:val="en-US"/>
        </w:rPr>
        <w:t>Four of the factors were characterized as patient characteristics and five as disease-related; however, some could be considered to belong to either category</w:t>
      </w:r>
    </w:p>
    <w:p w14:paraId="7B6424F9" w14:textId="39E8B082" w:rsidR="002B60B7" w:rsidRPr="00694010" w:rsidRDefault="002B60B7" w:rsidP="002B60B7">
      <w:pPr>
        <w:pStyle w:val="Footnote"/>
        <w:rPr>
          <w:lang w:val="en-US"/>
        </w:rPr>
      </w:pPr>
      <w:r w:rsidRPr="00694010">
        <w:rPr>
          <w:lang w:val="en-US"/>
        </w:rPr>
        <w:lastRenderedPageBreak/>
        <w:t xml:space="preserve">Source: Roberts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Robert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2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3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Larkin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4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Postow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5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Hodi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2010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6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McDermott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2013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7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Chapman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2011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8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McArthur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9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>2013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10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11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2013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12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13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Grob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14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Flaherty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15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16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[17];</w:t>
      </w:r>
      <w:r w:rsidRPr="00694010">
        <w:rPr>
          <w:lang w:val="en-US"/>
        </w:rPr>
        <w:t xml:space="preserve"> Flaherty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18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Robert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</w:t>
      </w:r>
      <w:r w:rsidR="000E22BE" w:rsidRPr="00694010">
        <w:rPr>
          <w:lang w:val="en-US"/>
        </w:rPr>
        <w:t>5 [</w:t>
      </w:r>
      <w:r w:rsidR="003770D0" w:rsidRPr="00694010">
        <w:rPr>
          <w:noProof/>
          <w:lang w:val="en-US"/>
        </w:rPr>
        <w:t>19]</w:t>
      </w:r>
    </w:p>
    <w:p w14:paraId="550BAB29" w14:textId="2A9B78B6" w:rsidR="00AA4D9C" w:rsidRPr="00694010" w:rsidRDefault="00B671A3" w:rsidP="004C6729">
      <w:pPr>
        <w:pStyle w:val="Footnote"/>
        <w:rPr>
          <w:lang w:val="en-US"/>
        </w:rPr>
      </w:pPr>
      <w:r w:rsidRPr="00694010">
        <w:rPr>
          <w:lang w:val="en-US"/>
        </w:rPr>
        <w:t>ECOG PS, Eastern Cooperative Oncology Group performance status; LDH, lactate dehydrogenase; PD-L1, programmed death ligand 1</w:t>
      </w:r>
      <w:r w:rsidR="00AA4D9C" w:rsidRPr="00694010">
        <w:rPr>
          <w:lang w:val="en-US"/>
        </w:rPr>
        <w:br w:type="page"/>
      </w:r>
    </w:p>
    <w:p w14:paraId="1F08F2A8" w14:textId="073DE14F" w:rsidR="006A005D" w:rsidRPr="00694010" w:rsidRDefault="00ED70B2" w:rsidP="006A005D">
      <w:pPr>
        <w:pStyle w:val="Caption"/>
        <w:rPr>
          <w:lang w:val="en-US"/>
        </w:rPr>
      </w:pPr>
      <w:r w:rsidRPr="00694010">
        <w:rPr>
          <w:lang w:val="en-US"/>
        </w:rPr>
        <w:lastRenderedPageBreak/>
        <w:t>Supplementary table</w:t>
      </w:r>
      <w:r w:rsidR="006A005D" w:rsidRPr="00694010">
        <w:rPr>
          <w:lang w:val="en-US"/>
        </w:rPr>
        <w:t xml:space="preserve"> </w:t>
      </w:r>
      <w:r w:rsidR="00694010" w:rsidRPr="00694010">
        <w:rPr>
          <w:lang w:val="en-US"/>
        </w:rPr>
        <w:fldChar w:fldCharType="begin"/>
      </w:r>
      <w:r w:rsidR="00694010" w:rsidRPr="00694010">
        <w:rPr>
          <w:lang w:val="en-US"/>
        </w:rPr>
        <w:instrText xml:space="preserve"> SEQ Supplementary_appendix \* ARABIC </w:instrText>
      </w:r>
      <w:r w:rsidR="00694010" w:rsidRPr="00694010">
        <w:rPr>
          <w:lang w:val="en-US"/>
        </w:rPr>
        <w:fldChar w:fldCharType="separate"/>
      </w:r>
      <w:r w:rsidR="006A005D" w:rsidRPr="00694010">
        <w:rPr>
          <w:noProof/>
          <w:lang w:val="en-US"/>
        </w:rPr>
        <w:t>6</w:t>
      </w:r>
      <w:r w:rsidR="00694010" w:rsidRPr="00694010">
        <w:rPr>
          <w:noProof/>
          <w:lang w:val="en-US"/>
        </w:rPr>
        <w:fldChar w:fldCharType="end"/>
      </w:r>
      <w:r w:rsidR="006A005D" w:rsidRPr="00694010">
        <w:rPr>
          <w:lang w:val="en-US"/>
        </w:rPr>
        <w:t xml:space="preserve">  Matrix of subgroups in clinical trials of immunotherapy and BRAF/MEK-targeted agents</w:t>
      </w:r>
    </w:p>
    <w:tbl>
      <w:tblPr>
        <w:tblStyle w:val="PRMATableAccent2"/>
        <w:tblW w:w="14879" w:type="dxa"/>
        <w:tblLayout w:type="fixed"/>
        <w:tblLook w:val="0420" w:firstRow="1" w:lastRow="0" w:firstColumn="0" w:lastColumn="0" w:noHBand="0" w:noVBand="1"/>
      </w:tblPr>
      <w:tblGrid>
        <w:gridCol w:w="478"/>
        <w:gridCol w:w="1533"/>
        <w:gridCol w:w="1501"/>
        <w:gridCol w:w="446"/>
        <w:gridCol w:w="573"/>
        <w:gridCol w:w="567"/>
        <w:gridCol w:w="709"/>
        <w:gridCol w:w="709"/>
        <w:gridCol w:w="709"/>
        <w:gridCol w:w="567"/>
        <w:gridCol w:w="992"/>
        <w:gridCol w:w="850"/>
        <w:gridCol w:w="1134"/>
        <w:gridCol w:w="993"/>
        <w:gridCol w:w="567"/>
        <w:gridCol w:w="708"/>
        <w:gridCol w:w="993"/>
        <w:gridCol w:w="850"/>
      </w:tblGrid>
      <w:tr w:rsidR="004C6729" w:rsidRPr="00694010" w14:paraId="40CDD308" w14:textId="77777777" w:rsidTr="00E03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2011" w:type="dxa"/>
            <w:gridSpan w:val="2"/>
            <w:vMerge w:val="restart"/>
          </w:tcPr>
          <w:p w14:paraId="60623481" w14:textId="77777777" w:rsidR="004C6729" w:rsidRPr="00694010" w:rsidRDefault="004C6729" w:rsidP="00E039BD">
            <w:pPr>
              <w:pStyle w:val="TableHeader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Treatment</w:t>
            </w:r>
          </w:p>
        </w:tc>
        <w:tc>
          <w:tcPr>
            <w:tcW w:w="1501" w:type="dxa"/>
            <w:vMerge w:val="restart"/>
          </w:tcPr>
          <w:p w14:paraId="32851075" w14:textId="77777777" w:rsidR="004C6729" w:rsidRPr="00694010" w:rsidRDefault="004C6729" w:rsidP="00E039BD">
            <w:pPr>
              <w:pStyle w:val="TableHeader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Trial</w:t>
            </w:r>
          </w:p>
        </w:tc>
        <w:tc>
          <w:tcPr>
            <w:tcW w:w="4280" w:type="dxa"/>
            <w:gridSpan w:val="7"/>
          </w:tcPr>
          <w:p w14:paraId="35D518F1" w14:textId="77777777" w:rsidR="004C6729" w:rsidRPr="00694010" w:rsidRDefault="004C6729" w:rsidP="00E039BD">
            <w:pPr>
              <w:pStyle w:val="TableHeaderCentred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/>
              </w:rPr>
              <w:t>Patient characteristics</w:t>
            </w:r>
          </w:p>
        </w:tc>
        <w:tc>
          <w:tcPr>
            <w:tcW w:w="7087" w:type="dxa"/>
            <w:gridSpan w:val="8"/>
          </w:tcPr>
          <w:p w14:paraId="4B2AB77B" w14:textId="77777777" w:rsidR="004C6729" w:rsidRPr="00694010" w:rsidRDefault="004C6729" w:rsidP="00E039BD">
            <w:pPr>
              <w:pStyle w:val="TableHeaderCentred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/>
              </w:rPr>
              <w:t>Disease-related factors</w:t>
            </w:r>
          </w:p>
        </w:tc>
      </w:tr>
      <w:tr w:rsidR="004C6729" w:rsidRPr="00694010" w14:paraId="6E90C006" w14:textId="77777777" w:rsidTr="00E039BD">
        <w:trPr>
          <w:trHeight w:val="359"/>
        </w:trPr>
        <w:tc>
          <w:tcPr>
            <w:tcW w:w="2011" w:type="dxa"/>
            <w:gridSpan w:val="2"/>
            <w:vMerge/>
            <w:hideMark/>
          </w:tcPr>
          <w:p w14:paraId="3325C295" w14:textId="77777777" w:rsidR="004C6729" w:rsidRPr="00694010" w:rsidRDefault="004C6729" w:rsidP="00E039BD">
            <w:pPr>
              <w:pStyle w:val="TableHeader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01" w:type="dxa"/>
            <w:vMerge/>
            <w:hideMark/>
          </w:tcPr>
          <w:p w14:paraId="4AA69E74" w14:textId="77777777" w:rsidR="004C6729" w:rsidRPr="00694010" w:rsidRDefault="004C6729" w:rsidP="00E039BD">
            <w:pPr>
              <w:pStyle w:val="TableHeader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446" w:type="dxa"/>
            <w:shd w:val="clear" w:color="auto" w:fill="B2B2B2" w:themeFill="accent2"/>
            <w:hideMark/>
          </w:tcPr>
          <w:p w14:paraId="75199730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Sex</w:t>
            </w:r>
          </w:p>
        </w:tc>
        <w:tc>
          <w:tcPr>
            <w:tcW w:w="573" w:type="dxa"/>
            <w:shd w:val="clear" w:color="auto" w:fill="B2B2B2" w:themeFill="accent2"/>
            <w:hideMark/>
          </w:tcPr>
          <w:p w14:paraId="71C9FE7A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Age</w:t>
            </w:r>
          </w:p>
        </w:tc>
        <w:tc>
          <w:tcPr>
            <w:tcW w:w="567" w:type="dxa"/>
            <w:shd w:val="clear" w:color="auto" w:fill="B2B2B2" w:themeFill="accent2"/>
            <w:hideMark/>
          </w:tcPr>
          <w:p w14:paraId="6D3479D7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Race</w:t>
            </w:r>
          </w:p>
        </w:tc>
        <w:tc>
          <w:tcPr>
            <w:tcW w:w="709" w:type="dxa"/>
            <w:shd w:val="clear" w:color="auto" w:fill="B2B2B2" w:themeFill="accent2"/>
            <w:hideMark/>
          </w:tcPr>
          <w:p w14:paraId="11332020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Region</w:t>
            </w:r>
          </w:p>
        </w:tc>
        <w:tc>
          <w:tcPr>
            <w:tcW w:w="709" w:type="dxa"/>
            <w:shd w:val="clear" w:color="auto" w:fill="B2B2B2" w:themeFill="accent2"/>
            <w:hideMark/>
          </w:tcPr>
          <w:p w14:paraId="71641834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Stage</w:t>
            </w:r>
          </w:p>
        </w:tc>
        <w:tc>
          <w:tcPr>
            <w:tcW w:w="709" w:type="dxa"/>
            <w:shd w:val="clear" w:color="auto" w:fill="B2B2B2" w:themeFill="accent2"/>
            <w:hideMark/>
          </w:tcPr>
          <w:p w14:paraId="28018604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ECOG PS</w:t>
            </w:r>
          </w:p>
        </w:tc>
        <w:tc>
          <w:tcPr>
            <w:tcW w:w="567" w:type="dxa"/>
            <w:shd w:val="clear" w:color="auto" w:fill="B2B2B2" w:themeFill="accent2"/>
            <w:hideMark/>
          </w:tcPr>
          <w:p w14:paraId="5D7F1C7F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LDH</w:t>
            </w:r>
          </w:p>
        </w:tc>
        <w:tc>
          <w:tcPr>
            <w:tcW w:w="992" w:type="dxa"/>
            <w:shd w:val="clear" w:color="auto" w:fill="B2B2B2" w:themeFill="accent2"/>
            <w:hideMark/>
          </w:tcPr>
          <w:p w14:paraId="70751431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Prior brain mets</w:t>
            </w:r>
          </w:p>
        </w:tc>
        <w:tc>
          <w:tcPr>
            <w:tcW w:w="850" w:type="dxa"/>
            <w:shd w:val="clear" w:color="auto" w:fill="B2B2B2" w:themeFill="accent2"/>
            <w:hideMark/>
          </w:tcPr>
          <w:p w14:paraId="569496C2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Visceral disease</w:t>
            </w:r>
          </w:p>
        </w:tc>
        <w:tc>
          <w:tcPr>
            <w:tcW w:w="1134" w:type="dxa"/>
            <w:shd w:val="clear" w:color="auto" w:fill="B2B2B2" w:themeFill="accent2"/>
            <w:hideMark/>
          </w:tcPr>
          <w:p w14:paraId="1D686D2A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No. of disease sites</w:t>
            </w:r>
          </w:p>
        </w:tc>
        <w:tc>
          <w:tcPr>
            <w:tcW w:w="993" w:type="dxa"/>
            <w:shd w:val="clear" w:color="auto" w:fill="B2B2B2" w:themeFill="accent2"/>
            <w:hideMark/>
          </w:tcPr>
          <w:p w14:paraId="4A30B22F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Previous treatment</w:t>
            </w:r>
          </w:p>
        </w:tc>
        <w:tc>
          <w:tcPr>
            <w:tcW w:w="567" w:type="dxa"/>
            <w:shd w:val="clear" w:color="auto" w:fill="B2B2B2" w:themeFill="accent2"/>
            <w:hideMark/>
          </w:tcPr>
          <w:p w14:paraId="49308B51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Line</w:t>
            </w:r>
          </w:p>
        </w:tc>
        <w:tc>
          <w:tcPr>
            <w:tcW w:w="708" w:type="dxa"/>
            <w:shd w:val="clear" w:color="auto" w:fill="B2B2B2" w:themeFill="accent2"/>
            <w:hideMark/>
          </w:tcPr>
          <w:p w14:paraId="665D7EE3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BRAF status</w:t>
            </w:r>
          </w:p>
        </w:tc>
        <w:tc>
          <w:tcPr>
            <w:tcW w:w="993" w:type="dxa"/>
            <w:shd w:val="clear" w:color="auto" w:fill="B2B2B2" w:themeFill="accent2"/>
            <w:hideMark/>
          </w:tcPr>
          <w:p w14:paraId="2BD9A9DA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BRAF geno-type</w:t>
            </w:r>
          </w:p>
        </w:tc>
        <w:tc>
          <w:tcPr>
            <w:tcW w:w="850" w:type="dxa"/>
            <w:shd w:val="clear" w:color="auto" w:fill="B2B2B2" w:themeFill="accent2"/>
            <w:hideMark/>
          </w:tcPr>
          <w:p w14:paraId="5855CC70" w14:textId="77777777" w:rsidR="004C6729" w:rsidRPr="00694010" w:rsidRDefault="004C6729" w:rsidP="00E039BD">
            <w:pPr>
              <w:pStyle w:val="TableHeader"/>
              <w:jc w:val="center"/>
              <w:rPr>
                <w:color w:val="FFFFFF" w:themeColor="background1"/>
                <w:sz w:val="16"/>
                <w:szCs w:val="16"/>
                <w:lang w:val="en-US" w:eastAsia="en-GB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 w:eastAsia="en-GB"/>
              </w:rPr>
              <w:t>PD-L1 status</w:t>
            </w:r>
          </w:p>
        </w:tc>
      </w:tr>
      <w:tr w:rsidR="004C6729" w:rsidRPr="00694010" w14:paraId="26623B7D" w14:textId="77777777" w:rsidTr="00E039BD">
        <w:trPr>
          <w:trHeight w:val="366"/>
        </w:trPr>
        <w:tc>
          <w:tcPr>
            <w:tcW w:w="478" w:type="dxa"/>
            <w:vMerge w:val="restart"/>
            <w:textDirection w:val="btLr"/>
            <w:hideMark/>
          </w:tcPr>
          <w:p w14:paraId="42239021" w14:textId="77777777" w:rsidR="004C6729" w:rsidRPr="00694010" w:rsidRDefault="004C6729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Immunotherapy</w:t>
            </w:r>
          </w:p>
        </w:tc>
        <w:tc>
          <w:tcPr>
            <w:tcW w:w="1533" w:type="dxa"/>
            <w:hideMark/>
          </w:tcPr>
          <w:p w14:paraId="695D15D5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Pembrolizumab</w:t>
            </w:r>
          </w:p>
        </w:tc>
        <w:tc>
          <w:tcPr>
            <w:tcW w:w="1501" w:type="dxa"/>
            <w:hideMark/>
          </w:tcPr>
          <w:p w14:paraId="331B7009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Keynote 006</w:t>
            </w:r>
          </w:p>
          <w:p w14:paraId="3EA5D313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NCT01866319</w:t>
            </w:r>
          </w:p>
        </w:tc>
        <w:tc>
          <w:tcPr>
            <w:tcW w:w="446" w:type="dxa"/>
            <w:hideMark/>
          </w:tcPr>
          <w:p w14:paraId="7A9F5684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4DC70541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67217FD4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0B31D377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118A41D8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000CA522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0027BC88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2" w:type="dxa"/>
            <w:hideMark/>
          </w:tcPr>
          <w:p w14:paraId="0F786336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1882B96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6A10287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08EE55D3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3A5F3048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8" w:type="dxa"/>
            <w:hideMark/>
          </w:tcPr>
          <w:p w14:paraId="70CC0F92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3" w:type="dxa"/>
            <w:hideMark/>
          </w:tcPr>
          <w:p w14:paraId="5F7E56F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0CDA1B9E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</w:tr>
      <w:tr w:rsidR="004C6729" w:rsidRPr="00694010" w14:paraId="2BDE1313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21910201" w14:textId="77777777" w:rsidR="004C6729" w:rsidRPr="00694010" w:rsidRDefault="004C6729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5306A0CD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Nivolumab</w:t>
            </w:r>
          </w:p>
        </w:tc>
        <w:tc>
          <w:tcPr>
            <w:tcW w:w="1501" w:type="dxa"/>
            <w:hideMark/>
          </w:tcPr>
          <w:p w14:paraId="4053BA67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CheckMate 066</w:t>
            </w:r>
          </w:p>
          <w:p w14:paraId="6722EAC4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NCT01721772</w:t>
            </w:r>
          </w:p>
        </w:tc>
        <w:tc>
          <w:tcPr>
            <w:tcW w:w="446" w:type="dxa"/>
            <w:hideMark/>
          </w:tcPr>
          <w:p w14:paraId="419549E1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17400D1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0F41EDDD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6F4F02F6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453182BD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177171BE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76253AC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0D4C92FA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4DAF3A97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56678E6B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5DCF775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7B22F21D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06AF3FBF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0C2D2395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3ABAD083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</w:tr>
      <w:tr w:rsidR="004C6729" w:rsidRPr="00694010" w14:paraId="7D1C0451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018E7F72" w14:textId="77777777" w:rsidR="004C6729" w:rsidRPr="00694010" w:rsidRDefault="004C6729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vMerge w:val="restart"/>
            <w:hideMark/>
          </w:tcPr>
          <w:p w14:paraId="52BBED16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Nivolumab + ipilimumab</w:t>
            </w:r>
          </w:p>
        </w:tc>
        <w:tc>
          <w:tcPr>
            <w:tcW w:w="1501" w:type="dxa"/>
            <w:hideMark/>
          </w:tcPr>
          <w:p w14:paraId="0E83596F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CheckMate 067</w:t>
            </w:r>
          </w:p>
          <w:p w14:paraId="600AC09A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NCT01844505</w:t>
            </w:r>
          </w:p>
        </w:tc>
        <w:tc>
          <w:tcPr>
            <w:tcW w:w="446" w:type="dxa"/>
            <w:hideMark/>
          </w:tcPr>
          <w:p w14:paraId="178BC683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73" w:type="dxa"/>
            <w:hideMark/>
          </w:tcPr>
          <w:p w14:paraId="684B5F03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2E88E49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54B70B70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0D3EAE91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38BBB336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13D703D9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2" w:type="dxa"/>
            <w:hideMark/>
          </w:tcPr>
          <w:p w14:paraId="3ABB5E85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4125E11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653A1CB4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016C194F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2B139F1A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2ACB7327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3" w:type="dxa"/>
            <w:hideMark/>
          </w:tcPr>
          <w:p w14:paraId="5A0D61D1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4E6E6B6D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</w:tr>
      <w:tr w:rsidR="004C6729" w:rsidRPr="00694010" w14:paraId="1A0C9458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36DEA1D2" w14:textId="77777777" w:rsidR="004C6729" w:rsidRPr="00694010" w:rsidRDefault="004C6729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vMerge/>
            <w:hideMark/>
          </w:tcPr>
          <w:p w14:paraId="15F2BBA6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01" w:type="dxa"/>
            <w:hideMark/>
          </w:tcPr>
          <w:p w14:paraId="1C15984A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CheckMate 069</w:t>
            </w:r>
          </w:p>
          <w:p w14:paraId="037FFF37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NCT01844505</w:t>
            </w:r>
          </w:p>
        </w:tc>
        <w:tc>
          <w:tcPr>
            <w:tcW w:w="446" w:type="dxa"/>
            <w:hideMark/>
          </w:tcPr>
          <w:p w14:paraId="606E9A86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0E2AF3B4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20D3FEE2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7FE5EA4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325ABA1B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5DA27CBE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3D98642F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1A482CC7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5DEA8FA1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0A94FC51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10A06753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74A8A1F5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045A26CC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3" w:type="dxa"/>
            <w:hideMark/>
          </w:tcPr>
          <w:p w14:paraId="118F1E14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3A81A10F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</w:tr>
      <w:tr w:rsidR="004C6729" w:rsidRPr="00694010" w14:paraId="67D03AA9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6FA3A9EA" w14:textId="77777777" w:rsidR="004C6729" w:rsidRPr="00694010" w:rsidRDefault="004C6729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74BA6DD1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Ipilimumab</w:t>
            </w:r>
          </w:p>
        </w:tc>
        <w:tc>
          <w:tcPr>
            <w:tcW w:w="1501" w:type="dxa"/>
            <w:hideMark/>
          </w:tcPr>
          <w:p w14:paraId="2F13D5DA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NCT00094653</w:t>
            </w:r>
          </w:p>
        </w:tc>
        <w:tc>
          <w:tcPr>
            <w:tcW w:w="446" w:type="dxa"/>
            <w:hideMark/>
          </w:tcPr>
          <w:p w14:paraId="26FFC777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3D93EDB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6F130B8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48AEEF0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7A157C7E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2555E583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6B529041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5974FA42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77B19E80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741A7D3F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3743D7B1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40B67A3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337C674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4693D974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310A00DF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4C6729" w:rsidRPr="00694010" w14:paraId="3DDA375B" w14:textId="77777777" w:rsidTr="00E039BD">
        <w:trPr>
          <w:trHeight w:val="20"/>
        </w:trPr>
        <w:tc>
          <w:tcPr>
            <w:tcW w:w="478" w:type="dxa"/>
            <w:vMerge w:val="restart"/>
            <w:textDirection w:val="btLr"/>
            <w:hideMark/>
          </w:tcPr>
          <w:p w14:paraId="3A674275" w14:textId="77777777" w:rsidR="004C6729" w:rsidRPr="00694010" w:rsidRDefault="004C6729" w:rsidP="00E039BD">
            <w:pPr>
              <w:pStyle w:val="TableBodyCentred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BRAF/MEK inhibitors</w:t>
            </w:r>
          </w:p>
        </w:tc>
        <w:tc>
          <w:tcPr>
            <w:tcW w:w="1533" w:type="dxa"/>
            <w:hideMark/>
          </w:tcPr>
          <w:p w14:paraId="266D4CE9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Vemurafenib</w:t>
            </w:r>
          </w:p>
        </w:tc>
        <w:tc>
          <w:tcPr>
            <w:tcW w:w="1501" w:type="dxa"/>
            <w:hideMark/>
          </w:tcPr>
          <w:p w14:paraId="4A2C4848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BRIM-3</w:t>
            </w:r>
          </w:p>
          <w:p w14:paraId="1FDDD07E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NCT01006980</w:t>
            </w:r>
          </w:p>
        </w:tc>
        <w:tc>
          <w:tcPr>
            <w:tcW w:w="446" w:type="dxa"/>
            <w:hideMark/>
          </w:tcPr>
          <w:p w14:paraId="1B943F8D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2156CC88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19F13BC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568DED0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1DCAC278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06932D6B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574221B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1F1413AB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604344B6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0FAFDFC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69295B3D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729E33F6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3A3C476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358CD92B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777425C7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4C6729" w:rsidRPr="00694010" w14:paraId="5E6D36A9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778A85D5" w14:textId="77777777" w:rsidR="004C6729" w:rsidRPr="00694010" w:rsidRDefault="004C6729" w:rsidP="00E039BD">
            <w:pPr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183D2C2D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Dabrafenib</w:t>
            </w:r>
          </w:p>
        </w:tc>
        <w:tc>
          <w:tcPr>
            <w:tcW w:w="1501" w:type="dxa"/>
            <w:hideMark/>
          </w:tcPr>
          <w:p w14:paraId="7DD46E1F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BREAK-3</w:t>
            </w:r>
          </w:p>
          <w:p w14:paraId="599188CE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NCT01227889</w:t>
            </w:r>
          </w:p>
        </w:tc>
        <w:tc>
          <w:tcPr>
            <w:tcW w:w="446" w:type="dxa"/>
            <w:hideMark/>
          </w:tcPr>
          <w:p w14:paraId="3F3A3641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37403946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35E20E38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3C484160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3B00E13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2BCC8639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6045F59F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76ECC873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74D2CEFF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134" w:type="dxa"/>
            <w:hideMark/>
          </w:tcPr>
          <w:p w14:paraId="565C0A24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3" w:type="dxa"/>
            <w:hideMark/>
          </w:tcPr>
          <w:p w14:paraId="23FDEA83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5F1A587D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10C19665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6DB35224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13632ACA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4C6729" w:rsidRPr="00694010" w14:paraId="047C8048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1ED6E2D7" w14:textId="77777777" w:rsidR="004C6729" w:rsidRPr="00694010" w:rsidRDefault="004C6729" w:rsidP="00E039BD">
            <w:pPr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hideMark/>
          </w:tcPr>
          <w:p w14:paraId="34C905BB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Trametinib</w:t>
            </w:r>
          </w:p>
        </w:tc>
        <w:tc>
          <w:tcPr>
            <w:tcW w:w="1501" w:type="dxa"/>
            <w:hideMark/>
          </w:tcPr>
          <w:p w14:paraId="1EEDB68B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METRIC</w:t>
            </w:r>
          </w:p>
          <w:p w14:paraId="2080C3A5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NT01245062</w:t>
            </w:r>
          </w:p>
        </w:tc>
        <w:tc>
          <w:tcPr>
            <w:tcW w:w="446" w:type="dxa"/>
            <w:hideMark/>
          </w:tcPr>
          <w:p w14:paraId="06DE5FEB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1C127F1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0CA211C3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4090241B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74C5F779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69B3CABA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31751F7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754495D4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6334ED69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0084B7A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7E873C37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251DF80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09C1E9A9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6F2DB13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46F3728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4C6729" w:rsidRPr="00694010" w14:paraId="3FB783E7" w14:textId="77777777" w:rsidTr="00E039BD">
        <w:trPr>
          <w:cantSplit/>
          <w:trHeight w:val="20"/>
        </w:trPr>
        <w:tc>
          <w:tcPr>
            <w:tcW w:w="478" w:type="dxa"/>
            <w:vMerge/>
            <w:hideMark/>
          </w:tcPr>
          <w:p w14:paraId="3751ED39" w14:textId="77777777" w:rsidR="004C6729" w:rsidRPr="00694010" w:rsidRDefault="004C6729" w:rsidP="00E039BD">
            <w:pPr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vMerge w:val="restart"/>
            <w:hideMark/>
          </w:tcPr>
          <w:p w14:paraId="5D067DD8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Dabrafenib + trametinib</w:t>
            </w:r>
          </w:p>
        </w:tc>
        <w:tc>
          <w:tcPr>
            <w:tcW w:w="1501" w:type="dxa"/>
            <w:hideMark/>
          </w:tcPr>
          <w:p w14:paraId="5D16B503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NCT01584648</w:t>
            </w:r>
          </w:p>
        </w:tc>
        <w:tc>
          <w:tcPr>
            <w:tcW w:w="446" w:type="dxa"/>
            <w:hideMark/>
          </w:tcPr>
          <w:p w14:paraId="4B2B235C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50F8502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61277F78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43520B3D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3D860B89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5A75619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642D70A9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3E47F3F0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69661148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1134" w:type="dxa"/>
            <w:hideMark/>
          </w:tcPr>
          <w:p w14:paraId="0BB1E1DC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3" w:type="dxa"/>
            <w:hideMark/>
          </w:tcPr>
          <w:p w14:paraId="42325B36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20E1F97D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182D0635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1253D1E9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34A88307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4C6729" w:rsidRPr="00694010" w14:paraId="32D61384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7E4BFF05" w14:textId="77777777" w:rsidR="004C6729" w:rsidRPr="00694010" w:rsidRDefault="004C6729" w:rsidP="00E039BD">
            <w:pPr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vMerge/>
            <w:hideMark/>
          </w:tcPr>
          <w:p w14:paraId="4483554F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01" w:type="dxa"/>
            <w:hideMark/>
          </w:tcPr>
          <w:p w14:paraId="7D6C8027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NCT01072175</w:t>
            </w:r>
          </w:p>
        </w:tc>
        <w:tc>
          <w:tcPr>
            <w:tcW w:w="446" w:type="dxa"/>
            <w:hideMark/>
          </w:tcPr>
          <w:p w14:paraId="467D4ACF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4FABBDBE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0A9AF400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758F4C89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157807E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38D2E9A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0E598362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1B11FB6E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1BE7609D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16721C9D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32C061A4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196EA9A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456FDDD6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6F9E36FA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23B005AA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  <w:tr w:rsidR="004C6729" w:rsidRPr="00694010" w14:paraId="55EA9589" w14:textId="77777777" w:rsidTr="00E039BD">
        <w:trPr>
          <w:trHeight w:val="20"/>
        </w:trPr>
        <w:tc>
          <w:tcPr>
            <w:tcW w:w="478" w:type="dxa"/>
            <w:vMerge/>
            <w:hideMark/>
          </w:tcPr>
          <w:p w14:paraId="59B770BD" w14:textId="77777777" w:rsidR="004C6729" w:rsidRPr="00694010" w:rsidRDefault="004C6729" w:rsidP="00E039BD">
            <w:pPr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33" w:type="dxa"/>
            <w:vMerge/>
            <w:hideMark/>
          </w:tcPr>
          <w:p w14:paraId="6D6CEEEE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</w:p>
        </w:tc>
        <w:tc>
          <w:tcPr>
            <w:tcW w:w="1501" w:type="dxa"/>
            <w:hideMark/>
          </w:tcPr>
          <w:p w14:paraId="07170C5D" w14:textId="77777777" w:rsidR="004C6729" w:rsidRPr="00694010" w:rsidRDefault="004C6729" w:rsidP="00E039BD">
            <w:pPr>
              <w:pStyle w:val="TableBody"/>
              <w:rPr>
                <w:sz w:val="16"/>
                <w:szCs w:val="16"/>
                <w:lang w:val="en-US" w:eastAsia="en-GB"/>
              </w:rPr>
            </w:pPr>
            <w:r w:rsidRPr="00694010">
              <w:rPr>
                <w:sz w:val="16"/>
                <w:szCs w:val="16"/>
                <w:lang w:val="en-US" w:eastAsia="en-GB"/>
              </w:rPr>
              <w:t>NCT01597908</w:t>
            </w:r>
          </w:p>
        </w:tc>
        <w:tc>
          <w:tcPr>
            <w:tcW w:w="446" w:type="dxa"/>
            <w:hideMark/>
          </w:tcPr>
          <w:p w14:paraId="1A41EE7B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73" w:type="dxa"/>
            <w:hideMark/>
          </w:tcPr>
          <w:p w14:paraId="6E669BFA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717AC7F8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0E566291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9" w:type="dxa"/>
            <w:hideMark/>
          </w:tcPr>
          <w:p w14:paraId="231016B1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709" w:type="dxa"/>
            <w:hideMark/>
          </w:tcPr>
          <w:p w14:paraId="3B4338C0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567" w:type="dxa"/>
            <w:hideMark/>
          </w:tcPr>
          <w:p w14:paraId="1CE4FD49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2" w:type="dxa"/>
            <w:hideMark/>
          </w:tcPr>
          <w:p w14:paraId="17D5A3B4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850" w:type="dxa"/>
            <w:hideMark/>
          </w:tcPr>
          <w:p w14:paraId="79F5DD1F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6830D8F5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993" w:type="dxa"/>
            <w:hideMark/>
          </w:tcPr>
          <w:p w14:paraId="35002205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567" w:type="dxa"/>
            <w:hideMark/>
          </w:tcPr>
          <w:p w14:paraId="6125ECAF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708" w:type="dxa"/>
            <w:hideMark/>
          </w:tcPr>
          <w:p w14:paraId="06F5F1BC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  <w:tc>
          <w:tcPr>
            <w:tcW w:w="993" w:type="dxa"/>
            <w:hideMark/>
          </w:tcPr>
          <w:p w14:paraId="24476BF3" w14:textId="77777777" w:rsidR="004C6729" w:rsidRPr="00694010" w:rsidRDefault="004C6729" w:rsidP="00E039BD">
            <w:pPr>
              <w:pStyle w:val="TableBodyCentred"/>
              <w:rPr>
                <w:color w:val="00B050"/>
                <w:lang w:val="en-US" w:eastAsia="en-GB"/>
              </w:rPr>
            </w:pPr>
            <w:r w:rsidRPr="00694010">
              <w:rPr>
                <w:color w:val="00B050"/>
                <w:lang w:val="en-US" w:eastAsia="en-GB"/>
              </w:rPr>
              <w:sym w:font="Wingdings" w:char="F0FC"/>
            </w:r>
          </w:p>
        </w:tc>
        <w:tc>
          <w:tcPr>
            <w:tcW w:w="850" w:type="dxa"/>
            <w:hideMark/>
          </w:tcPr>
          <w:p w14:paraId="63051B06" w14:textId="77777777" w:rsidR="004C6729" w:rsidRPr="00694010" w:rsidRDefault="004C6729" w:rsidP="00E039BD">
            <w:pPr>
              <w:pStyle w:val="TableBodyCentred"/>
              <w:rPr>
                <w:color w:val="FF0000"/>
                <w:lang w:val="en-US" w:eastAsia="en-GB"/>
              </w:rPr>
            </w:pPr>
            <w:r w:rsidRPr="00694010">
              <w:rPr>
                <w:color w:val="FF0000"/>
                <w:lang w:val="en-US" w:eastAsia="en-GB"/>
              </w:rPr>
              <w:sym w:font="Wingdings" w:char="F0FB"/>
            </w:r>
          </w:p>
        </w:tc>
      </w:tr>
    </w:tbl>
    <w:p w14:paraId="2377993D" w14:textId="77777777" w:rsidR="004C6729" w:rsidRPr="00694010" w:rsidRDefault="004C6729" w:rsidP="004C6729">
      <w:pPr>
        <w:pStyle w:val="Footnote"/>
        <w:rPr>
          <w:lang w:val="en-US"/>
        </w:rPr>
      </w:pPr>
      <w:r w:rsidRPr="00694010">
        <w:rPr>
          <w:lang w:val="en-US"/>
        </w:rPr>
        <w:t>Seven of the factors were characterized as patient characteristics and seven as disease-related; however, some could be considered to belong to either category</w:t>
      </w:r>
    </w:p>
    <w:p w14:paraId="5C9D628C" w14:textId="349EA083" w:rsidR="002B02B1" w:rsidRPr="00694010" w:rsidRDefault="002B02B1" w:rsidP="002B02B1">
      <w:pPr>
        <w:pStyle w:val="Footnote"/>
        <w:rPr>
          <w:lang w:val="en-US"/>
        </w:rPr>
      </w:pPr>
      <w:r w:rsidRPr="00694010">
        <w:rPr>
          <w:lang w:val="en-US"/>
        </w:rPr>
        <w:lastRenderedPageBreak/>
        <w:t xml:space="preserve">Source: Roberts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Robert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2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3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Larkin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4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Postow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5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Hodi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2010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6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McDermott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2013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7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Chapman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2011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8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McArthur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9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>2013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10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11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2013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12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Hauschild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13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Grob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14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Flaherty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15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2014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16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Long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2015</w:t>
      </w:r>
      <w:r w:rsidR="000E22BE" w:rsidRPr="00694010">
        <w:rPr>
          <w:lang w:val="en-US"/>
        </w:rPr>
        <w:t xml:space="preserve"> [17];</w:t>
      </w:r>
      <w:r w:rsidRPr="00694010">
        <w:rPr>
          <w:lang w:val="en-US"/>
        </w:rPr>
        <w:t xml:space="preserve"> Flaherty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2012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18</w:t>
      </w:r>
      <w:r w:rsidR="000E22BE" w:rsidRPr="00694010">
        <w:rPr>
          <w:lang w:val="en-US"/>
        </w:rPr>
        <w:t>];</w:t>
      </w:r>
      <w:r w:rsidRPr="00694010">
        <w:rPr>
          <w:lang w:val="en-US"/>
        </w:rPr>
        <w:t xml:space="preserve"> Robert </w:t>
      </w:r>
      <w:r w:rsidRPr="00694010">
        <w:rPr>
          <w:rStyle w:val="Italic"/>
          <w:lang w:val="en-US"/>
        </w:rPr>
        <w:t>et al</w:t>
      </w:r>
      <w:r w:rsidRPr="00694010">
        <w:rPr>
          <w:rStyle w:val="RemoveCharacterStyle"/>
          <w:lang w:val="en-US"/>
        </w:rPr>
        <w:t>.</w:t>
      </w:r>
      <w:r w:rsidRPr="00694010">
        <w:rPr>
          <w:rStyle w:val="Italic"/>
          <w:lang w:val="en-US"/>
        </w:rPr>
        <w:t>,</w:t>
      </w:r>
      <w:r w:rsidRPr="00694010">
        <w:rPr>
          <w:lang w:val="en-US"/>
        </w:rPr>
        <w:t xml:space="preserve"> 201</w:t>
      </w:r>
      <w:r w:rsidR="000E22BE" w:rsidRPr="00694010">
        <w:rPr>
          <w:lang w:val="en-US"/>
        </w:rPr>
        <w:t>5 [</w:t>
      </w:r>
      <w:r w:rsidR="003770D0" w:rsidRPr="00694010">
        <w:rPr>
          <w:noProof/>
          <w:lang w:val="en-US"/>
        </w:rPr>
        <w:t>19]</w:t>
      </w:r>
    </w:p>
    <w:p w14:paraId="7F8C3056" w14:textId="2661985E" w:rsidR="006460A5" w:rsidRPr="00694010" w:rsidRDefault="004C6729" w:rsidP="004C6729">
      <w:pPr>
        <w:pStyle w:val="Footnote"/>
        <w:rPr>
          <w:lang w:val="en-US"/>
        </w:rPr>
      </w:pPr>
      <w:r w:rsidRPr="00694010">
        <w:rPr>
          <w:lang w:val="en-US"/>
        </w:rPr>
        <w:t>ECOG PS, Eastern Cooperative Oncology Group performance status; LDH, lactate dehydrogenase; PD-L1, programmed death ligand 1</w:t>
      </w:r>
    </w:p>
    <w:p w14:paraId="091F10D7" w14:textId="77777777" w:rsidR="006460A5" w:rsidRPr="00694010" w:rsidRDefault="006460A5">
      <w:pPr>
        <w:spacing w:line="276" w:lineRule="auto"/>
        <w:rPr>
          <w:sz w:val="19"/>
          <w:lang w:val="en-US"/>
        </w:rPr>
      </w:pPr>
      <w:r w:rsidRPr="00694010">
        <w:rPr>
          <w:lang w:val="en-US"/>
        </w:rPr>
        <w:br w:type="page"/>
      </w:r>
    </w:p>
    <w:p w14:paraId="4BB2E871" w14:textId="507AA21C" w:rsidR="006A005D" w:rsidRPr="00694010" w:rsidRDefault="006A005D" w:rsidP="006A005D">
      <w:pPr>
        <w:pStyle w:val="Caption"/>
        <w:rPr>
          <w:lang w:val="en-US"/>
        </w:rPr>
      </w:pPr>
      <w:r w:rsidRPr="00694010">
        <w:rPr>
          <w:lang w:val="en-US"/>
        </w:rPr>
        <w:lastRenderedPageBreak/>
        <w:t xml:space="preserve">Supplementary </w:t>
      </w:r>
      <w:r w:rsidR="00ED70B2" w:rsidRPr="00694010">
        <w:rPr>
          <w:lang w:val="en-US"/>
        </w:rPr>
        <w:t>table</w:t>
      </w:r>
      <w:r w:rsidRPr="00694010">
        <w:rPr>
          <w:lang w:val="en-US"/>
        </w:rPr>
        <w:t xml:space="preserve"> </w:t>
      </w:r>
      <w:r w:rsidR="00694010" w:rsidRPr="00694010">
        <w:rPr>
          <w:lang w:val="en-US"/>
        </w:rPr>
        <w:fldChar w:fldCharType="begin"/>
      </w:r>
      <w:r w:rsidR="00694010" w:rsidRPr="00694010">
        <w:rPr>
          <w:lang w:val="en-US"/>
        </w:rPr>
        <w:instrText xml:space="preserve"> SEQ Supplementary_appendix \* ARABIC </w:instrText>
      </w:r>
      <w:r w:rsidR="00694010" w:rsidRPr="00694010">
        <w:rPr>
          <w:lang w:val="en-US"/>
        </w:rPr>
        <w:fldChar w:fldCharType="separate"/>
      </w:r>
      <w:r w:rsidRPr="00694010">
        <w:rPr>
          <w:noProof/>
          <w:lang w:val="en-US"/>
        </w:rPr>
        <w:t>7</w:t>
      </w:r>
      <w:r w:rsidR="00694010" w:rsidRPr="00694010">
        <w:rPr>
          <w:noProof/>
          <w:lang w:val="en-US"/>
        </w:rPr>
        <w:fldChar w:fldCharType="end"/>
      </w:r>
      <w:r w:rsidRPr="00694010">
        <w:rPr>
          <w:lang w:val="en-US"/>
        </w:rPr>
        <w:t xml:space="preserve">  Matrix of factors affecting treatment decisions in treatment guidelines and NICE TAs</w:t>
      </w:r>
    </w:p>
    <w:tbl>
      <w:tblPr>
        <w:tblStyle w:val="PRMATableAccent2"/>
        <w:tblW w:w="14737" w:type="dxa"/>
        <w:tblLook w:val="0420" w:firstRow="1" w:lastRow="0" w:firstColumn="0" w:lastColumn="0" w:noHBand="0" w:noVBand="1"/>
      </w:tblPr>
      <w:tblGrid>
        <w:gridCol w:w="561"/>
        <w:gridCol w:w="2978"/>
        <w:gridCol w:w="1244"/>
        <w:gridCol w:w="1308"/>
        <w:gridCol w:w="1180"/>
        <w:gridCol w:w="1244"/>
        <w:gridCol w:w="1245"/>
        <w:gridCol w:w="1244"/>
        <w:gridCol w:w="1244"/>
        <w:gridCol w:w="1355"/>
        <w:gridCol w:w="1134"/>
      </w:tblGrid>
      <w:tr w:rsidR="004B7800" w:rsidRPr="00694010" w14:paraId="60C071B3" w14:textId="77777777" w:rsidTr="00E03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</w:trPr>
        <w:tc>
          <w:tcPr>
            <w:tcW w:w="3539" w:type="dxa"/>
            <w:gridSpan w:val="2"/>
            <w:vMerge w:val="restart"/>
          </w:tcPr>
          <w:p w14:paraId="140B051C" w14:textId="77777777" w:rsidR="004B7800" w:rsidRPr="00694010" w:rsidRDefault="004B7800" w:rsidP="00E039BD">
            <w:pPr>
              <w:pStyle w:val="TableHeader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Source</w:t>
            </w:r>
          </w:p>
        </w:tc>
        <w:tc>
          <w:tcPr>
            <w:tcW w:w="2552" w:type="dxa"/>
            <w:gridSpan w:val="2"/>
          </w:tcPr>
          <w:p w14:paraId="05CFC6C3" w14:textId="77777777" w:rsidR="004B7800" w:rsidRPr="00694010" w:rsidRDefault="004B7800" w:rsidP="00E039BD">
            <w:pPr>
              <w:pStyle w:val="TableHeaderCentred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Patient characteristics</w:t>
            </w:r>
          </w:p>
        </w:tc>
        <w:tc>
          <w:tcPr>
            <w:tcW w:w="8646" w:type="dxa"/>
            <w:gridSpan w:val="7"/>
          </w:tcPr>
          <w:p w14:paraId="0F08D42D" w14:textId="77777777" w:rsidR="004B7800" w:rsidRPr="00694010" w:rsidRDefault="004B7800" w:rsidP="00E039BD">
            <w:pPr>
              <w:pStyle w:val="TableHeaderCentred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Disease-related factors</w:t>
            </w:r>
          </w:p>
        </w:tc>
      </w:tr>
      <w:tr w:rsidR="004B7800" w:rsidRPr="00694010" w14:paraId="47CBFB44" w14:textId="77777777" w:rsidTr="00E039BD">
        <w:trPr>
          <w:cantSplit/>
          <w:trHeight w:val="20"/>
        </w:trPr>
        <w:tc>
          <w:tcPr>
            <w:tcW w:w="3539" w:type="dxa"/>
            <w:gridSpan w:val="2"/>
            <w:vMerge/>
            <w:hideMark/>
          </w:tcPr>
          <w:p w14:paraId="51D6D870" w14:textId="77777777" w:rsidR="004B7800" w:rsidRPr="00694010" w:rsidRDefault="004B7800" w:rsidP="00E039BD">
            <w:pPr>
              <w:pStyle w:val="TableHeader"/>
              <w:rPr>
                <w:sz w:val="16"/>
                <w:szCs w:val="16"/>
                <w:lang w:val="en-US"/>
              </w:rPr>
            </w:pPr>
          </w:p>
        </w:tc>
        <w:tc>
          <w:tcPr>
            <w:tcW w:w="1244" w:type="dxa"/>
            <w:shd w:val="clear" w:color="auto" w:fill="B2B2B2" w:themeFill="accent2"/>
            <w:hideMark/>
          </w:tcPr>
          <w:p w14:paraId="3A3A168E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>Disease stage</w:t>
            </w:r>
          </w:p>
        </w:tc>
        <w:tc>
          <w:tcPr>
            <w:tcW w:w="1308" w:type="dxa"/>
            <w:shd w:val="clear" w:color="auto" w:fill="B2B2B2" w:themeFill="accent2"/>
            <w:hideMark/>
          </w:tcPr>
          <w:p w14:paraId="61802591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>PS (ECOG, WHO)</w:t>
            </w:r>
          </w:p>
        </w:tc>
        <w:tc>
          <w:tcPr>
            <w:tcW w:w="1180" w:type="dxa"/>
            <w:shd w:val="clear" w:color="auto" w:fill="B2B2B2" w:themeFill="accent2"/>
            <w:hideMark/>
          </w:tcPr>
          <w:p w14:paraId="0C2E1FAB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>Brain metastases</w:t>
            </w:r>
          </w:p>
        </w:tc>
        <w:tc>
          <w:tcPr>
            <w:tcW w:w="1244" w:type="dxa"/>
            <w:shd w:val="clear" w:color="auto" w:fill="B2B2B2" w:themeFill="accent2"/>
            <w:hideMark/>
          </w:tcPr>
          <w:p w14:paraId="60819D7D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>Disease tempo and prognosis</w:t>
            </w:r>
          </w:p>
        </w:tc>
        <w:tc>
          <w:tcPr>
            <w:tcW w:w="1245" w:type="dxa"/>
            <w:shd w:val="clear" w:color="auto" w:fill="B2B2B2" w:themeFill="accent2"/>
            <w:hideMark/>
          </w:tcPr>
          <w:p w14:paraId="6783B15B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>Tumor burden</w:t>
            </w:r>
          </w:p>
        </w:tc>
        <w:tc>
          <w:tcPr>
            <w:tcW w:w="1244" w:type="dxa"/>
            <w:shd w:val="clear" w:color="auto" w:fill="B2B2B2" w:themeFill="accent2"/>
            <w:hideMark/>
          </w:tcPr>
          <w:p w14:paraId="4237CDF2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>Line of therapy</w:t>
            </w:r>
          </w:p>
        </w:tc>
        <w:tc>
          <w:tcPr>
            <w:tcW w:w="1244" w:type="dxa"/>
            <w:shd w:val="clear" w:color="auto" w:fill="B2B2B2" w:themeFill="accent2"/>
            <w:hideMark/>
          </w:tcPr>
          <w:p w14:paraId="71E4873D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 xml:space="preserve">BRAF mutation </w:t>
            </w:r>
          </w:p>
        </w:tc>
        <w:tc>
          <w:tcPr>
            <w:tcW w:w="1355" w:type="dxa"/>
            <w:shd w:val="clear" w:color="auto" w:fill="B2B2B2" w:themeFill="accent2"/>
            <w:hideMark/>
          </w:tcPr>
          <w:p w14:paraId="6725368E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 xml:space="preserve">Other mutations </w:t>
            </w: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br/>
              <w:t>(N-ras, c-Kit)</w:t>
            </w:r>
          </w:p>
        </w:tc>
        <w:tc>
          <w:tcPr>
            <w:tcW w:w="1134" w:type="dxa"/>
            <w:shd w:val="clear" w:color="auto" w:fill="B2B2B2" w:themeFill="accent2"/>
            <w:hideMark/>
          </w:tcPr>
          <w:p w14:paraId="19AAC81F" w14:textId="77777777" w:rsidR="004B7800" w:rsidRPr="00694010" w:rsidRDefault="004B7800" w:rsidP="00E039BD">
            <w:pPr>
              <w:pStyle w:val="TableHeaderCentred"/>
              <w:rPr>
                <w:color w:val="FFFFFF" w:themeColor="background1"/>
                <w:sz w:val="16"/>
                <w:szCs w:val="16"/>
                <w:lang w:val="en-US"/>
              </w:rPr>
            </w:pPr>
            <w:r w:rsidRPr="00694010">
              <w:rPr>
                <w:color w:val="FFFFFF" w:themeColor="background1"/>
                <w:sz w:val="16"/>
                <w:szCs w:val="16"/>
                <w:lang w:val="en-US"/>
              </w:rPr>
              <w:t>PD-L1 expression</w:t>
            </w:r>
          </w:p>
        </w:tc>
      </w:tr>
      <w:tr w:rsidR="004B7800" w:rsidRPr="00694010" w14:paraId="79BCA981" w14:textId="77777777" w:rsidTr="00E039BD">
        <w:trPr>
          <w:cantSplit/>
          <w:trHeight w:val="20"/>
        </w:trPr>
        <w:tc>
          <w:tcPr>
            <w:tcW w:w="561" w:type="dxa"/>
            <w:vMerge w:val="restart"/>
            <w:textDirection w:val="btLr"/>
            <w:hideMark/>
          </w:tcPr>
          <w:p w14:paraId="77734DC5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Guidelines</w:t>
            </w:r>
          </w:p>
        </w:tc>
        <w:tc>
          <w:tcPr>
            <w:tcW w:w="2978" w:type="dxa"/>
            <w:hideMark/>
          </w:tcPr>
          <w:p w14:paraId="1D7B7841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ESMO, 2015</w:t>
            </w:r>
          </w:p>
        </w:tc>
        <w:tc>
          <w:tcPr>
            <w:tcW w:w="1244" w:type="dxa"/>
            <w:hideMark/>
          </w:tcPr>
          <w:p w14:paraId="24C1087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1C6F8A10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7E105BC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549EDF6D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6DEE4085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682E2C0B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4E5C9A6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519C5DA6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34" w:type="dxa"/>
            <w:hideMark/>
          </w:tcPr>
          <w:p w14:paraId="76C18949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</w:tr>
      <w:tr w:rsidR="004B7800" w:rsidRPr="00694010" w14:paraId="21B28A26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55BFC0F5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385A6406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EADO, 2012</w:t>
            </w:r>
          </w:p>
        </w:tc>
        <w:tc>
          <w:tcPr>
            <w:tcW w:w="1244" w:type="dxa"/>
            <w:hideMark/>
          </w:tcPr>
          <w:p w14:paraId="7EBC1F0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11FF627B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0D71C3C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60717560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7BB0BEE9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4698E515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72993AF5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7B77AB2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34" w:type="dxa"/>
            <w:hideMark/>
          </w:tcPr>
          <w:p w14:paraId="38EE1BF0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</w:tr>
      <w:tr w:rsidR="004B7800" w:rsidRPr="00694010" w14:paraId="7B85E80E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596AA3FA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6B21954B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AWMF, 2013</w:t>
            </w:r>
          </w:p>
        </w:tc>
        <w:tc>
          <w:tcPr>
            <w:tcW w:w="1244" w:type="dxa"/>
            <w:hideMark/>
          </w:tcPr>
          <w:p w14:paraId="0269588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1E761DAB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345CEECF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6C4242D4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5" w:type="dxa"/>
            <w:hideMark/>
          </w:tcPr>
          <w:p w14:paraId="450AB1BB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4651305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33B97365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6C8CBD16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34" w:type="dxa"/>
            <w:hideMark/>
          </w:tcPr>
          <w:p w14:paraId="6E3ED533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43373B5C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5B245BE4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1CE62EF2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AIOM, 2013</w:t>
            </w:r>
          </w:p>
        </w:tc>
        <w:tc>
          <w:tcPr>
            <w:tcW w:w="1244" w:type="dxa"/>
            <w:hideMark/>
          </w:tcPr>
          <w:p w14:paraId="45A3A9B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32B2CD57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107C3FC0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09A6649F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4F6EE042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6B9E1C2A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2BAB6F72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6ADF2960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34" w:type="dxa"/>
            <w:hideMark/>
          </w:tcPr>
          <w:p w14:paraId="0E43343A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741D2273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38ED0B4B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78D71209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IKNL, 2012</w:t>
            </w:r>
          </w:p>
        </w:tc>
        <w:tc>
          <w:tcPr>
            <w:tcW w:w="1244" w:type="dxa"/>
            <w:hideMark/>
          </w:tcPr>
          <w:p w14:paraId="6DDBE2A5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2792CC0E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45AAEF2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49A5A29A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725BDC50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491FD841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65B824BB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64660215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386ACBE7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2C8221B1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1CBF8533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7A65ACE5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SEOM, 2015</w:t>
            </w:r>
          </w:p>
        </w:tc>
        <w:tc>
          <w:tcPr>
            <w:tcW w:w="1244" w:type="dxa"/>
            <w:hideMark/>
          </w:tcPr>
          <w:p w14:paraId="29A6D650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00787E21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298B5AE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622B427C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30A269F9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61C84C39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5C210D95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7B12F606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21754FC6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5CA12785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17535713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73402A39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Sweden, 2014</w:t>
            </w:r>
          </w:p>
        </w:tc>
        <w:tc>
          <w:tcPr>
            <w:tcW w:w="1244" w:type="dxa"/>
            <w:hideMark/>
          </w:tcPr>
          <w:p w14:paraId="7FA0C0F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5518CCE1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80" w:type="dxa"/>
            <w:hideMark/>
          </w:tcPr>
          <w:p w14:paraId="3378B047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380F53C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3F0DFE24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16DB86CB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7ECED9C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6086BFA7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2C734169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58357EB6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2D75F302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20F85777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NCCN, 2015/2016</w:t>
            </w:r>
          </w:p>
        </w:tc>
        <w:tc>
          <w:tcPr>
            <w:tcW w:w="1244" w:type="dxa"/>
            <w:hideMark/>
          </w:tcPr>
          <w:p w14:paraId="72402B7F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22D19AFA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80" w:type="dxa"/>
            <w:hideMark/>
          </w:tcPr>
          <w:p w14:paraId="5E333BC4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6E88AAF6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5" w:type="dxa"/>
            <w:hideMark/>
          </w:tcPr>
          <w:p w14:paraId="0C139AA1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671FBE52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47D5339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592925F5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34" w:type="dxa"/>
            <w:hideMark/>
          </w:tcPr>
          <w:p w14:paraId="1AA21CBF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782A1C9B" w14:textId="77777777" w:rsidTr="00E039BD">
        <w:trPr>
          <w:cantSplit/>
          <w:trHeight w:val="20"/>
        </w:trPr>
        <w:tc>
          <w:tcPr>
            <w:tcW w:w="561" w:type="dxa"/>
            <w:vMerge w:val="restart"/>
            <w:textDirection w:val="btLr"/>
            <w:hideMark/>
          </w:tcPr>
          <w:p w14:paraId="174AF638" w14:textId="77777777" w:rsidR="004B7800" w:rsidRPr="00694010" w:rsidRDefault="004B7800" w:rsidP="00E039BD">
            <w:pPr>
              <w:pStyle w:val="TableBodyCentred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NICE TA</w:t>
            </w:r>
          </w:p>
        </w:tc>
        <w:tc>
          <w:tcPr>
            <w:tcW w:w="2978" w:type="dxa"/>
            <w:hideMark/>
          </w:tcPr>
          <w:p w14:paraId="31D47D9D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Ipilimumab, 2nd line (TA268)</w:t>
            </w:r>
          </w:p>
        </w:tc>
        <w:tc>
          <w:tcPr>
            <w:tcW w:w="1244" w:type="dxa"/>
            <w:hideMark/>
          </w:tcPr>
          <w:p w14:paraId="3FE3BD83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1EEA1D63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16762DCB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4EC77B85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55DA6EB0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37D539D1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0A17E5A4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355" w:type="dxa"/>
            <w:hideMark/>
          </w:tcPr>
          <w:p w14:paraId="51D1687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69A19DA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56836407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029859B4" w14:textId="77777777" w:rsidR="004B7800" w:rsidRPr="00694010" w:rsidRDefault="004B7800" w:rsidP="00E039BD">
            <w:pPr>
              <w:pStyle w:val="Footnote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29B5F761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Vemurafenib (TA269)</w:t>
            </w:r>
          </w:p>
        </w:tc>
        <w:tc>
          <w:tcPr>
            <w:tcW w:w="1244" w:type="dxa"/>
            <w:hideMark/>
          </w:tcPr>
          <w:p w14:paraId="44E0056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613D187D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7FE150D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01E75BB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23B64F07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24028754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100E6C72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14631D7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396E4615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3D1FC3AA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09A13690" w14:textId="77777777" w:rsidR="004B7800" w:rsidRPr="00694010" w:rsidRDefault="004B7800" w:rsidP="00E039BD">
            <w:pPr>
              <w:pStyle w:val="Footnote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08B6F9DF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 xml:space="preserve">Dabrafenib (TA321) </w:t>
            </w:r>
          </w:p>
        </w:tc>
        <w:tc>
          <w:tcPr>
            <w:tcW w:w="1244" w:type="dxa"/>
            <w:hideMark/>
          </w:tcPr>
          <w:p w14:paraId="6E9CA565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0A81F52D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180" w:type="dxa"/>
            <w:hideMark/>
          </w:tcPr>
          <w:p w14:paraId="36A77EF6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52BE855F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5" w:type="dxa"/>
            <w:hideMark/>
          </w:tcPr>
          <w:p w14:paraId="720F7DD4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575B1291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5BE43BE3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5DDA4CED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1AC61BA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7A338E61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06A21D1D" w14:textId="77777777" w:rsidR="004B7800" w:rsidRPr="00694010" w:rsidRDefault="004B7800" w:rsidP="00E039BD">
            <w:pPr>
              <w:pStyle w:val="Footnote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14439889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Ipilimumab, 1st line (TA319)</w:t>
            </w:r>
          </w:p>
        </w:tc>
        <w:tc>
          <w:tcPr>
            <w:tcW w:w="1244" w:type="dxa"/>
            <w:hideMark/>
          </w:tcPr>
          <w:p w14:paraId="003F7FB0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1F12341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18653631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7DDCC3DF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5" w:type="dxa"/>
            <w:hideMark/>
          </w:tcPr>
          <w:p w14:paraId="19534C8F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2BACB7E2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1C1719D8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3D47248C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6D51E7B9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  <w:tr w:rsidR="004B7800" w:rsidRPr="00694010" w14:paraId="7FB3ACEF" w14:textId="77777777" w:rsidTr="00E039BD">
        <w:trPr>
          <w:cantSplit/>
          <w:trHeight w:val="20"/>
        </w:trPr>
        <w:tc>
          <w:tcPr>
            <w:tcW w:w="561" w:type="dxa"/>
            <w:vMerge/>
            <w:hideMark/>
          </w:tcPr>
          <w:p w14:paraId="26EA07EA" w14:textId="77777777" w:rsidR="004B7800" w:rsidRPr="00694010" w:rsidRDefault="004B7800" w:rsidP="00E039BD">
            <w:pPr>
              <w:pStyle w:val="Footnote"/>
              <w:rPr>
                <w:sz w:val="16"/>
                <w:szCs w:val="16"/>
                <w:lang w:val="en-US"/>
              </w:rPr>
            </w:pPr>
          </w:p>
        </w:tc>
        <w:tc>
          <w:tcPr>
            <w:tcW w:w="2978" w:type="dxa"/>
            <w:hideMark/>
          </w:tcPr>
          <w:p w14:paraId="7B3E6C67" w14:textId="77777777" w:rsidR="004B7800" w:rsidRPr="00694010" w:rsidRDefault="004B7800" w:rsidP="00E039BD">
            <w:pPr>
              <w:pStyle w:val="TableBody"/>
              <w:rPr>
                <w:sz w:val="16"/>
                <w:szCs w:val="16"/>
                <w:lang w:val="en-US"/>
              </w:rPr>
            </w:pPr>
            <w:r w:rsidRPr="00694010">
              <w:rPr>
                <w:sz w:val="16"/>
                <w:szCs w:val="16"/>
                <w:lang w:val="en-US"/>
              </w:rPr>
              <w:t>Pembrolizumab, 2nd line (TA357)</w:t>
            </w:r>
          </w:p>
        </w:tc>
        <w:tc>
          <w:tcPr>
            <w:tcW w:w="1244" w:type="dxa"/>
            <w:hideMark/>
          </w:tcPr>
          <w:p w14:paraId="24D1A7CD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08" w:type="dxa"/>
            <w:hideMark/>
          </w:tcPr>
          <w:p w14:paraId="1A1F2B08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80" w:type="dxa"/>
            <w:hideMark/>
          </w:tcPr>
          <w:p w14:paraId="38C2974A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1C32D35E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5" w:type="dxa"/>
            <w:hideMark/>
          </w:tcPr>
          <w:p w14:paraId="64E37CB0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244" w:type="dxa"/>
            <w:hideMark/>
          </w:tcPr>
          <w:p w14:paraId="063346FB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244" w:type="dxa"/>
            <w:hideMark/>
          </w:tcPr>
          <w:p w14:paraId="7836B2E4" w14:textId="77777777" w:rsidR="004B7800" w:rsidRPr="00694010" w:rsidRDefault="004B7800" w:rsidP="00E039BD">
            <w:pPr>
              <w:pStyle w:val="TableBodyCentred"/>
              <w:rPr>
                <w:color w:val="00B050"/>
                <w:lang w:val="en-US"/>
              </w:rPr>
            </w:pPr>
            <w:r w:rsidRPr="00694010">
              <w:rPr>
                <w:color w:val="00B050"/>
                <w:lang w:val="en-US"/>
              </w:rPr>
              <w:sym w:font="Wingdings" w:char="F0FC"/>
            </w:r>
          </w:p>
        </w:tc>
        <w:tc>
          <w:tcPr>
            <w:tcW w:w="1355" w:type="dxa"/>
            <w:hideMark/>
          </w:tcPr>
          <w:p w14:paraId="6579DF5E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  <w:tc>
          <w:tcPr>
            <w:tcW w:w="1134" w:type="dxa"/>
            <w:hideMark/>
          </w:tcPr>
          <w:p w14:paraId="0F7B13CF" w14:textId="77777777" w:rsidR="004B7800" w:rsidRPr="00694010" w:rsidRDefault="004B7800" w:rsidP="00E039BD">
            <w:pPr>
              <w:pStyle w:val="TableBodyCentred"/>
              <w:rPr>
                <w:color w:val="FF0000"/>
                <w:lang w:val="en-US"/>
              </w:rPr>
            </w:pPr>
            <w:r w:rsidRPr="00694010">
              <w:rPr>
                <w:color w:val="FF0000"/>
                <w:lang w:val="en-US"/>
              </w:rPr>
              <w:sym w:font="Wingdings" w:char="F0FB"/>
            </w:r>
          </w:p>
        </w:tc>
      </w:tr>
    </w:tbl>
    <w:p w14:paraId="0481E76F" w14:textId="031C2DEA" w:rsidR="002B02B1" w:rsidRPr="00694010" w:rsidRDefault="00BA0768" w:rsidP="002B02B1">
      <w:pPr>
        <w:pStyle w:val="Footnote"/>
        <w:rPr>
          <w:lang w:val="en-US"/>
        </w:rPr>
      </w:pPr>
      <w:r w:rsidRPr="00694010">
        <w:rPr>
          <w:lang w:val="en-US"/>
        </w:rPr>
        <w:t>ESMO, European Society for Medical Oncology [</w:t>
      </w:r>
      <w:r w:rsidRPr="00694010">
        <w:rPr>
          <w:noProof/>
          <w:lang w:val="en-US"/>
        </w:rPr>
        <w:t>21</w:t>
      </w:r>
      <w:r w:rsidRPr="00694010">
        <w:rPr>
          <w:lang w:val="en-US"/>
        </w:rPr>
        <w:t>]; EADO, European Association of Dermato Oncology [</w:t>
      </w:r>
      <w:r w:rsidRPr="00694010">
        <w:rPr>
          <w:noProof/>
          <w:lang w:val="en-US"/>
        </w:rPr>
        <w:t>22</w:t>
      </w:r>
      <w:r w:rsidRPr="00694010">
        <w:rPr>
          <w:lang w:val="en-US"/>
        </w:rPr>
        <w:t>]; AWMF, Arbeitsgemeinschaft der Wissenschaftlichen Medizinischen Fachgesellschaften (Association of the Scientific Medical Societies in Germany) [</w:t>
      </w:r>
      <w:r w:rsidRPr="00694010">
        <w:rPr>
          <w:noProof/>
          <w:lang w:val="en-US"/>
        </w:rPr>
        <w:t>23</w:t>
      </w:r>
      <w:r w:rsidRPr="00694010">
        <w:rPr>
          <w:lang w:val="en-US"/>
        </w:rPr>
        <w:t xml:space="preserve">]; </w:t>
      </w:r>
      <w:r w:rsidR="002B02B1" w:rsidRPr="00694010">
        <w:rPr>
          <w:lang w:val="en-US"/>
        </w:rPr>
        <w:t>AIOM, Associazione Italiana di Oncologia Medica (Italian Association for Medical Oncology)</w:t>
      </w:r>
      <w:r w:rsidR="000E22BE" w:rsidRPr="00694010">
        <w:rPr>
          <w:lang w:val="en-US"/>
        </w:rPr>
        <w:t xml:space="preserve"> [</w:t>
      </w:r>
      <w:r w:rsidR="000E22BE" w:rsidRPr="00694010">
        <w:rPr>
          <w:noProof/>
          <w:lang w:val="en-US"/>
        </w:rPr>
        <w:t>2</w:t>
      </w:r>
      <w:r w:rsidRPr="00694010">
        <w:rPr>
          <w:noProof/>
          <w:lang w:val="en-US"/>
        </w:rPr>
        <w:t>4</w:t>
      </w:r>
      <w:r w:rsidR="000E22BE" w:rsidRPr="00694010">
        <w:rPr>
          <w:lang w:val="en-US"/>
        </w:rPr>
        <w:t>];</w:t>
      </w:r>
      <w:r w:rsidR="002B02B1" w:rsidRPr="00694010">
        <w:rPr>
          <w:lang w:val="en-US"/>
        </w:rPr>
        <w:t xml:space="preserve"> IKNL, Integraal Kankercentrum Nederland (Netherlands Comprehensive Cancer Organisation)</w:t>
      </w:r>
      <w:r w:rsidR="000E22BE" w:rsidRPr="00694010">
        <w:rPr>
          <w:lang w:val="en-US"/>
        </w:rPr>
        <w:t xml:space="preserve"> [</w:t>
      </w:r>
      <w:r w:rsidRPr="00694010">
        <w:rPr>
          <w:lang w:val="en-US"/>
        </w:rPr>
        <w:t>25</w:t>
      </w:r>
      <w:r w:rsidR="000E22BE" w:rsidRPr="00694010">
        <w:rPr>
          <w:lang w:val="en-US"/>
        </w:rPr>
        <w:t>];</w:t>
      </w:r>
      <w:r w:rsidR="002B02B1" w:rsidRPr="00694010">
        <w:rPr>
          <w:lang w:val="en-US"/>
        </w:rPr>
        <w:t xml:space="preserve"> </w:t>
      </w:r>
      <w:r w:rsidR="00544831" w:rsidRPr="00694010">
        <w:rPr>
          <w:lang w:val="en-US"/>
        </w:rPr>
        <w:t xml:space="preserve">SEOM, Sociedad Española de Oncología Médica (Spanish Society for Medical Oncology) [26]; Swedish Association of Regional Cancer Registries (Regionala Cancercentrum i Samverkan) [27]; </w:t>
      </w:r>
      <w:r w:rsidR="002B02B1" w:rsidRPr="00694010">
        <w:rPr>
          <w:lang w:val="en-US"/>
        </w:rPr>
        <w:t>NCCN, National Comprehensive Cancer Network</w:t>
      </w:r>
      <w:r w:rsidR="00544831" w:rsidRPr="00694010">
        <w:rPr>
          <w:lang w:val="en-US"/>
        </w:rPr>
        <w:t xml:space="preserve"> [28</w:t>
      </w:r>
      <w:r w:rsidR="000E22BE" w:rsidRPr="00694010">
        <w:rPr>
          <w:lang w:val="en-US"/>
        </w:rPr>
        <w:t>];</w:t>
      </w:r>
      <w:r w:rsidR="002B02B1" w:rsidRPr="00694010">
        <w:rPr>
          <w:lang w:val="en-US"/>
        </w:rPr>
        <w:t xml:space="preserve"> NICE TA documents: https://www.nice.org.uk/, accessed 19 October 2015</w:t>
      </w:r>
    </w:p>
    <w:p w14:paraId="3DF746C4" w14:textId="6D0356A1" w:rsidR="00AA4D9C" w:rsidRPr="00694010" w:rsidRDefault="004B7800" w:rsidP="00C95B29">
      <w:pPr>
        <w:pStyle w:val="Footnote"/>
        <w:rPr>
          <w:lang w:val="en-US"/>
        </w:rPr>
      </w:pPr>
      <w:r w:rsidRPr="00694010">
        <w:rPr>
          <w:lang w:val="en-US"/>
        </w:rPr>
        <w:lastRenderedPageBreak/>
        <w:t>ECOG PS, Eastern Cooperative Oncology Group performance status; LDH, lactate dehydrogenase; PD-L1, programmed death ligand 1</w:t>
      </w:r>
      <w:r w:rsidR="00C95B29" w:rsidRPr="00694010">
        <w:rPr>
          <w:lang w:val="en-US"/>
        </w:rPr>
        <w:t>; WHO, World Health Organization</w:t>
      </w:r>
    </w:p>
    <w:sectPr w:rsidR="00AA4D9C" w:rsidRPr="00694010" w:rsidSect="00C95B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21AB6" w14:textId="77777777" w:rsidR="00C139D8" w:rsidRDefault="00C139D8" w:rsidP="00F60740">
      <w:pPr>
        <w:spacing w:after="0"/>
      </w:pPr>
      <w:r>
        <w:separator/>
      </w:r>
    </w:p>
    <w:p w14:paraId="6C97A85B" w14:textId="77777777" w:rsidR="00C139D8" w:rsidRDefault="00C139D8"/>
  </w:endnote>
  <w:endnote w:type="continuationSeparator" w:id="0">
    <w:p w14:paraId="7AA0B49E" w14:textId="77777777" w:rsidR="00C139D8" w:rsidRDefault="00C139D8" w:rsidP="00F60740">
      <w:pPr>
        <w:spacing w:after="0"/>
      </w:pPr>
      <w:r>
        <w:continuationSeparator/>
      </w:r>
    </w:p>
    <w:p w14:paraId="023E09E3" w14:textId="77777777" w:rsidR="00C139D8" w:rsidRDefault="00C139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F360B" w14:textId="77777777" w:rsidR="00C139D8" w:rsidRDefault="00C139D8" w:rsidP="00F60740">
      <w:pPr>
        <w:spacing w:after="0"/>
      </w:pPr>
      <w:r>
        <w:separator/>
      </w:r>
    </w:p>
    <w:p w14:paraId="4478F0A8" w14:textId="77777777" w:rsidR="00C139D8" w:rsidRDefault="00C139D8"/>
  </w:footnote>
  <w:footnote w:type="continuationSeparator" w:id="0">
    <w:p w14:paraId="3834A81D" w14:textId="77777777" w:rsidR="00C139D8" w:rsidRDefault="00C139D8" w:rsidP="00F60740">
      <w:pPr>
        <w:spacing w:after="0"/>
      </w:pPr>
      <w:r>
        <w:continuationSeparator/>
      </w:r>
    </w:p>
    <w:p w14:paraId="572231D5" w14:textId="77777777" w:rsidR="00C139D8" w:rsidRDefault="00C139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F2A0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394782"/>
    <w:multiLevelType w:val="hybridMultilevel"/>
    <w:tmpl w:val="F6BADA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2E7"/>
    <w:multiLevelType w:val="multilevel"/>
    <w:tmpl w:val="3D6A545A"/>
    <w:styleLink w:val="HeadingsVM"/>
    <w:lvl w:ilvl="0">
      <w:start w:val="1"/>
      <w:numFmt w:val="decimal"/>
      <w:pStyle w:val="HeadingVM1"/>
      <w:lvlText w:val="VM %1"/>
      <w:lvlJc w:val="left"/>
      <w:pPr>
        <w:ind w:left="1134" w:hanging="1134"/>
      </w:pPr>
      <w:rPr>
        <w:rFonts w:asciiTheme="majorHAnsi" w:hAnsiTheme="majorHAnsi" w:hint="default"/>
      </w:rPr>
    </w:lvl>
    <w:lvl w:ilvl="1">
      <w:start w:val="1"/>
      <w:numFmt w:val="decimal"/>
      <w:pStyle w:val="HeadingVM2"/>
      <w:lvlText w:val="VM %1.%2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06051082"/>
    <w:multiLevelType w:val="multilevel"/>
    <w:tmpl w:val="68B2DC02"/>
    <w:styleLink w:val="AppendixList"/>
    <w:lvl w:ilvl="0">
      <w:start w:val="1"/>
      <w:numFmt w:val="decimal"/>
      <w:isLgl/>
      <w:lvlText w:val="Appendix %1:"/>
      <w:lvlJc w:val="left"/>
      <w:pPr>
        <w:ind w:left="1361" w:hanging="1361"/>
      </w:pPr>
      <w:rPr>
        <w:rFonts w:asciiTheme="majorHAnsi" w:hAnsiTheme="majorHAnsi" w:hint="default"/>
        <w:b/>
        <w:i w:val="0"/>
        <w:color w:val="000000" w:themeColor="text2"/>
      </w:rPr>
    </w:lvl>
    <w:lvl w:ilvl="1">
      <w:start w:val="1"/>
      <w:numFmt w:val="decimal"/>
      <w:lvlText w:val="Appendix: %1.%2"/>
      <w:lvlJc w:val="left"/>
      <w:pPr>
        <w:ind w:left="1361" w:hanging="1361"/>
      </w:pPr>
      <w:rPr>
        <w:rFonts w:hint="default"/>
        <w:color w:val="000000" w:themeColor="text2"/>
      </w:rPr>
    </w:lvl>
    <w:lvl w:ilvl="2">
      <w:start w:val="1"/>
      <w:numFmt w:val="lowerRoman"/>
      <w:lvlText w:val="%3)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1" w:hanging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61" w:hanging="136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36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1" w:hanging="136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1" w:hanging="1361"/>
      </w:pPr>
      <w:rPr>
        <w:rFonts w:hint="default"/>
      </w:rPr>
    </w:lvl>
  </w:abstractNum>
  <w:abstractNum w:abstractNumId="4" w15:restartNumberingAfterBreak="0">
    <w:nsid w:val="08DA39A0"/>
    <w:multiLevelType w:val="multilevel"/>
    <w:tmpl w:val="03789372"/>
    <w:styleLink w:val="Bullets"/>
    <w:lvl w:ilvl="0">
      <w:start w:val="1"/>
      <w:numFmt w:val="bullet"/>
      <w:pStyle w:val="Bullets1"/>
      <w:lvlText w:val=""/>
      <w:lvlJc w:val="left"/>
      <w:pPr>
        <w:ind w:left="425" w:hanging="425"/>
      </w:pPr>
      <w:rPr>
        <w:rFonts w:ascii="Symbol" w:hAnsi="Symbol"/>
        <w:color w:val="969696" w:themeColor="accent3"/>
        <w:sz w:val="22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969696" w:themeColor="accent3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969696" w:themeColor="accent3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969696" w:themeColor="accent3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DDDDDD" w:themeColor="accent1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DDDDDD" w:themeColor="accent1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DDDDDD" w:themeColor="accent1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DDDDDD" w:themeColor="accent1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DDDDDD" w:themeColor="accent1"/>
      </w:rPr>
    </w:lvl>
  </w:abstractNum>
  <w:abstractNum w:abstractNumId="5" w15:restartNumberingAfterBreak="0">
    <w:nsid w:val="1C384706"/>
    <w:multiLevelType w:val="multilevel"/>
    <w:tmpl w:val="99A011F0"/>
    <w:lvl w:ilvl="0">
      <w:start w:val="1"/>
      <w:numFmt w:val="decimal"/>
      <w:lvlText w:val="%1."/>
      <w:lvlJc w:val="left"/>
      <w:pPr>
        <w:ind w:left="425" w:hanging="425"/>
      </w:pPr>
      <w:rPr>
        <w:rFonts w:asciiTheme="minorHAnsi" w:hAnsiTheme="minorHAnsi" w:hint="default"/>
        <w:color w:val="DDDDDD" w:themeColor="accent1"/>
      </w:rPr>
    </w:lvl>
    <w:lvl w:ilvl="1">
      <w:start w:val="1"/>
      <w:numFmt w:val="lowerLetter"/>
      <w:pStyle w:val="NumberedList2"/>
      <w:lvlText w:val="%2)"/>
      <w:lvlJc w:val="left"/>
      <w:pPr>
        <w:ind w:left="851" w:hanging="426"/>
      </w:pPr>
      <w:rPr>
        <w:rFonts w:hint="default"/>
        <w:color w:val="DDDDDD" w:themeColor="accent1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21945CFF"/>
    <w:multiLevelType w:val="multilevel"/>
    <w:tmpl w:val="52C82D9C"/>
    <w:numStyleLink w:val="NormalList"/>
  </w:abstractNum>
  <w:abstractNum w:abstractNumId="7" w15:restartNumberingAfterBreak="0">
    <w:nsid w:val="22D45E8A"/>
    <w:multiLevelType w:val="multilevel"/>
    <w:tmpl w:val="9B0486BC"/>
    <w:styleLink w:val="Appendix"/>
    <w:lvl w:ilvl="0">
      <w:start w:val="1"/>
      <w:numFmt w:val="decimal"/>
      <w:lvlText w:val="VM Appendix %1"/>
      <w:lvlJc w:val="left"/>
      <w:pPr>
        <w:ind w:left="0" w:firstLine="0"/>
      </w:pPr>
      <w:rPr>
        <w:rFonts w:hint="default"/>
        <w:b/>
        <w:i w:val="0"/>
        <w:color w:val="000000" w:themeColor="text2"/>
      </w:rPr>
    </w:lvl>
    <w:lvl w:ilvl="1">
      <w:start w:val="1"/>
      <w:numFmt w:val="decimalZero"/>
      <w:isLgl/>
      <w:lvlText w:val="Appendix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decimal"/>
      <w:lvlText w:val="Appendix %7)"/>
      <w:lvlJc w:val="right"/>
      <w:pPr>
        <w:ind w:left="99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8" w15:restartNumberingAfterBreak="0">
    <w:nsid w:val="277A2F57"/>
    <w:multiLevelType w:val="multilevel"/>
    <w:tmpl w:val="0312125E"/>
    <w:styleLink w:val="NumberedListforTables"/>
    <w:lvl w:ilvl="0">
      <w:start w:val="1"/>
      <w:numFmt w:val="decimal"/>
      <w:pStyle w:val="TableNumberedList"/>
      <w:lvlText w:val="%1."/>
      <w:lvlJc w:val="left"/>
      <w:pPr>
        <w:ind w:left="284" w:hanging="28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03D5BE8"/>
    <w:multiLevelType w:val="multilevel"/>
    <w:tmpl w:val="60A2C5C0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  <w:color w:val="DDDDDD" w:themeColor="accent1"/>
      </w:rPr>
    </w:lvl>
    <w:lvl w:ilvl="1">
      <w:start w:val="1"/>
      <w:numFmt w:val="bullet"/>
      <w:pStyle w:val="Bullets2"/>
      <w:lvlText w:val=""/>
      <w:lvlJc w:val="left"/>
      <w:pPr>
        <w:ind w:left="850" w:hanging="425"/>
      </w:pPr>
      <w:rPr>
        <w:rFonts w:ascii="Symbol" w:hAnsi="Symbol" w:hint="default"/>
        <w:color w:val="DDDDDD" w:themeColor="accent1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DDDDDD" w:themeColor="accent1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DDDDDD" w:themeColor="accent1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DDDDDD" w:themeColor="accent1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DDDDDD" w:themeColor="accent1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DDDDDD" w:themeColor="accent1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DDDDDD" w:themeColor="accent1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DDDDDD" w:themeColor="accent1"/>
      </w:rPr>
    </w:lvl>
  </w:abstractNum>
  <w:abstractNum w:abstractNumId="10" w15:restartNumberingAfterBreak="0">
    <w:nsid w:val="33F454D7"/>
    <w:multiLevelType w:val="multilevel"/>
    <w:tmpl w:val="EB162C38"/>
    <w:styleLink w:val="LetterList"/>
    <w:lvl w:ilvl="0">
      <w:start w:val="1"/>
      <w:numFmt w:val="lowerLetter"/>
      <w:pStyle w:val="AlphaList"/>
      <w:lvlText w:val="%1."/>
      <w:lvlJc w:val="left"/>
      <w:pPr>
        <w:ind w:left="680" w:hanging="255"/>
      </w:pPr>
      <w:rPr>
        <w:rFonts w:asciiTheme="minorHAnsi" w:hAnsiTheme="minorHAnsi" w:hint="default"/>
        <w:color w:val="DDDDDD" w:themeColor="accent1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1" w15:restartNumberingAfterBreak="0">
    <w:nsid w:val="38C35B0D"/>
    <w:multiLevelType w:val="multilevel"/>
    <w:tmpl w:val="52C82D9C"/>
    <w:styleLink w:val="NormalList"/>
    <w:lvl w:ilvl="0">
      <w:start w:val="1"/>
      <w:numFmt w:val="decimal"/>
      <w:pStyle w:val="NumberedList"/>
      <w:lvlText w:val="%1."/>
      <w:lvlJc w:val="left"/>
      <w:pPr>
        <w:ind w:left="425" w:hanging="425"/>
      </w:pPr>
      <w:rPr>
        <w:rFonts w:asciiTheme="minorHAnsi" w:hAnsiTheme="minorHAnsi" w:hint="default"/>
        <w:color w:val="DDDDDD" w:themeColor="accent1"/>
      </w:rPr>
    </w:lvl>
    <w:lvl w:ilvl="1">
      <w:start w:val="1"/>
      <w:numFmt w:val="lowerLetter"/>
      <w:lvlText w:val="%2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2" w15:restartNumberingAfterBreak="0">
    <w:nsid w:val="3C582CAD"/>
    <w:multiLevelType w:val="multilevel"/>
    <w:tmpl w:val="2144ACF8"/>
    <w:styleLink w:val="TableAlphalist"/>
    <w:lvl w:ilvl="0">
      <w:start w:val="1"/>
      <w:numFmt w:val="lowerLetter"/>
      <w:pStyle w:val="TableAlphaList0"/>
      <w:lvlText w:val="%1."/>
      <w:lvlJc w:val="left"/>
      <w:pPr>
        <w:ind w:left="454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54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4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227"/>
      </w:pPr>
      <w:rPr>
        <w:rFonts w:hint="default"/>
      </w:rPr>
    </w:lvl>
  </w:abstractNum>
  <w:abstractNum w:abstractNumId="13" w15:restartNumberingAfterBreak="0">
    <w:nsid w:val="429A5F73"/>
    <w:multiLevelType w:val="multilevel"/>
    <w:tmpl w:val="419A3F72"/>
    <w:styleLink w:val="BulletsforTables"/>
    <w:lvl w:ilvl="0">
      <w:start w:val="1"/>
      <w:numFmt w:val="bullet"/>
      <w:lvlText w:val=""/>
      <w:lvlJc w:val="left"/>
      <w:pPr>
        <w:ind w:left="340" w:hanging="170"/>
      </w:pPr>
      <w:rPr>
        <w:rFonts w:ascii="Symbol" w:hAnsi="Symbol"/>
        <w:color w:val="969696" w:themeColor="accent3"/>
        <w:sz w:val="22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969696" w:themeColor="accent3"/>
      </w:rPr>
    </w:lvl>
    <w:lvl w:ilvl="2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969696" w:themeColor="accent3"/>
      </w:rPr>
    </w:lvl>
    <w:lvl w:ilvl="3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969696" w:themeColor="accent3"/>
      </w:rPr>
    </w:lvl>
    <w:lvl w:ilvl="4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700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56455CA8"/>
    <w:multiLevelType w:val="multilevel"/>
    <w:tmpl w:val="D24A0DA0"/>
    <w:styleLink w:val="Headings"/>
    <w:lvl w:ilvl="0">
      <w:start w:val="1"/>
      <w:numFmt w:val="decimal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6893222B"/>
    <w:multiLevelType w:val="multilevel"/>
    <w:tmpl w:val="79226C5A"/>
    <w:lvl w:ilvl="0">
      <w:start w:val="1"/>
      <w:numFmt w:val="decimal"/>
      <w:pStyle w:val="Appendix1"/>
      <w:isLgl/>
      <w:lvlText w:val="Appendix %1"/>
      <w:lvlJc w:val="left"/>
      <w:pPr>
        <w:ind w:left="1361" w:hanging="1361"/>
      </w:pPr>
      <w:rPr>
        <w:rFonts w:asciiTheme="majorHAnsi" w:hAnsiTheme="majorHAnsi" w:hint="default"/>
        <w:b/>
        <w:i w:val="0"/>
        <w:color w:val="000000" w:themeColor="text2"/>
      </w:rPr>
    </w:lvl>
    <w:lvl w:ilvl="1">
      <w:start w:val="1"/>
      <w:numFmt w:val="decimal"/>
      <w:pStyle w:val="Appendix2"/>
      <w:lvlText w:val="Appendix: %1.%2"/>
      <w:lvlJc w:val="left"/>
      <w:pPr>
        <w:ind w:left="1361" w:hanging="1361"/>
      </w:pPr>
      <w:rPr>
        <w:rFonts w:hint="default"/>
        <w:color w:val="000000" w:themeColor="text2"/>
      </w:rPr>
    </w:lvl>
    <w:lvl w:ilvl="2">
      <w:start w:val="1"/>
      <w:numFmt w:val="lowerRoman"/>
      <w:lvlText w:val="%3)"/>
      <w:lvlJc w:val="left"/>
      <w:pPr>
        <w:ind w:left="1361" w:hanging="136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1" w:hanging="136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361" w:hanging="136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61" w:hanging="136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1" w:hanging="136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361" w:hanging="1361"/>
      </w:pPr>
      <w:rPr>
        <w:rFonts w:hint="default"/>
      </w:rPr>
    </w:lvl>
  </w:abstractNum>
  <w:abstractNum w:abstractNumId="16" w15:restartNumberingAfterBreak="0">
    <w:nsid w:val="6D872749"/>
    <w:multiLevelType w:val="multilevel"/>
    <w:tmpl w:val="03789372"/>
    <w:numStyleLink w:val="Bullets"/>
  </w:abstractNum>
  <w:abstractNum w:abstractNumId="17" w15:restartNumberingAfterBreak="0">
    <w:nsid w:val="701809E3"/>
    <w:multiLevelType w:val="multilevel"/>
    <w:tmpl w:val="CB481640"/>
    <w:lvl w:ilvl="0">
      <w:start w:val="1"/>
      <w:numFmt w:val="bullet"/>
      <w:pStyle w:val="TableBullets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s2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8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85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20" w:hanging="17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360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1530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1700" w:hanging="170"/>
      </w:pPr>
      <w:rPr>
        <w:rFonts w:ascii="Symbol" w:hAnsi="Symbol" w:hint="default"/>
        <w:color w:val="auto"/>
      </w:rPr>
    </w:lvl>
  </w:abstractNum>
  <w:abstractNum w:abstractNumId="18" w15:restartNumberingAfterBreak="0">
    <w:nsid w:val="7D0D27E9"/>
    <w:multiLevelType w:val="multilevel"/>
    <w:tmpl w:val="CB700FE4"/>
    <w:styleLink w:val="VMAppendix"/>
    <w:lvl w:ilvl="0">
      <w:start w:val="1"/>
      <w:numFmt w:val="decimal"/>
      <w:lvlText w:val="Appendix %1"/>
      <w:lvlJc w:val="left"/>
      <w:pPr>
        <w:ind w:left="0" w:firstLine="0"/>
      </w:pPr>
      <w:rPr>
        <w:rFonts w:hint="default"/>
        <w:b/>
        <w:i w:val="0"/>
        <w:color w:val="000000" w:themeColor="text2"/>
      </w:rPr>
    </w:lvl>
    <w:lvl w:ilvl="1">
      <w:start w:val="1"/>
      <w:numFmt w:val="decimalZero"/>
      <w:isLgl/>
      <w:lvlText w:val="Appendix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decimal"/>
      <w:lvlText w:val="Appendix %7)"/>
      <w:lvlJc w:val="right"/>
      <w:pPr>
        <w:ind w:left="99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4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8"/>
  </w:num>
  <w:num w:numId="19">
    <w:abstractNumId w:val="18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LockTheme/>
  <w:styleLockQFSet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r J Dermato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txfzwt25e2agezt2jvf9vxartptw0zsxwt&quot;&gt;3545 Delphi Manuscripts endnote Resubmission 28 FEB 2017&lt;record-ids&gt;&lt;item&gt;2&lt;/item&gt;&lt;item&gt;3&lt;/item&gt;&lt;item&gt;4&lt;/item&gt;&lt;item&gt;9&lt;/item&gt;&lt;item&gt;10&lt;/item&gt;&lt;item&gt;12&lt;/item&gt;&lt;item&gt;15&lt;/item&gt;&lt;item&gt;24&lt;/item&gt;&lt;item&gt;25&lt;/item&gt;&lt;item&gt;44&lt;/item&gt;&lt;item&gt;45&lt;/item&gt;&lt;item&gt;47&lt;/item&gt;&lt;item&gt;48&lt;/item&gt;&lt;item&gt;50&lt;/item&gt;&lt;item&gt;51&lt;/item&gt;&lt;item&gt;91&lt;/item&gt;&lt;item&gt;97&lt;/item&gt;&lt;item&gt;103&lt;/item&gt;&lt;item&gt;104&lt;/item&gt;&lt;item&gt;109&lt;/item&gt;&lt;item&gt;115&lt;/item&gt;&lt;item&gt;116&lt;/item&gt;&lt;item&gt;117&lt;/item&gt;&lt;item&gt;123&lt;/item&gt;&lt;item&gt;133&lt;/item&gt;&lt;item&gt;138&lt;/item&gt;&lt;item&gt;140&lt;/item&gt;&lt;item&gt;142&lt;/item&gt;&lt;item&gt;143&lt;/item&gt;&lt;item&gt;145&lt;/item&gt;&lt;item&gt;146&lt;/item&gt;&lt;item&gt;149&lt;/item&gt;&lt;item&gt;150&lt;/item&gt;&lt;item&gt;151&lt;/item&gt;&lt;item&gt;153&lt;/item&gt;&lt;item&gt;168&lt;/item&gt;&lt;item&gt;171&lt;/item&gt;&lt;item&gt;172&lt;/item&gt;&lt;item&gt;173&lt;/item&gt;&lt;item&gt;174&lt;/item&gt;&lt;item&gt;176&lt;/item&gt;&lt;item&gt;177&lt;/item&gt;&lt;item&gt;178&lt;/item&gt;&lt;item&gt;179&lt;/item&gt;&lt;item&gt;180&lt;/item&gt;&lt;item&gt;182&lt;/item&gt;&lt;item&gt;196&lt;/item&gt;&lt;item&gt;197&lt;/item&gt;&lt;item&gt;198&lt;/item&gt;&lt;item&gt;199&lt;/item&gt;&lt;item&gt;200&lt;/item&gt;&lt;/record-ids&gt;&lt;/item&gt;&lt;/Libraries&gt;"/>
  </w:docVars>
  <w:rsids>
    <w:rsidRoot w:val="00C902A6"/>
    <w:rsid w:val="00000223"/>
    <w:rsid w:val="000007F6"/>
    <w:rsid w:val="00001341"/>
    <w:rsid w:val="0000142B"/>
    <w:rsid w:val="00002A27"/>
    <w:rsid w:val="00003035"/>
    <w:rsid w:val="000036DE"/>
    <w:rsid w:val="00004BAE"/>
    <w:rsid w:val="000053C6"/>
    <w:rsid w:val="000058F6"/>
    <w:rsid w:val="00005CFD"/>
    <w:rsid w:val="000063BD"/>
    <w:rsid w:val="00006ED8"/>
    <w:rsid w:val="0000742C"/>
    <w:rsid w:val="00010145"/>
    <w:rsid w:val="00010570"/>
    <w:rsid w:val="00010943"/>
    <w:rsid w:val="00010FDB"/>
    <w:rsid w:val="0001106F"/>
    <w:rsid w:val="00011250"/>
    <w:rsid w:val="00011E7D"/>
    <w:rsid w:val="0001203E"/>
    <w:rsid w:val="0001232A"/>
    <w:rsid w:val="000127F5"/>
    <w:rsid w:val="00012C59"/>
    <w:rsid w:val="000137A4"/>
    <w:rsid w:val="00013CD9"/>
    <w:rsid w:val="000142E2"/>
    <w:rsid w:val="000143FD"/>
    <w:rsid w:val="0001453F"/>
    <w:rsid w:val="00015520"/>
    <w:rsid w:val="000157FF"/>
    <w:rsid w:val="000163C2"/>
    <w:rsid w:val="0001649D"/>
    <w:rsid w:val="00016B0C"/>
    <w:rsid w:val="00020125"/>
    <w:rsid w:val="0002013F"/>
    <w:rsid w:val="00020342"/>
    <w:rsid w:val="00020654"/>
    <w:rsid w:val="00020AEC"/>
    <w:rsid w:val="00022666"/>
    <w:rsid w:val="00023329"/>
    <w:rsid w:val="000238A3"/>
    <w:rsid w:val="00023AA6"/>
    <w:rsid w:val="00024D26"/>
    <w:rsid w:val="0002507D"/>
    <w:rsid w:val="00025791"/>
    <w:rsid w:val="00025E9E"/>
    <w:rsid w:val="00026213"/>
    <w:rsid w:val="00026234"/>
    <w:rsid w:val="00027479"/>
    <w:rsid w:val="00027FFA"/>
    <w:rsid w:val="00030016"/>
    <w:rsid w:val="00030542"/>
    <w:rsid w:val="0003128C"/>
    <w:rsid w:val="000329B4"/>
    <w:rsid w:val="00032EF1"/>
    <w:rsid w:val="00032FE3"/>
    <w:rsid w:val="000334F6"/>
    <w:rsid w:val="000346EF"/>
    <w:rsid w:val="00034D2E"/>
    <w:rsid w:val="00036476"/>
    <w:rsid w:val="00036AEF"/>
    <w:rsid w:val="0003705B"/>
    <w:rsid w:val="00037A38"/>
    <w:rsid w:val="00037B5C"/>
    <w:rsid w:val="000402AE"/>
    <w:rsid w:val="000418FD"/>
    <w:rsid w:val="00041E3E"/>
    <w:rsid w:val="00042145"/>
    <w:rsid w:val="00043280"/>
    <w:rsid w:val="00043BBA"/>
    <w:rsid w:val="00045280"/>
    <w:rsid w:val="000452CE"/>
    <w:rsid w:val="00045A57"/>
    <w:rsid w:val="00046E65"/>
    <w:rsid w:val="00050AAD"/>
    <w:rsid w:val="00050B69"/>
    <w:rsid w:val="000511B7"/>
    <w:rsid w:val="0005176F"/>
    <w:rsid w:val="00052376"/>
    <w:rsid w:val="00052807"/>
    <w:rsid w:val="0005338D"/>
    <w:rsid w:val="000539D7"/>
    <w:rsid w:val="000547E9"/>
    <w:rsid w:val="0005486D"/>
    <w:rsid w:val="00054E33"/>
    <w:rsid w:val="00055057"/>
    <w:rsid w:val="000551E2"/>
    <w:rsid w:val="000553BD"/>
    <w:rsid w:val="0005551A"/>
    <w:rsid w:val="00055EAF"/>
    <w:rsid w:val="00056524"/>
    <w:rsid w:val="0006052E"/>
    <w:rsid w:val="00061583"/>
    <w:rsid w:val="00061EA7"/>
    <w:rsid w:val="00061ED1"/>
    <w:rsid w:val="00063288"/>
    <w:rsid w:val="000636C2"/>
    <w:rsid w:val="000637C2"/>
    <w:rsid w:val="0006474F"/>
    <w:rsid w:val="0006490B"/>
    <w:rsid w:val="00064F7A"/>
    <w:rsid w:val="000653A4"/>
    <w:rsid w:val="000656B3"/>
    <w:rsid w:val="0006652E"/>
    <w:rsid w:val="00067A8B"/>
    <w:rsid w:val="000702D6"/>
    <w:rsid w:val="00071255"/>
    <w:rsid w:val="00072EC5"/>
    <w:rsid w:val="00073838"/>
    <w:rsid w:val="000741B1"/>
    <w:rsid w:val="00075022"/>
    <w:rsid w:val="000751A7"/>
    <w:rsid w:val="00075619"/>
    <w:rsid w:val="00075B4D"/>
    <w:rsid w:val="00076D93"/>
    <w:rsid w:val="00076E88"/>
    <w:rsid w:val="00077669"/>
    <w:rsid w:val="0008254D"/>
    <w:rsid w:val="00082C7E"/>
    <w:rsid w:val="00082F96"/>
    <w:rsid w:val="0008314D"/>
    <w:rsid w:val="0008360E"/>
    <w:rsid w:val="00083863"/>
    <w:rsid w:val="00083BAA"/>
    <w:rsid w:val="000847DE"/>
    <w:rsid w:val="00084EE7"/>
    <w:rsid w:val="00085064"/>
    <w:rsid w:val="000851F4"/>
    <w:rsid w:val="000855E0"/>
    <w:rsid w:val="000862AB"/>
    <w:rsid w:val="00086354"/>
    <w:rsid w:val="0008682D"/>
    <w:rsid w:val="00086A81"/>
    <w:rsid w:val="00087579"/>
    <w:rsid w:val="000877C3"/>
    <w:rsid w:val="00087837"/>
    <w:rsid w:val="000879A6"/>
    <w:rsid w:val="000903F2"/>
    <w:rsid w:val="00090502"/>
    <w:rsid w:val="0009125D"/>
    <w:rsid w:val="000913DB"/>
    <w:rsid w:val="000919B4"/>
    <w:rsid w:val="00091B6B"/>
    <w:rsid w:val="00091F27"/>
    <w:rsid w:val="000928F6"/>
    <w:rsid w:val="00092DA7"/>
    <w:rsid w:val="00093174"/>
    <w:rsid w:val="00093E77"/>
    <w:rsid w:val="0009425B"/>
    <w:rsid w:val="000948D5"/>
    <w:rsid w:val="000954F9"/>
    <w:rsid w:val="000962A1"/>
    <w:rsid w:val="000963C8"/>
    <w:rsid w:val="0009670F"/>
    <w:rsid w:val="000969C4"/>
    <w:rsid w:val="00097819"/>
    <w:rsid w:val="00097CE7"/>
    <w:rsid w:val="00097DC2"/>
    <w:rsid w:val="000A0FCF"/>
    <w:rsid w:val="000A171E"/>
    <w:rsid w:val="000A1737"/>
    <w:rsid w:val="000A19A7"/>
    <w:rsid w:val="000A209B"/>
    <w:rsid w:val="000A24DC"/>
    <w:rsid w:val="000A291C"/>
    <w:rsid w:val="000A306E"/>
    <w:rsid w:val="000A3134"/>
    <w:rsid w:val="000A3162"/>
    <w:rsid w:val="000A317D"/>
    <w:rsid w:val="000A31AD"/>
    <w:rsid w:val="000A3ADD"/>
    <w:rsid w:val="000A3EF5"/>
    <w:rsid w:val="000A45A6"/>
    <w:rsid w:val="000A4925"/>
    <w:rsid w:val="000A4AC0"/>
    <w:rsid w:val="000A4B23"/>
    <w:rsid w:val="000A4BDE"/>
    <w:rsid w:val="000A726F"/>
    <w:rsid w:val="000A7430"/>
    <w:rsid w:val="000B0278"/>
    <w:rsid w:val="000B05B6"/>
    <w:rsid w:val="000B070A"/>
    <w:rsid w:val="000B0C05"/>
    <w:rsid w:val="000B12ED"/>
    <w:rsid w:val="000B1556"/>
    <w:rsid w:val="000B28A1"/>
    <w:rsid w:val="000B2E36"/>
    <w:rsid w:val="000B33FE"/>
    <w:rsid w:val="000B3BE6"/>
    <w:rsid w:val="000B47DC"/>
    <w:rsid w:val="000B4BC0"/>
    <w:rsid w:val="000B5143"/>
    <w:rsid w:val="000B53E6"/>
    <w:rsid w:val="000B5565"/>
    <w:rsid w:val="000B57F1"/>
    <w:rsid w:val="000B5D7C"/>
    <w:rsid w:val="000B5F5B"/>
    <w:rsid w:val="000B66E6"/>
    <w:rsid w:val="000B6D32"/>
    <w:rsid w:val="000B6DB3"/>
    <w:rsid w:val="000B7044"/>
    <w:rsid w:val="000B778B"/>
    <w:rsid w:val="000B7FE4"/>
    <w:rsid w:val="000C0838"/>
    <w:rsid w:val="000C0915"/>
    <w:rsid w:val="000C1433"/>
    <w:rsid w:val="000C21A3"/>
    <w:rsid w:val="000C2837"/>
    <w:rsid w:val="000C2896"/>
    <w:rsid w:val="000C30E7"/>
    <w:rsid w:val="000C3172"/>
    <w:rsid w:val="000C346B"/>
    <w:rsid w:val="000C4DE8"/>
    <w:rsid w:val="000C5310"/>
    <w:rsid w:val="000C54C7"/>
    <w:rsid w:val="000C7221"/>
    <w:rsid w:val="000C76D4"/>
    <w:rsid w:val="000C76D6"/>
    <w:rsid w:val="000C779A"/>
    <w:rsid w:val="000C7D84"/>
    <w:rsid w:val="000D0211"/>
    <w:rsid w:val="000D0BF2"/>
    <w:rsid w:val="000D1479"/>
    <w:rsid w:val="000D14F1"/>
    <w:rsid w:val="000D2CC5"/>
    <w:rsid w:val="000D2D25"/>
    <w:rsid w:val="000D3094"/>
    <w:rsid w:val="000D36CA"/>
    <w:rsid w:val="000D4227"/>
    <w:rsid w:val="000D4235"/>
    <w:rsid w:val="000D51DA"/>
    <w:rsid w:val="000D57DA"/>
    <w:rsid w:val="000D5840"/>
    <w:rsid w:val="000D5ED8"/>
    <w:rsid w:val="000D5F3C"/>
    <w:rsid w:val="000D6013"/>
    <w:rsid w:val="000D62F0"/>
    <w:rsid w:val="000D6533"/>
    <w:rsid w:val="000D66EB"/>
    <w:rsid w:val="000D7A8B"/>
    <w:rsid w:val="000E0088"/>
    <w:rsid w:val="000E056C"/>
    <w:rsid w:val="000E0899"/>
    <w:rsid w:val="000E149B"/>
    <w:rsid w:val="000E17DF"/>
    <w:rsid w:val="000E1ADD"/>
    <w:rsid w:val="000E1C80"/>
    <w:rsid w:val="000E22BE"/>
    <w:rsid w:val="000E22D0"/>
    <w:rsid w:val="000E2C92"/>
    <w:rsid w:val="000E30E8"/>
    <w:rsid w:val="000E51DA"/>
    <w:rsid w:val="000E583A"/>
    <w:rsid w:val="000E65AE"/>
    <w:rsid w:val="000E7447"/>
    <w:rsid w:val="000E7D08"/>
    <w:rsid w:val="000F0E25"/>
    <w:rsid w:val="000F150A"/>
    <w:rsid w:val="000F1A9A"/>
    <w:rsid w:val="000F1FD0"/>
    <w:rsid w:val="000F2749"/>
    <w:rsid w:val="000F2800"/>
    <w:rsid w:val="000F2AF8"/>
    <w:rsid w:val="000F2EB6"/>
    <w:rsid w:val="000F2EC7"/>
    <w:rsid w:val="000F3FB4"/>
    <w:rsid w:val="000F4133"/>
    <w:rsid w:val="000F4414"/>
    <w:rsid w:val="000F5E24"/>
    <w:rsid w:val="000F6604"/>
    <w:rsid w:val="000F6EF2"/>
    <w:rsid w:val="000F7634"/>
    <w:rsid w:val="000F7BFC"/>
    <w:rsid w:val="00100206"/>
    <w:rsid w:val="00100CE2"/>
    <w:rsid w:val="00100E50"/>
    <w:rsid w:val="001016A8"/>
    <w:rsid w:val="00101DEF"/>
    <w:rsid w:val="00101F7A"/>
    <w:rsid w:val="00102279"/>
    <w:rsid w:val="001028EB"/>
    <w:rsid w:val="00102E3D"/>
    <w:rsid w:val="0010301D"/>
    <w:rsid w:val="001030E4"/>
    <w:rsid w:val="00104778"/>
    <w:rsid w:val="0010680F"/>
    <w:rsid w:val="00106A21"/>
    <w:rsid w:val="00110D79"/>
    <w:rsid w:val="001121D8"/>
    <w:rsid w:val="001122E7"/>
    <w:rsid w:val="00112D30"/>
    <w:rsid w:val="00113BFA"/>
    <w:rsid w:val="00113FCD"/>
    <w:rsid w:val="001141E3"/>
    <w:rsid w:val="00114772"/>
    <w:rsid w:val="00115B3D"/>
    <w:rsid w:val="00116B4B"/>
    <w:rsid w:val="00116DB8"/>
    <w:rsid w:val="0012031E"/>
    <w:rsid w:val="00120376"/>
    <w:rsid w:val="00120607"/>
    <w:rsid w:val="00120D2F"/>
    <w:rsid w:val="0012154C"/>
    <w:rsid w:val="00121B7D"/>
    <w:rsid w:val="00122230"/>
    <w:rsid w:val="00122C1B"/>
    <w:rsid w:val="00122F9C"/>
    <w:rsid w:val="0012308E"/>
    <w:rsid w:val="0012393D"/>
    <w:rsid w:val="00123958"/>
    <w:rsid w:val="00123CE0"/>
    <w:rsid w:val="0012400C"/>
    <w:rsid w:val="00124099"/>
    <w:rsid w:val="00124DDC"/>
    <w:rsid w:val="00124DEC"/>
    <w:rsid w:val="001254A8"/>
    <w:rsid w:val="001255B5"/>
    <w:rsid w:val="00125A3D"/>
    <w:rsid w:val="00125A5D"/>
    <w:rsid w:val="00125B27"/>
    <w:rsid w:val="00125E1F"/>
    <w:rsid w:val="00126A5C"/>
    <w:rsid w:val="001271BB"/>
    <w:rsid w:val="0012727E"/>
    <w:rsid w:val="00127469"/>
    <w:rsid w:val="001278B4"/>
    <w:rsid w:val="00127DAC"/>
    <w:rsid w:val="00127FBC"/>
    <w:rsid w:val="0013020C"/>
    <w:rsid w:val="0013059E"/>
    <w:rsid w:val="001315B9"/>
    <w:rsid w:val="00131877"/>
    <w:rsid w:val="001321DA"/>
    <w:rsid w:val="0013243A"/>
    <w:rsid w:val="00132700"/>
    <w:rsid w:val="00132753"/>
    <w:rsid w:val="00132A49"/>
    <w:rsid w:val="00133A02"/>
    <w:rsid w:val="00133CC7"/>
    <w:rsid w:val="00134139"/>
    <w:rsid w:val="00134291"/>
    <w:rsid w:val="0013468C"/>
    <w:rsid w:val="00134BC2"/>
    <w:rsid w:val="001350B1"/>
    <w:rsid w:val="001355B9"/>
    <w:rsid w:val="001356D1"/>
    <w:rsid w:val="00135786"/>
    <w:rsid w:val="00135875"/>
    <w:rsid w:val="00135A6C"/>
    <w:rsid w:val="00135D5C"/>
    <w:rsid w:val="00136426"/>
    <w:rsid w:val="00136A64"/>
    <w:rsid w:val="0014032B"/>
    <w:rsid w:val="00140351"/>
    <w:rsid w:val="001405C4"/>
    <w:rsid w:val="00141716"/>
    <w:rsid w:val="00141A28"/>
    <w:rsid w:val="00141C98"/>
    <w:rsid w:val="00142DA1"/>
    <w:rsid w:val="00142F0E"/>
    <w:rsid w:val="00143034"/>
    <w:rsid w:val="001434F0"/>
    <w:rsid w:val="001440D0"/>
    <w:rsid w:val="001442A0"/>
    <w:rsid w:val="00144B4B"/>
    <w:rsid w:val="00144D9A"/>
    <w:rsid w:val="00144EC7"/>
    <w:rsid w:val="00144F13"/>
    <w:rsid w:val="001461EB"/>
    <w:rsid w:val="00147830"/>
    <w:rsid w:val="00147A40"/>
    <w:rsid w:val="00150BF7"/>
    <w:rsid w:val="00151047"/>
    <w:rsid w:val="001519C9"/>
    <w:rsid w:val="00151EC1"/>
    <w:rsid w:val="0015262F"/>
    <w:rsid w:val="001527F3"/>
    <w:rsid w:val="00152BE8"/>
    <w:rsid w:val="00153DCC"/>
    <w:rsid w:val="00154B0E"/>
    <w:rsid w:val="0015550A"/>
    <w:rsid w:val="0015650B"/>
    <w:rsid w:val="0015730E"/>
    <w:rsid w:val="00157C2A"/>
    <w:rsid w:val="0016044D"/>
    <w:rsid w:val="001617B0"/>
    <w:rsid w:val="001617DE"/>
    <w:rsid w:val="00161FC4"/>
    <w:rsid w:val="001629D4"/>
    <w:rsid w:val="00162AFE"/>
    <w:rsid w:val="00162B55"/>
    <w:rsid w:val="001640ED"/>
    <w:rsid w:val="001641DB"/>
    <w:rsid w:val="001649C8"/>
    <w:rsid w:val="00165033"/>
    <w:rsid w:val="001652AB"/>
    <w:rsid w:val="00165437"/>
    <w:rsid w:val="00165699"/>
    <w:rsid w:val="00165811"/>
    <w:rsid w:val="001667DD"/>
    <w:rsid w:val="00167630"/>
    <w:rsid w:val="00167AFA"/>
    <w:rsid w:val="0017092C"/>
    <w:rsid w:val="00170C19"/>
    <w:rsid w:val="0017194D"/>
    <w:rsid w:val="00171DDB"/>
    <w:rsid w:val="00172882"/>
    <w:rsid w:val="00172D77"/>
    <w:rsid w:val="00173919"/>
    <w:rsid w:val="00173BC7"/>
    <w:rsid w:val="00173DB5"/>
    <w:rsid w:val="0017407A"/>
    <w:rsid w:val="00176689"/>
    <w:rsid w:val="00176AF8"/>
    <w:rsid w:val="00176ED4"/>
    <w:rsid w:val="00177349"/>
    <w:rsid w:val="00177ACF"/>
    <w:rsid w:val="0018009B"/>
    <w:rsid w:val="00180165"/>
    <w:rsid w:val="001807CB"/>
    <w:rsid w:val="00180C1C"/>
    <w:rsid w:val="00181509"/>
    <w:rsid w:val="00182893"/>
    <w:rsid w:val="001830D0"/>
    <w:rsid w:val="001836F6"/>
    <w:rsid w:val="00184CB4"/>
    <w:rsid w:val="00185061"/>
    <w:rsid w:val="00185502"/>
    <w:rsid w:val="00185B10"/>
    <w:rsid w:val="00186334"/>
    <w:rsid w:val="001864FD"/>
    <w:rsid w:val="00186922"/>
    <w:rsid w:val="00186A53"/>
    <w:rsid w:val="001879CB"/>
    <w:rsid w:val="00190822"/>
    <w:rsid w:val="00191148"/>
    <w:rsid w:val="00192130"/>
    <w:rsid w:val="00192374"/>
    <w:rsid w:val="001930E8"/>
    <w:rsid w:val="0019405B"/>
    <w:rsid w:val="0019533F"/>
    <w:rsid w:val="001957D6"/>
    <w:rsid w:val="001957F8"/>
    <w:rsid w:val="00195FE1"/>
    <w:rsid w:val="00196C39"/>
    <w:rsid w:val="00196C3C"/>
    <w:rsid w:val="00196CCB"/>
    <w:rsid w:val="00196FBC"/>
    <w:rsid w:val="00197009"/>
    <w:rsid w:val="00197249"/>
    <w:rsid w:val="001974D2"/>
    <w:rsid w:val="00197ACC"/>
    <w:rsid w:val="001A0114"/>
    <w:rsid w:val="001A0274"/>
    <w:rsid w:val="001A03CB"/>
    <w:rsid w:val="001A0C20"/>
    <w:rsid w:val="001A136B"/>
    <w:rsid w:val="001A19D1"/>
    <w:rsid w:val="001A252D"/>
    <w:rsid w:val="001A3222"/>
    <w:rsid w:val="001A330D"/>
    <w:rsid w:val="001A4DFD"/>
    <w:rsid w:val="001A5FEE"/>
    <w:rsid w:val="001A6150"/>
    <w:rsid w:val="001A635A"/>
    <w:rsid w:val="001A6B26"/>
    <w:rsid w:val="001A72F9"/>
    <w:rsid w:val="001A7313"/>
    <w:rsid w:val="001A7509"/>
    <w:rsid w:val="001B1B70"/>
    <w:rsid w:val="001B2A85"/>
    <w:rsid w:val="001B2B61"/>
    <w:rsid w:val="001B2B9A"/>
    <w:rsid w:val="001B4694"/>
    <w:rsid w:val="001B46D5"/>
    <w:rsid w:val="001B4C19"/>
    <w:rsid w:val="001B5A84"/>
    <w:rsid w:val="001B5D3B"/>
    <w:rsid w:val="001B67E6"/>
    <w:rsid w:val="001B6A23"/>
    <w:rsid w:val="001B7179"/>
    <w:rsid w:val="001B7340"/>
    <w:rsid w:val="001B7AA0"/>
    <w:rsid w:val="001C0BFF"/>
    <w:rsid w:val="001C132A"/>
    <w:rsid w:val="001C13DF"/>
    <w:rsid w:val="001C1810"/>
    <w:rsid w:val="001C2484"/>
    <w:rsid w:val="001C3117"/>
    <w:rsid w:val="001C3617"/>
    <w:rsid w:val="001C3A54"/>
    <w:rsid w:val="001C3E4B"/>
    <w:rsid w:val="001C4205"/>
    <w:rsid w:val="001C511C"/>
    <w:rsid w:val="001C5139"/>
    <w:rsid w:val="001C5898"/>
    <w:rsid w:val="001C5AB4"/>
    <w:rsid w:val="001C6143"/>
    <w:rsid w:val="001C6C5F"/>
    <w:rsid w:val="001C733F"/>
    <w:rsid w:val="001D0856"/>
    <w:rsid w:val="001D1404"/>
    <w:rsid w:val="001D1D65"/>
    <w:rsid w:val="001D2740"/>
    <w:rsid w:val="001D3DA7"/>
    <w:rsid w:val="001D3E15"/>
    <w:rsid w:val="001D438F"/>
    <w:rsid w:val="001D4439"/>
    <w:rsid w:val="001D47F3"/>
    <w:rsid w:val="001D5A31"/>
    <w:rsid w:val="001D60A9"/>
    <w:rsid w:val="001D6546"/>
    <w:rsid w:val="001D6C3D"/>
    <w:rsid w:val="001D6EE9"/>
    <w:rsid w:val="001D7621"/>
    <w:rsid w:val="001E01E8"/>
    <w:rsid w:val="001E033E"/>
    <w:rsid w:val="001E05F0"/>
    <w:rsid w:val="001E09F7"/>
    <w:rsid w:val="001E0B37"/>
    <w:rsid w:val="001E1513"/>
    <w:rsid w:val="001E159B"/>
    <w:rsid w:val="001E198D"/>
    <w:rsid w:val="001E2531"/>
    <w:rsid w:val="001E26E6"/>
    <w:rsid w:val="001E2C70"/>
    <w:rsid w:val="001E2D97"/>
    <w:rsid w:val="001E3400"/>
    <w:rsid w:val="001E3692"/>
    <w:rsid w:val="001E3FA4"/>
    <w:rsid w:val="001E557B"/>
    <w:rsid w:val="001E5909"/>
    <w:rsid w:val="001E598F"/>
    <w:rsid w:val="001E5D00"/>
    <w:rsid w:val="001E6772"/>
    <w:rsid w:val="001E67F2"/>
    <w:rsid w:val="001E6CA9"/>
    <w:rsid w:val="001E6DDD"/>
    <w:rsid w:val="001E7512"/>
    <w:rsid w:val="001E7629"/>
    <w:rsid w:val="001E7718"/>
    <w:rsid w:val="001E79A3"/>
    <w:rsid w:val="001E7D54"/>
    <w:rsid w:val="001E7E54"/>
    <w:rsid w:val="001F01AE"/>
    <w:rsid w:val="001F04F1"/>
    <w:rsid w:val="001F05EE"/>
    <w:rsid w:val="001F0664"/>
    <w:rsid w:val="001F0DB1"/>
    <w:rsid w:val="001F0F31"/>
    <w:rsid w:val="001F1C4D"/>
    <w:rsid w:val="001F1CBB"/>
    <w:rsid w:val="001F2078"/>
    <w:rsid w:val="001F299D"/>
    <w:rsid w:val="001F33E1"/>
    <w:rsid w:val="001F3438"/>
    <w:rsid w:val="001F39E5"/>
    <w:rsid w:val="001F3AAE"/>
    <w:rsid w:val="001F4672"/>
    <w:rsid w:val="001F4D8A"/>
    <w:rsid w:val="001F54AE"/>
    <w:rsid w:val="001F5711"/>
    <w:rsid w:val="001F77F2"/>
    <w:rsid w:val="001F7B2E"/>
    <w:rsid w:val="0020201F"/>
    <w:rsid w:val="00202056"/>
    <w:rsid w:val="0020217D"/>
    <w:rsid w:val="0020262F"/>
    <w:rsid w:val="0020275B"/>
    <w:rsid w:val="002027DA"/>
    <w:rsid w:val="00202A32"/>
    <w:rsid w:val="002032EB"/>
    <w:rsid w:val="00203B28"/>
    <w:rsid w:val="00204517"/>
    <w:rsid w:val="00204BB4"/>
    <w:rsid w:val="00205708"/>
    <w:rsid w:val="0020594B"/>
    <w:rsid w:val="002060BD"/>
    <w:rsid w:val="002068A2"/>
    <w:rsid w:val="0020714B"/>
    <w:rsid w:val="0020761F"/>
    <w:rsid w:val="00207CD3"/>
    <w:rsid w:val="00210215"/>
    <w:rsid w:val="00210431"/>
    <w:rsid w:val="00210758"/>
    <w:rsid w:val="00210801"/>
    <w:rsid w:val="00210813"/>
    <w:rsid w:val="002110BB"/>
    <w:rsid w:val="00211168"/>
    <w:rsid w:val="00211321"/>
    <w:rsid w:val="00212060"/>
    <w:rsid w:val="0021275B"/>
    <w:rsid w:val="002130AC"/>
    <w:rsid w:val="00213989"/>
    <w:rsid w:val="00214F6F"/>
    <w:rsid w:val="002150F8"/>
    <w:rsid w:val="002151DC"/>
    <w:rsid w:val="00215606"/>
    <w:rsid w:val="002160C1"/>
    <w:rsid w:val="002164AE"/>
    <w:rsid w:val="002167F9"/>
    <w:rsid w:val="00217253"/>
    <w:rsid w:val="00217B3C"/>
    <w:rsid w:val="00220234"/>
    <w:rsid w:val="002203DF"/>
    <w:rsid w:val="00220A61"/>
    <w:rsid w:val="00221854"/>
    <w:rsid w:val="0022229D"/>
    <w:rsid w:val="00222F31"/>
    <w:rsid w:val="00223145"/>
    <w:rsid w:val="002240F4"/>
    <w:rsid w:val="00224DB8"/>
    <w:rsid w:val="00224FAB"/>
    <w:rsid w:val="0022526B"/>
    <w:rsid w:val="002253E1"/>
    <w:rsid w:val="00225551"/>
    <w:rsid w:val="00225921"/>
    <w:rsid w:val="00226634"/>
    <w:rsid w:val="00226E3A"/>
    <w:rsid w:val="00226EED"/>
    <w:rsid w:val="00227591"/>
    <w:rsid w:val="002278D2"/>
    <w:rsid w:val="00227A4E"/>
    <w:rsid w:val="00231ED8"/>
    <w:rsid w:val="0023218B"/>
    <w:rsid w:val="00232FA7"/>
    <w:rsid w:val="00233254"/>
    <w:rsid w:val="0023358E"/>
    <w:rsid w:val="002336A9"/>
    <w:rsid w:val="002342FF"/>
    <w:rsid w:val="002344BF"/>
    <w:rsid w:val="00234B7B"/>
    <w:rsid w:val="002357A2"/>
    <w:rsid w:val="002359AF"/>
    <w:rsid w:val="00235C0F"/>
    <w:rsid w:val="00235C69"/>
    <w:rsid w:val="00235CD2"/>
    <w:rsid w:val="00236185"/>
    <w:rsid w:val="0023643A"/>
    <w:rsid w:val="002364F7"/>
    <w:rsid w:val="0023714C"/>
    <w:rsid w:val="00237997"/>
    <w:rsid w:val="00237E7E"/>
    <w:rsid w:val="00240AE2"/>
    <w:rsid w:val="00240B1D"/>
    <w:rsid w:val="002410E7"/>
    <w:rsid w:val="0024163B"/>
    <w:rsid w:val="00241B11"/>
    <w:rsid w:val="00241C15"/>
    <w:rsid w:val="002424B5"/>
    <w:rsid w:val="00243C55"/>
    <w:rsid w:val="00244053"/>
    <w:rsid w:val="00244673"/>
    <w:rsid w:val="0024563D"/>
    <w:rsid w:val="00245E26"/>
    <w:rsid w:val="002468FC"/>
    <w:rsid w:val="00246D51"/>
    <w:rsid w:val="00246F5E"/>
    <w:rsid w:val="00247C4F"/>
    <w:rsid w:val="0025068E"/>
    <w:rsid w:val="002506C6"/>
    <w:rsid w:val="00250919"/>
    <w:rsid w:val="00250D1F"/>
    <w:rsid w:val="00251C37"/>
    <w:rsid w:val="00251C76"/>
    <w:rsid w:val="00251C7F"/>
    <w:rsid w:val="00251D5B"/>
    <w:rsid w:val="00252033"/>
    <w:rsid w:val="002525F9"/>
    <w:rsid w:val="0025265C"/>
    <w:rsid w:val="00252F28"/>
    <w:rsid w:val="00253AA4"/>
    <w:rsid w:val="00253F1A"/>
    <w:rsid w:val="00253F62"/>
    <w:rsid w:val="00253FC1"/>
    <w:rsid w:val="00254623"/>
    <w:rsid w:val="00254A09"/>
    <w:rsid w:val="00254AC0"/>
    <w:rsid w:val="00254B48"/>
    <w:rsid w:val="002554FA"/>
    <w:rsid w:val="00255CC1"/>
    <w:rsid w:val="0025610E"/>
    <w:rsid w:val="002577E5"/>
    <w:rsid w:val="002603CD"/>
    <w:rsid w:val="002609C9"/>
    <w:rsid w:val="00260B19"/>
    <w:rsid w:val="00260CE3"/>
    <w:rsid w:val="002610BA"/>
    <w:rsid w:val="00261F4B"/>
    <w:rsid w:val="002620FB"/>
    <w:rsid w:val="002623C4"/>
    <w:rsid w:val="00262AFF"/>
    <w:rsid w:val="00262D88"/>
    <w:rsid w:val="00262E65"/>
    <w:rsid w:val="0026425A"/>
    <w:rsid w:val="00264638"/>
    <w:rsid w:val="002651D9"/>
    <w:rsid w:val="00265265"/>
    <w:rsid w:val="00265582"/>
    <w:rsid w:val="00266484"/>
    <w:rsid w:val="00267537"/>
    <w:rsid w:val="00267CCA"/>
    <w:rsid w:val="00270078"/>
    <w:rsid w:val="00270AB1"/>
    <w:rsid w:val="002710F3"/>
    <w:rsid w:val="00272326"/>
    <w:rsid w:val="0027240C"/>
    <w:rsid w:val="00272619"/>
    <w:rsid w:val="00272900"/>
    <w:rsid w:val="00272AD7"/>
    <w:rsid w:val="00272F21"/>
    <w:rsid w:val="0027312A"/>
    <w:rsid w:val="002737F8"/>
    <w:rsid w:val="00273961"/>
    <w:rsid w:val="00273EFD"/>
    <w:rsid w:val="00273F4E"/>
    <w:rsid w:val="002758DF"/>
    <w:rsid w:val="00275B7F"/>
    <w:rsid w:val="002764B9"/>
    <w:rsid w:val="00276D8B"/>
    <w:rsid w:val="0027758C"/>
    <w:rsid w:val="00277814"/>
    <w:rsid w:val="002778FA"/>
    <w:rsid w:val="00277F19"/>
    <w:rsid w:val="0028074D"/>
    <w:rsid w:val="00280984"/>
    <w:rsid w:val="00280F0D"/>
    <w:rsid w:val="002814B4"/>
    <w:rsid w:val="002816A6"/>
    <w:rsid w:val="0028232F"/>
    <w:rsid w:val="002825D2"/>
    <w:rsid w:val="00282BF4"/>
    <w:rsid w:val="0028344E"/>
    <w:rsid w:val="00283467"/>
    <w:rsid w:val="002836DE"/>
    <w:rsid w:val="00283A38"/>
    <w:rsid w:val="00283D3F"/>
    <w:rsid w:val="00283E5B"/>
    <w:rsid w:val="00284FDE"/>
    <w:rsid w:val="002865EB"/>
    <w:rsid w:val="002866AC"/>
    <w:rsid w:val="00286D4F"/>
    <w:rsid w:val="00287726"/>
    <w:rsid w:val="00287771"/>
    <w:rsid w:val="00290AD7"/>
    <w:rsid w:val="00290C7F"/>
    <w:rsid w:val="00291192"/>
    <w:rsid w:val="00292582"/>
    <w:rsid w:val="002929EC"/>
    <w:rsid w:val="00293B22"/>
    <w:rsid w:val="00293C45"/>
    <w:rsid w:val="00294042"/>
    <w:rsid w:val="002942E1"/>
    <w:rsid w:val="002942FE"/>
    <w:rsid w:val="00294F09"/>
    <w:rsid w:val="00296097"/>
    <w:rsid w:val="002960EF"/>
    <w:rsid w:val="00296439"/>
    <w:rsid w:val="00296AE5"/>
    <w:rsid w:val="00296E48"/>
    <w:rsid w:val="002A03C3"/>
    <w:rsid w:val="002A0514"/>
    <w:rsid w:val="002A0C6A"/>
    <w:rsid w:val="002A2AA3"/>
    <w:rsid w:val="002A2DCD"/>
    <w:rsid w:val="002A3030"/>
    <w:rsid w:val="002A3042"/>
    <w:rsid w:val="002A35CB"/>
    <w:rsid w:val="002A55CD"/>
    <w:rsid w:val="002A5A98"/>
    <w:rsid w:val="002A6845"/>
    <w:rsid w:val="002A68E8"/>
    <w:rsid w:val="002A7834"/>
    <w:rsid w:val="002A7D54"/>
    <w:rsid w:val="002B02B1"/>
    <w:rsid w:val="002B0FE8"/>
    <w:rsid w:val="002B1368"/>
    <w:rsid w:val="002B16E0"/>
    <w:rsid w:val="002B175E"/>
    <w:rsid w:val="002B325C"/>
    <w:rsid w:val="002B3323"/>
    <w:rsid w:val="002B3445"/>
    <w:rsid w:val="002B3CAF"/>
    <w:rsid w:val="002B594F"/>
    <w:rsid w:val="002B60B7"/>
    <w:rsid w:val="002B7BDA"/>
    <w:rsid w:val="002C0675"/>
    <w:rsid w:val="002C1486"/>
    <w:rsid w:val="002C18D2"/>
    <w:rsid w:val="002C1B48"/>
    <w:rsid w:val="002C25D3"/>
    <w:rsid w:val="002C29CC"/>
    <w:rsid w:val="002C2A2D"/>
    <w:rsid w:val="002C2F8C"/>
    <w:rsid w:val="002C417B"/>
    <w:rsid w:val="002C4D31"/>
    <w:rsid w:val="002C5370"/>
    <w:rsid w:val="002C5E66"/>
    <w:rsid w:val="002C6494"/>
    <w:rsid w:val="002C663A"/>
    <w:rsid w:val="002C6A0D"/>
    <w:rsid w:val="002C6B09"/>
    <w:rsid w:val="002C7618"/>
    <w:rsid w:val="002D1F16"/>
    <w:rsid w:val="002D26B0"/>
    <w:rsid w:val="002D2B86"/>
    <w:rsid w:val="002D3181"/>
    <w:rsid w:val="002D36DB"/>
    <w:rsid w:val="002D374F"/>
    <w:rsid w:val="002D3ECE"/>
    <w:rsid w:val="002D3F68"/>
    <w:rsid w:val="002D5037"/>
    <w:rsid w:val="002D5907"/>
    <w:rsid w:val="002D62A5"/>
    <w:rsid w:val="002D6689"/>
    <w:rsid w:val="002D6E3A"/>
    <w:rsid w:val="002D7110"/>
    <w:rsid w:val="002D72DD"/>
    <w:rsid w:val="002E022A"/>
    <w:rsid w:val="002E13FA"/>
    <w:rsid w:val="002E168C"/>
    <w:rsid w:val="002E1787"/>
    <w:rsid w:val="002E1896"/>
    <w:rsid w:val="002E1D42"/>
    <w:rsid w:val="002E2134"/>
    <w:rsid w:val="002E29B7"/>
    <w:rsid w:val="002E2C52"/>
    <w:rsid w:val="002E3625"/>
    <w:rsid w:val="002E37DA"/>
    <w:rsid w:val="002E438E"/>
    <w:rsid w:val="002E4A02"/>
    <w:rsid w:val="002E4D40"/>
    <w:rsid w:val="002E50A4"/>
    <w:rsid w:val="002E5566"/>
    <w:rsid w:val="002E57D7"/>
    <w:rsid w:val="002E5CB0"/>
    <w:rsid w:val="002E5DC2"/>
    <w:rsid w:val="002E5FA8"/>
    <w:rsid w:val="002E6EAD"/>
    <w:rsid w:val="002E75D9"/>
    <w:rsid w:val="002E7760"/>
    <w:rsid w:val="002E7D3A"/>
    <w:rsid w:val="002E7E51"/>
    <w:rsid w:val="002F20FC"/>
    <w:rsid w:val="002F2893"/>
    <w:rsid w:val="002F2D06"/>
    <w:rsid w:val="002F3380"/>
    <w:rsid w:val="002F3589"/>
    <w:rsid w:val="002F35C7"/>
    <w:rsid w:val="002F3E9D"/>
    <w:rsid w:val="002F41CF"/>
    <w:rsid w:val="002F45CC"/>
    <w:rsid w:val="002F5624"/>
    <w:rsid w:val="002F5C4B"/>
    <w:rsid w:val="002F5FDB"/>
    <w:rsid w:val="002F7311"/>
    <w:rsid w:val="002F77F7"/>
    <w:rsid w:val="002F7D50"/>
    <w:rsid w:val="003000F9"/>
    <w:rsid w:val="0030088C"/>
    <w:rsid w:val="00300A4F"/>
    <w:rsid w:val="00301434"/>
    <w:rsid w:val="00301920"/>
    <w:rsid w:val="00301CC8"/>
    <w:rsid w:val="00302192"/>
    <w:rsid w:val="003023AD"/>
    <w:rsid w:val="00303352"/>
    <w:rsid w:val="003035F3"/>
    <w:rsid w:val="003036D4"/>
    <w:rsid w:val="003038EC"/>
    <w:rsid w:val="00304BBD"/>
    <w:rsid w:val="00305B37"/>
    <w:rsid w:val="00305C45"/>
    <w:rsid w:val="00306102"/>
    <w:rsid w:val="00306AEF"/>
    <w:rsid w:val="00306EF7"/>
    <w:rsid w:val="003075CE"/>
    <w:rsid w:val="00307731"/>
    <w:rsid w:val="00307C4C"/>
    <w:rsid w:val="00307E7F"/>
    <w:rsid w:val="003101A0"/>
    <w:rsid w:val="003107BB"/>
    <w:rsid w:val="003107E2"/>
    <w:rsid w:val="00310E97"/>
    <w:rsid w:val="003113B9"/>
    <w:rsid w:val="00311770"/>
    <w:rsid w:val="00312256"/>
    <w:rsid w:val="00313029"/>
    <w:rsid w:val="0031366D"/>
    <w:rsid w:val="00313C10"/>
    <w:rsid w:val="00313EB3"/>
    <w:rsid w:val="00313F3E"/>
    <w:rsid w:val="00313F5F"/>
    <w:rsid w:val="00313F92"/>
    <w:rsid w:val="003143ED"/>
    <w:rsid w:val="00314421"/>
    <w:rsid w:val="00314802"/>
    <w:rsid w:val="00314C97"/>
    <w:rsid w:val="00314DEC"/>
    <w:rsid w:val="0031565E"/>
    <w:rsid w:val="00315968"/>
    <w:rsid w:val="00316218"/>
    <w:rsid w:val="0031626A"/>
    <w:rsid w:val="0031682D"/>
    <w:rsid w:val="00320233"/>
    <w:rsid w:val="00321AC0"/>
    <w:rsid w:val="00322575"/>
    <w:rsid w:val="00324337"/>
    <w:rsid w:val="00324A19"/>
    <w:rsid w:val="0032510C"/>
    <w:rsid w:val="003253F5"/>
    <w:rsid w:val="00325C00"/>
    <w:rsid w:val="00326046"/>
    <w:rsid w:val="00326662"/>
    <w:rsid w:val="00326B97"/>
    <w:rsid w:val="00327017"/>
    <w:rsid w:val="003271E3"/>
    <w:rsid w:val="00327302"/>
    <w:rsid w:val="003275E0"/>
    <w:rsid w:val="00327B26"/>
    <w:rsid w:val="00327F6F"/>
    <w:rsid w:val="00330280"/>
    <w:rsid w:val="00330DF4"/>
    <w:rsid w:val="00330E16"/>
    <w:rsid w:val="00332C86"/>
    <w:rsid w:val="00332CEB"/>
    <w:rsid w:val="00333EF9"/>
    <w:rsid w:val="003342A7"/>
    <w:rsid w:val="00334A53"/>
    <w:rsid w:val="00335496"/>
    <w:rsid w:val="00335DDE"/>
    <w:rsid w:val="00336714"/>
    <w:rsid w:val="00336747"/>
    <w:rsid w:val="00336BA5"/>
    <w:rsid w:val="00340859"/>
    <w:rsid w:val="0034093B"/>
    <w:rsid w:val="00340F99"/>
    <w:rsid w:val="003414BD"/>
    <w:rsid w:val="003415D6"/>
    <w:rsid w:val="00341756"/>
    <w:rsid w:val="003434D7"/>
    <w:rsid w:val="00343532"/>
    <w:rsid w:val="0034383D"/>
    <w:rsid w:val="00343857"/>
    <w:rsid w:val="0034446C"/>
    <w:rsid w:val="00344D03"/>
    <w:rsid w:val="00345271"/>
    <w:rsid w:val="00345507"/>
    <w:rsid w:val="00346142"/>
    <w:rsid w:val="003474FA"/>
    <w:rsid w:val="003475DB"/>
    <w:rsid w:val="00347646"/>
    <w:rsid w:val="0034766E"/>
    <w:rsid w:val="003476F6"/>
    <w:rsid w:val="00347EA9"/>
    <w:rsid w:val="00350298"/>
    <w:rsid w:val="00350790"/>
    <w:rsid w:val="00350C43"/>
    <w:rsid w:val="00350E59"/>
    <w:rsid w:val="00352886"/>
    <w:rsid w:val="00353156"/>
    <w:rsid w:val="0035393B"/>
    <w:rsid w:val="00353A21"/>
    <w:rsid w:val="00353E95"/>
    <w:rsid w:val="00354291"/>
    <w:rsid w:val="00354C04"/>
    <w:rsid w:val="00354F53"/>
    <w:rsid w:val="0035514E"/>
    <w:rsid w:val="00355E27"/>
    <w:rsid w:val="00356C5A"/>
    <w:rsid w:val="00357012"/>
    <w:rsid w:val="00357443"/>
    <w:rsid w:val="00357D1A"/>
    <w:rsid w:val="003606A3"/>
    <w:rsid w:val="003618B6"/>
    <w:rsid w:val="0036241C"/>
    <w:rsid w:val="00362A23"/>
    <w:rsid w:val="00362E97"/>
    <w:rsid w:val="0036374C"/>
    <w:rsid w:val="003637B1"/>
    <w:rsid w:val="00363A41"/>
    <w:rsid w:val="00363C58"/>
    <w:rsid w:val="00364356"/>
    <w:rsid w:val="003649DC"/>
    <w:rsid w:val="003652D5"/>
    <w:rsid w:val="00365AD3"/>
    <w:rsid w:val="003662E4"/>
    <w:rsid w:val="00366D62"/>
    <w:rsid w:val="00367249"/>
    <w:rsid w:val="0036748D"/>
    <w:rsid w:val="003678C4"/>
    <w:rsid w:val="003678D1"/>
    <w:rsid w:val="003702DD"/>
    <w:rsid w:val="003705E5"/>
    <w:rsid w:val="0037097A"/>
    <w:rsid w:val="00370ED8"/>
    <w:rsid w:val="00370FB8"/>
    <w:rsid w:val="003712FA"/>
    <w:rsid w:val="0037288B"/>
    <w:rsid w:val="003740B9"/>
    <w:rsid w:val="003757FA"/>
    <w:rsid w:val="003758BF"/>
    <w:rsid w:val="00376856"/>
    <w:rsid w:val="00376E6F"/>
    <w:rsid w:val="003770D0"/>
    <w:rsid w:val="00377220"/>
    <w:rsid w:val="003773C8"/>
    <w:rsid w:val="0037765C"/>
    <w:rsid w:val="00377B8B"/>
    <w:rsid w:val="00380E66"/>
    <w:rsid w:val="00381403"/>
    <w:rsid w:val="00382C9D"/>
    <w:rsid w:val="00383249"/>
    <w:rsid w:val="0038385A"/>
    <w:rsid w:val="00383A20"/>
    <w:rsid w:val="0038406F"/>
    <w:rsid w:val="003840C1"/>
    <w:rsid w:val="00384BB2"/>
    <w:rsid w:val="003850B3"/>
    <w:rsid w:val="0038664E"/>
    <w:rsid w:val="003870FA"/>
    <w:rsid w:val="003874E4"/>
    <w:rsid w:val="00390373"/>
    <w:rsid w:val="0039081F"/>
    <w:rsid w:val="00391200"/>
    <w:rsid w:val="00392CDC"/>
    <w:rsid w:val="00392D0B"/>
    <w:rsid w:val="00393862"/>
    <w:rsid w:val="003943FD"/>
    <w:rsid w:val="00395DCA"/>
    <w:rsid w:val="00395E52"/>
    <w:rsid w:val="0039609A"/>
    <w:rsid w:val="003972F5"/>
    <w:rsid w:val="0039764C"/>
    <w:rsid w:val="00397AA4"/>
    <w:rsid w:val="00397C6A"/>
    <w:rsid w:val="003A010E"/>
    <w:rsid w:val="003A0780"/>
    <w:rsid w:val="003A07C5"/>
    <w:rsid w:val="003A0E49"/>
    <w:rsid w:val="003A186E"/>
    <w:rsid w:val="003A2202"/>
    <w:rsid w:val="003A241A"/>
    <w:rsid w:val="003A27B2"/>
    <w:rsid w:val="003A2BEB"/>
    <w:rsid w:val="003A2D65"/>
    <w:rsid w:val="003A2FFD"/>
    <w:rsid w:val="003A32B0"/>
    <w:rsid w:val="003A3C97"/>
    <w:rsid w:val="003A3CC7"/>
    <w:rsid w:val="003A4362"/>
    <w:rsid w:val="003A44B7"/>
    <w:rsid w:val="003A4787"/>
    <w:rsid w:val="003A4793"/>
    <w:rsid w:val="003A5521"/>
    <w:rsid w:val="003A59B3"/>
    <w:rsid w:val="003A77D2"/>
    <w:rsid w:val="003A7DD7"/>
    <w:rsid w:val="003B0617"/>
    <w:rsid w:val="003B1397"/>
    <w:rsid w:val="003B1C4C"/>
    <w:rsid w:val="003B24CD"/>
    <w:rsid w:val="003B2C38"/>
    <w:rsid w:val="003B2FBC"/>
    <w:rsid w:val="003B36FA"/>
    <w:rsid w:val="003B4140"/>
    <w:rsid w:val="003B4777"/>
    <w:rsid w:val="003B4E47"/>
    <w:rsid w:val="003B502E"/>
    <w:rsid w:val="003B503A"/>
    <w:rsid w:val="003B62BA"/>
    <w:rsid w:val="003B6C92"/>
    <w:rsid w:val="003B7B4A"/>
    <w:rsid w:val="003C035F"/>
    <w:rsid w:val="003C0611"/>
    <w:rsid w:val="003C0775"/>
    <w:rsid w:val="003C12E9"/>
    <w:rsid w:val="003C196D"/>
    <w:rsid w:val="003C2523"/>
    <w:rsid w:val="003C36D3"/>
    <w:rsid w:val="003C382D"/>
    <w:rsid w:val="003C3AA6"/>
    <w:rsid w:val="003C3F43"/>
    <w:rsid w:val="003C3F9F"/>
    <w:rsid w:val="003C4056"/>
    <w:rsid w:val="003C512D"/>
    <w:rsid w:val="003C56E8"/>
    <w:rsid w:val="003C5ED7"/>
    <w:rsid w:val="003C6DFB"/>
    <w:rsid w:val="003D0687"/>
    <w:rsid w:val="003D14EE"/>
    <w:rsid w:val="003D1D9B"/>
    <w:rsid w:val="003D2332"/>
    <w:rsid w:val="003D29E0"/>
    <w:rsid w:val="003D3915"/>
    <w:rsid w:val="003D5022"/>
    <w:rsid w:val="003D6051"/>
    <w:rsid w:val="003D7A3B"/>
    <w:rsid w:val="003E0602"/>
    <w:rsid w:val="003E1A83"/>
    <w:rsid w:val="003E1D56"/>
    <w:rsid w:val="003E24B9"/>
    <w:rsid w:val="003E275F"/>
    <w:rsid w:val="003E3273"/>
    <w:rsid w:val="003E3946"/>
    <w:rsid w:val="003E3A2B"/>
    <w:rsid w:val="003E3B74"/>
    <w:rsid w:val="003E3D3A"/>
    <w:rsid w:val="003E416B"/>
    <w:rsid w:val="003E45D9"/>
    <w:rsid w:val="003E497B"/>
    <w:rsid w:val="003E4E04"/>
    <w:rsid w:val="003E5511"/>
    <w:rsid w:val="003E64E6"/>
    <w:rsid w:val="003E65DF"/>
    <w:rsid w:val="003E67A8"/>
    <w:rsid w:val="003E69AD"/>
    <w:rsid w:val="003E6F2F"/>
    <w:rsid w:val="003E786D"/>
    <w:rsid w:val="003F093D"/>
    <w:rsid w:val="003F1589"/>
    <w:rsid w:val="003F1964"/>
    <w:rsid w:val="003F2AF1"/>
    <w:rsid w:val="003F30D4"/>
    <w:rsid w:val="003F311E"/>
    <w:rsid w:val="003F38E9"/>
    <w:rsid w:val="003F3918"/>
    <w:rsid w:val="003F3AA9"/>
    <w:rsid w:val="003F47F4"/>
    <w:rsid w:val="003F4C5F"/>
    <w:rsid w:val="003F4FDD"/>
    <w:rsid w:val="003F5206"/>
    <w:rsid w:val="003F5207"/>
    <w:rsid w:val="003F56B5"/>
    <w:rsid w:val="003F644D"/>
    <w:rsid w:val="003F6C5F"/>
    <w:rsid w:val="003F6D7C"/>
    <w:rsid w:val="003F71EA"/>
    <w:rsid w:val="0040006F"/>
    <w:rsid w:val="00400175"/>
    <w:rsid w:val="004017E3"/>
    <w:rsid w:val="00402382"/>
    <w:rsid w:val="00403046"/>
    <w:rsid w:val="0040431D"/>
    <w:rsid w:val="00404577"/>
    <w:rsid w:val="00404F3B"/>
    <w:rsid w:val="004052D4"/>
    <w:rsid w:val="00405A04"/>
    <w:rsid w:val="00406318"/>
    <w:rsid w:val="00406327"/>
    <w:rsid w:val="00406404"/>
    <w:rsid w:val="00407DD8"/>
    <w:rsid w:val="00410747"/>
    <w:rsid w:val="004115AD"/>
    <w:rsid w:val="00411771"/>
    <w:rsid w:val="00411772"/>
    <w:rsid w:val="00412719"/>
    <w:rsid w:val="00412D89"/>
    <w:rsid w:val="0041389D"/>
    <w:rsid w:val="00413D42"/>
    <w:rsid w:val="004149B3"/>
    <w:rsid w:val="0041515C"/>
    <w:rsid w:val="004151A7"/>
    <w:rsid w:val="00416A3C"/>
    <w:rsid w:val="00416EF0"/>
    <w:rsid w:val="00417287"/>
    <w:rsid w:val="0041788C"/>
    <w:rsid w:val="00417FE2"/>
    <w:rsid w:val="004208B5"/>
    <w:rsid w:val="00420998"/>
    <w:rsid w:val="0042145D"/>
    <w:rsid w:val="00421EC9"/>
    <w:rsid w:val="0042215C"/>
    <w:rsid w:val="0042246E"/>
    <w:rsid w:val="00422635"/>
    <w:rsid w:val="004230EE"/>
    <w:rsid w:val="00423A8B"/>
    <w:rsid w:val="00423AC8"/>
    <w:rsid w:val="00423C16"/>
    <w:rsid w:val="00423EF5"/>
    <w:rsid w:val="00423FC9"/>
    <w:rsid w:val="00424989"/>
    <w:rsid w:val="00424994"/>
    <w:rsid w:val="004253CF"/>
    <w:rsid w:val="004259AF"/>
    <w:rsid w:val="00425B91"/>
    <w:rsid w:val="00425F5D"/>
    <w:rsid w:val="00426288"/>
    <w:rsid w:val="004268E6"/>
    <w:rsid w:val="00426E2C"/>
    <w:rsid w:val="00426E45"/>
    <w:rsid w:val="0042797F"/>
    <w:rsid w:val="00427CC1"/>
    <w:rsid w:val="00430508"/>
    <w:rsid w:val="0043053B"/>
    <w:rsid w:val="00430550"/>
    <w:rsid w:val="0043087A"/>
    <w:rsid w:val="00430BE4"/>
    <w:rsid w:val="00431244"/>
    <w:rsid w:val="00431659"/>
    <w:rsid w:val="00431870"/>
    <w:rsid w:val="00431A0D"/>
    <w:rsid w:val="00431C67"/>
    <w:rsid w:val="004329C7"/>
    <w:rsid w:val="00432B94"/>
    <w:rsid w:val="004353B5"/>
    <w:rsid w:val="004357D3"/>
    <w:rsid w:val="00435B97"/>
    <w:rsid w:val="00435ECC"/>
    <w:rsid w:val="00436A26"/>
    <w:rsid w:val="00436F42"/>
    <w:rsid w:val="0043720C"/>
    <w:rsid w:val="0043723E"/>
    <w:rsid w:val="0043787F"/>
    <w:rsid w:val="00437B66"/>
    <w:rsid w:val="00440457"/>
    <w:rsid w:val="0044116C"/>
    <w:rsid w:val="004414C1"/>
    <w:rsid w:val="00441629"/>
    <w:rsid w:val="00441AAC"/>
    <w:rsid w:val="00441FF3"/>
    <w:rsid w:val="00443095"/>
    <w:rsid w:val="00443C7A"/>
    <w:rsid w:val="00443EFE"/>
    <w:rsid w:val="00444376"/>
    <w:rsid w:val="004448A2"/>
    <w:rsid w:val="00444F7B"/>
    <w:rsid w:val="00445CC1"/>
    <w:rsid w:val="004472CC"/>
    <w:rsid w:val="004479B0"/>
    <w:rsid w:val="004500A4"/>
    <w:rsid w:val="004503BC"/>
    <w:rsid w:val="00450A07"/>
    <w:rsid w:val="00451786"/>
    <w:rsid w:val="00451C89"/>
    <w:rsid w:val="00451E23"/>
    <w:rsid w:val="00452F8B"/>
    <w:rsid w:val="004530E8"/>
    <w:rsid w:val="004539BE"/>
    <w:rsid w:val="00453EFA"/>
    <w:rsid w:val="00453F8A"/>
    <w:rsid w:val="00454238"/>
    <w:rsid w:val="004542B5"/>
    <w:rsid w:val="0045456B"/>
    <w:rsid w:val="0045489E"/>
    <w:rsid w:val="00454CED"/>
    <w:rsid w:val="00455C83"/>
    <w:rsid w:val="00455CE3"/>
    <w:rsid w:val="00456171"/>
    <w:rsid w:val="00456220"/>
    <w:rsid w:val="004563FD"/>
    <w:rsid w:val="0045659B"/>
    <w:rsid w:val="004571B9"/>
    <w:rsid w:val="00457317"/>
    <w:rsid w:val="004604BE"/>
    <w:rsid w:val="004604FE"/>
    <w:rsid w:val="004606B3"/>
    <w:rsid w:val="0046140A"/>
    <w:rsid w:val="004620FB"/>
    <w:rsid w:val="00462215"/>
    <w:rsid w:val="004625A9"/>
    <w:rsid w:val="0046263B"/>
    <w:rsid w:val="0046383A"/>
    <w:rsid w:val="004645CB"/>
    <w:rsid w:val="0046549D"/>
    <w:rsid w:val="00466280"/>
    <w:rsid w:val="004677EA"/>
    <w:rsid w:val="00470129"/>
    <w:rsid w:val="004713EB"/>
    <w:rsid w:val="0047183E"/>
    <w:rsid w:val="00471E96"/>
    <w:rsid w:val="004721E3"/>
    <w:rsid w:val="0047232C"/>
    <w:rsid w:val="00472504"/>
    <w:rsid w:val="0047344F"/>
    <w:rsid w:val="004736CF"/>
    <w:rsid w:val="004737A9"/>
    <w:rsid w:val="00473DBF"/>
    <w:rsid w:val="004746C9"/>
    <w:rsid w:val="0047487E"/>
    <w:rsid w:val="00474915"/>
    <w:rsid w:val="00474954"/>
    <w:rsid w:val="004751F6"/>
    <w:rsid w:val="00475712"/>
    <w:rsid w:val="00476897"/>
    <w:rsid w:val="00476AD5"/>
    <w:rsid w:val="00476F9A"/>
    <w:rsid w:val="00477256"/>
    <w:rsid w:val="00477B5B"/>
    <w:rsid w:val="00477DDB"/>
    <w:rsid w:val="0048088A"/>
    <w:rsid w:val="00481764"/>
    <w:rsid w:val="00481C58"/>
    <w:rsid w:val="00482032"/>
    <w:rsid w:val="004823FB"/>
    <w:rsid w:val="00483146"/>
    <w:rsid w:val="004832D4"/>
    <w:rsid w:val="00483BC1"/>
    <w:rsid w:val="00484A4F"/>
    <w:rsid w:val="00484DDE"/>
    <w:rsid w:val="00485368"/>
    <w:rsid w:val="004855CD"/>
    <w:rsid w:val="004857C8"/>
    <w:rsid w:val="004866F7"/>
    <w:rsid w:val="00486B4C"/>
    <w:rsid w:val="00486D8E"/>
    <w:rsid w:val="004872F0"/>
    <w:rsid w:val="0048776F"/>
    <w:rsid w:val="0048798B"/>
    <w:rsid w:val="00487D57"/>
    <w:rsid w:val="00490283"/>
    <w:rsid w:val="004903D9"/>
    <w:rsid w:val="00490501"/>
    <w:rsid w:val="0049051C"/>
    <w:rsid w:val="00490811"/>
    <w:rsid w:val="0049090D"/>
    <w:rsid w:val="0049128C"/>
    <w:rsid w:val="004915F4"/>
    <w:rsid w:val="0049187A"/>
    <w:rsid w:val="004926B3"/>
    <w:rsid w:val="00492C43"/>
    <w:rsid w:val="00494172"/>
    <w:rsid w:val="0049450F"/>
    <w:rsid w:val="00494D64"/>
    <w:rsid w:val="004954F4"/>
    <w:rsid w:val="00495B0F"/>
    <w:rsid w:val="00495BFC"/>
    <w:rsid w:val="00496A6E"/>
    <w:rsid w:val="00496AC4"/>
    <w:rsid w:val="00496ACC"/>
    <w:rsid w:val="00497258"/>
    <w:rsid w:val="004972DA"/>
    <w:rsid w:val="00497BD4"/>
    <w:rsid w:val="00497F93"/>
    <w:rsid w:val="004A1450"/>
    <w:rsid w:val="004A1F76"/>
    <w:rsid w:val="004A2565"/>
    <w:rsid w:val="004A26FE"/>
    <w:rsid w:val="004A2972"/>
    <w:rsid w:val="004A3AA3"/>
    <w:rsid w:val="004A3DA7"/>
    <w:rsid w:val="004A4250"/>
    <w:rsid w:val="004A4281"/>
    <w:rsid w:val="004A45A0"/>
    <w:rsid w:val="004A47BD"/>
    <w:rsid w:val="004A4F1A"/>
    <w:rsid w:val="004A514B"/>
    <w:rsid w:val="004A6851"/>
    <w:rsid w:val="004A7799"/>
    <w:rsid w:val="004B3029"/>
    <w:rsid w:val="004B3146"/>
    <w:rsid w:val="004B3C0B"/>
    <w:rsid w:val="004B45C7"/>
    <w:rsid w:val="004B4A5B"/>
    <w:rsid w:val="004B4A72"/>
    <w:rsid w:val="004B4CD0"/>
    <w:rsid w:val="004B5325"/>
    <w:rsid w:val="004B69AB"/>
    <w:rsid w:val="004B6B65"/>
    <w:rsid w:val="004B6B9F"/>
    <w:rsid w:val="004B7800"/>
    <w:rsid w:val="004B7808"/>
    <w:rsid w:val="004B7BF0"/>
    <w:rsid w:val="004B7CDB"/>
    <w:rsid w:val="004C03A3"/>
    <w:rsid w:val="004C0E37"/>
    <w:rsid w:val="004C12B8"/>
    <w:rsid w:val="004C1C63"/>
    <w:rsid w:val="004C1E9B"/>
    <w:rsid w:val="004C2939"/>
    <w:rsid w:val="004C2DA0"/>
    <w:rsid w:val="004C32EF"/>
    <w:rsid w:val="004C3581"/>
    <w:rsid w:val="004C366D"/>
    <w:rsid w:val="004C383F"/>
    <w:rsid w:val="004C3846"/>
    <w:rsid w:val="004C3C57"/>
    <w:rsid w:val="004C3DC7"/>
    <w:rsid w:val="004C4387"/>
    <w:rsid w:val="004C47C0"/>
    <w:rsid w:val="004C51D2"/>
    <w:rsid w:val="004C54C8"/>
    <w:rsid w:val="004C59A4"/>
    <w:rsid w:val="004C6238"/>
    <w:rsid w:val="004C6301"/>
    <w:rsid w:val="004C6729"/>
    <w:rsid w:val="004C6A2C"/>
    <w:rsid w:val="004C724D"/>
    <w:rsid w:val="004C783A"/>
    <w:rsid w:val="004C7FE2"/>
    <w:rsid w:val="004D03F1"/>
    <w:rsid w:val="004D06A8"/>
    <w:rsid w:val="004D0770"/>
    <w:rsid w:val="004D0F2E"/>
    <w:rsid w:val="004D1397"/>
    <w:rsid w:val="004D17B9"/>
    <w:rsid w:val="004D1AA5"/>
    <w:rsid w:val="004D216B"/>
    <w:rsid w:val="004D2291"/>
    <w:rsid w:val="004D2A35"/>
    <w:rsid w:val="004D3124"/>
    <w:rsid w:val="004D3AE7"/>
    <w:rsid w:val="004D3E5B"/>
    <w:rsid w:val="004D4400"/>
    <w:rsid w:val="004D4BC9"/>
    <w:rsid w:val="004D5698"/>
    <w:rsid w:val="004D5749"/>
    <w:rsid w:val="004D58C7"/>
    <w:rsid w:val="004D5A0C"/>
    <w:rsid w:val="004D5B61"/>
    <w:rsid w:val="004D5CFC"/>
    <w:rsid w:val="004D6CA4"/>
    <w:rsid w:val="004D718A"/>
    <w:rsid w:val="004E04EA"/>
    <w:rsid w:val="004E1629"/>
    <w:rsid w:val="004E1C8C"/>
    <w:rsid w:val="004E2245"/>
    <w:rsid w:val="004E290E"/>
    <w:rsid w:val="004E51AC"/>
    <w:rsid w:val="004E561F"/>
    <w:rsid w:val="004E5F12"/>
    <w:rsid w:val="004E685D"/>
    <w:rsid w:val="004E7770"/>
    <w:rsid w:val="004E7806"/>
    <w:rsid w:val="004E7BE3"/>
    <w:rsid w:val="004F02F1"/>
    <w:rsid w:val="004F0526"/>
    <w:rsid w:val="004F12CA"/>
    <w:rsid w:val="004F195B"/>
    <w:rsid w:val="004F1BC0"/>
    <w:rsid w:val="004F2038"/>
    <w:rsid w:val="004F25C5"/>
    <w:rsid w:val="004F3D5E"/>
    <w:rsid w:val="004F4856"/>
    <w:rsid w:val="004F4ECC"/>
    <w:rsid w:val="004F594D"/>
    <w:rsid w:val="004F6183"/>
    <w:rsid w:val="004F6BA9"/>
    <w:rsid w:val="004F6C34"/>
    <w:rsid w:val="004F7158"/>
    <w:rsid w:val="004F7CF4"/>
    <w:rsid w:val="0050087E"/>
    <w:rsid w:val="00500A69"/>
    <w:rsid w:val="00502BB4"/>
    <w:rsid w:val="005030E6"/>
    <w:rsid w:val="005031AA"/>
    <w:rsid w:val="00503A51"/>
    <w:rsid w:val="00503D56"/>
    <w:rsid w:val="00503DDE"/>
    <w:rsid w:val="00504B2B"/>
    <w:rsid w:val="00504E5A"/>
    <w:rsid w:val="005058B4"/>
    <w:rsid w:val="0050620D"/>
    <w:rsid w:val="00506CBD"/>
    <w:rsid w:val="00507AD0"/>
    <w:rsid w:val="00510378"/>
    <w:rsid w:val="005109FA"/>
    <w:rsid w:val="00510A36"/>
    <w:rsid w:val="005115C6"/>
    <w:rsid w:val="005116CB"/>
    <w:rsid w:val="00511F8A"/>
    <w:rsid w:val="00512259"/>
    <w:rsid w:val="0051265F"/>
    <w:rsid w:val="005141A4"/>
    <w:rsid w:val="0051452A"/>
    <w:rsid w:val="00514AEE"/>
    <w:rsid w:val="00514F7E"/>
    <w:rsid w:val="005151BA"/>
    <w:rsid w:val="00515495"/>
    <w:rsid w:val="00516081"/>
    <w:rsid w:val="00516739"/>
    <w:rsid w:val="005169FE"/>
    <w:rsid w:val="00516B38"/>
    <w:rsid w:val="00520329"/>
    <w:rsid w:val="00521AB1"/>
    <w:rsid w:val="00522314"/>
    <w:rsid w:val="005227CD"/>
    <w:rsid w:val="00522882"/>
    <w:rsid w:val="00522E5F"/>
    <w:rsid w:val="0052309F"/>
    <w:rsid w:val="005241F2"/>
    <w:rsid w:val="0052424F"/>
    <w:rsid w:val="005249F2"/>
    <w:rsid w:val="005250C9"/>
    <w:rsid w:val="005254B3"/>
    <w:rsid w:val="005256A2"/>
    <w:rsid w:val="005256D1"/>
    <w:rsid w:val="005258EB"/>
    <w:rsid w:val="00526BB7"/>
    <w:rsid w:val="00526DDC"/>
    <w:rsid w:val="005273AB"/>
    <w:rsid w:val="00527D72"/>
    <w:rsid w:val="005303A8"/>
    <w:rsid w:val="00531581"/>
    <w:rsid w:val="00531B05"/>
    <w:rsid w:val="00532164"/>
    <w:rsid w:val="00532709"/>
    <w:rsid w:val="005350AA"/>
    <w:rsid w:val="00536158"/>
    <w:rsid w:val="005361B5"/>
    <w:rsid w:val="0053675A"/>
    <w:rsid w:val="00537627"/>
    <w:rsid w:val="00537EFD"/>
    <w:rsid w:val="005407B0"/>
    <w:rsid w:val="00540B99"/>
    <w:rsid w:val="00541823"/>
    <w:rsid w:val="00542D9F"/>
    <w:rsid w:val="00543B30"/>
    <w:rsid w:val="00543BAA"/>
    <w:rsid w:val="00544776"/>
    <w:rsid w:val="00544831"/>
    <w:rsid w:val="00544840"/>
    <w:rsid w:val="0054488A"/>
    <w:rsid w:val="0054520E"/>
    <w:rsid w:val="00545423"/>
    <w:rsid w:val="00546048"/>
    <w:rsid w:val="00546A95"/>
    <w:rsid w:val="00547A9B"/>
    <w:rsid w:val="00547C02"/>
    <w:rsid w:val="0055002A"/>
    <w:rsid w:val="00550508"/>
    <w:rsid w:val="00551237"/>
    <w:rsid w:val="00551A79"/>
    <w:rsid w:val="00552540"/>
    <w:rsid w:val="00552A3A"/>
    <w:rsid w:val="005544C4"/>
    <w:rsid w:val="0055450B"/>
    <w:rsid w:val="00555A16"/>
    <w:rsid w:val="00555C7D"/>
    <w:rsid w:val="0055634D"/>
    <w:rsid w:val="00556892"/>
    <w:rsid w:val="00557D17"/>
    <w:rsid w:val="005611FF"/>
    <w:rsid w:val="00561E9B"/>
    <w:rsid w:val="00562397"/>
    <w:rsid w:val="005625A4"/>
    <w:rsid w:val="0056356A"/>
    <w:rsid w:val="00563B12"/>
    <w:rsid w:val="00563F27"/>
    <w:rsid w:val="00565DC5"/>
    <w:rsid w:val="00565F55"/>
    <w:rsid w:val="005668E7"/>
    <w:rsid w:val="00566BA0"/>
    <w:rsid w:val="00566CE3"/>
    <w:rsid w:val="00567074"/>
    <w:rsid w:val="005679B6"/>
    <w:rsid w:val="0057012F"/>
    <w:rsid w:val="0057023E"/>
    <w:rsid w:val="00570289"/>
    <w:rsid w:val="00570E8F"/>
    <w:rsid w:val="00571965"/>
    <w:rsid w:val="00571BFC"/>
    <w:rsid w:val="00571DA2"/>
    <w:rsid w:val="00572160"/>
    <w:rsid w:val="005721CD"/>
    <w:rsid w:val="00573AA1"/>
    <w:rsid w:val="00573B05"/>
    <w:rsid w:val="00573BB2"/>
    <w:rsid w:val="00573CB3"/>
    <w:rsid w:val="005749E5"/>
    <w:rsid w:val="00574BBC"/>
    <w:rsid w:val="00577722"/>
    <w:rsid w:val="00577E27"/>
    <w:rsid w:val="005807CE"/>
    <w:rsid w:val="005811C9"/>
    <w:rsid w:val="00581254"/>
    <w:rsid w:val="0058188B"/>
    <w:rsid w:val="00582B6F"/>
    <w:rsid w:val="00582F9C"/>
    <w:rsid w:val="0058381C"/>
    <w:rsid w:val="0058396C"/>
    <w:rsid w:val="00583BC5"/>
    <w:rsid w:val="00584605"/>
    <w:rsid w:val="00584B22"/>
    <w:rsid w:val="00585503"/>
    <w:rsid w:val="00585877"/>
    <w:rsid w:val="00585C0B"/>
    <w:rsid w:val="00586359"/>
    <w:rsid w:val="00586957"/>
    <w:rsid w:val="00586BDB"/>
    <w:rsid w:val="00587ACE"/>
    <w:rsid w:val="00590B5F"/>
    <w:rsid w:val="00591BA5"/>
    <w:rsid w:val="00592196"/>
    <w:rsid w:val="00592B4A"/>
    <w:rsid w:val="00593B2D"/>
    <w:rsid w:val="00593EA5"/>
    <w:rsid w:val="005947CE"/>
    <w:rsid w:val="00594DA7"/>
    <w:rsid w:val="00595D26"/>
    <w:rsid w:val="005965EB"/>
    <w:rsid w:val="005970A5"/>
    <w:rsid w:val="005971DA"/>
    <w:rsid w:val="005A016A"/>
    <w:rsid w:val="005A0AC5"/>
    <w:rsid w:val="005A0DD8"/>
    <w:rsid w:val="005A1721"/>
    <w:rsid w:val="005A2426"/>
    <w:rsid w:val="005A24FA"/>
    <w:rsid w:val="005A2D5D"/>
    <w:rsid w:val="005A3B84"/>
    <w:rsid w:val="005A4526"/>
    <w:rsid w:val="005A458D"/>
    <w:rsid w:val="005A4864"/>
    <w:rsid w:val="005A48CA"/>
    <w:rsid w:val="005A52D5"/>
    <w:rsid w:val="005A5EB7"/>
    <w:rsid w:val="005A640D"/>
    <w:rsid w:val="005A6E3C"/>
    <w:rsid w:val="005A6F18"/>
    <w:rsid w:val="005A711E"/>
    <w:rsid w:val="005A7125"/>
    <w:rsid w:val="005A7846"/>
    <w:rsid w:val="005A79B6"/>
    <w:rsid w:val="005A7A15"/>
    <w:rsid w:val="005A7C82"/>
    <w:rsid w:val="005B03C2"/>
    <w:rsid w:val="005B074C"/>
    <w:rsid w:val="005B0A7D"/>
    <w:rsid w:val="005B0BF3"/>
    <w:rsid w:val="005B1D7F"/>
    <w:rsid w:val="005B23CB"/>
    <w:rsid w:val="005B2622"/>
    <w:rsid w:val="005B33E3"/>
    <w:rsid w:val="005B3E5F"/>
    <w:rsid w:val="005B4ABD"/>
    <w:rsid w:val="005B4AD1"/>
    <w:rsid w:val="005B4D92"/>
    <w:rsid w:val="005B53FC"/>
    <w:rsid w:val="005B56A0"/>
    <w:rsid w:val="005B721C"/>
    <w:rsid w:val="005B74AE"/>
    <w:rsid w:val="005B776D"/>
    <w:rsid w:val="005B7835"/>
    <w:rsid w:val="005B7C65"/>
    <w:rsid w:val="005B7D71"/>
    <w:rsid w:val="005B7DEE"/>
    <w:rsid w:val="005C028E"/>
    <w:rsid w:val="005C029D"/>
    <w:rsid w:val="005C1208"/>
    <w:rsid w:val="005C1284"/>
    <w:rsid w:val="005C2026"/>
    <w:rsid w:val="005C25BF"/>
    <w:rsid w:val="005C2860"/>
    <w:rsid w:val="005C2930"/>
    <w:rsid w:val="005C297A"/>
    <w:rsid w:val="005C2B07"/>
    <w:rsid w:val="005C2F9C"/>
    <w:rsid w:val="005C3956"/>
    <w:rsid w:val="005C468A"/>
    <w:rsid w:val="005C484E"/>
    <w:rsid w:val="005C4F4C"/>
    <w:rsid w:val="005C51D9"/>
    <w:rsid w:val="005C52BE"/>
    <w:rsid w:val="005C5854"/>
    <w:rsid w:val="005C5DDF"/>
    <w:rsid w:val="005C67C8"/>
    <w:rsid w:val="005C6B68"/>
    <w:rsid w:val="005C734E"/>
    <w:rsid w:val="005C78C3"/>
    <w:rsid w:val="005C7B39"/>
    <w:rsid w:val="005D03C4"/>
    <w:rsid w:val="005D09F6"/>
    <w:rsid w:val="005D12B7"/>
    <w:rsid w:val="005D1E9C"/>
    <w:rsid w:val="005D2841"/>
    <w:rsid w:val="005D34C5"/>
    <w:rsid w:val="005D3706"/>
    <w:rsid w:val="005D3746"/>
    <w:rsid w:val="005D37AF"/>
    <w:rsid w:val="005D3E0E"/>
    <w:rsid w:val="005D54E7"/>
    <w:rsid w:val="005D560F"/>
    <w:rsid w:val="005D5722"/>
    <w:rsid w:val="005D6777"/>
    <w:rsid w:val="005D73B8"/>
    <w:rsid w:val="005D7AE3"/>
    <w:rsid w:val="005D7C2B"/>
    <w:rsid w:val="005E1BB5"/>
    <w:rsid w:val="005E1E0F"/>
    <w:rsid w:val="005E2415"/>
    <w:rsid w:val="005E2711"/>
    <w:rsid w:val="005E2C39"/>
    <w:rsid w:val="005E2FF9"/>
    <w:rsid w:val="005E3323"/>
    <w:rsid w:val="005E38DB"/>
    <w:rsid w:val="005E407B"/>
    <w:rsid w:val="005E40FA"/>
    <w:rsid w:val="005E4641"/>
    <w:rsid w:val="005E472D"/>
    <w:rsid w:val="005E4E91"/>
    <w:rsid w:val="005E4F55"/>
    <w:rsid w:val="005E4FE6"/>
    <w:rsid w:val="005E5AB9"/>
    <w:rsid w:val="005E61E7"/>
    <w:rsid w:val="005E6ACC"/>
    <w:rsid w:val="005E6D2A"/>
    <w:rsid w:val="005E6FDA"/>
    <w:rsid w:val="005E70B1"/>
    <w:rsid w:val="005E7B52"/>
    <w:rsid w:val="005F0371"/>
    <w:rsid w:val="005F0499"/>
    <w:rsid w:val="005F091F"/>
    <w:rsid w:val="005F0998"/>
    <w:rsid w:val="005F12F5"/>
    <w:rsid w:val="005F29B3"/>
    <w:rsid w:val="005F3542"/>
    <w:rsid w:val="005F3A0E"/>
    <w:rsid w:val="005F3F59"/>
    <w:rsid w:val="005F4331"/>
    <w:rsid w:val="005F5505"/>
    <w:rsid w:val="005F56C8"/>
    <w:rsid w:val="005F5D1D"/>
    <w:rsid w:val="005F5EE9"/>
    <w:rsid w:val="005F62D5"/>
    <w:rsid w:val="005F76A3"/>
    <w:rsid w:val="006002AF"/>
    <w:rsid w:val="006007FA"/>
    <w:rsid w:val="006010EB"/>
    <w:rsid w:val="006019F6"/>
    <w:rsid w:val="00601A37"/>
    <w:rsid w:val="00601C3A"/>
    <w:rsid w:val="0060249A"/>
    <w:rsid w:val="0060298D"/>
    <w:rsid w:val="00603278"/>
    <w:rsid w:val="006035E7"/>
    <w:rsid w:val="00603A89"/>
    <w:rsid w:val="0060408C"/>
    <w:rsid w:val="006043F7"/>
    <w:rsid w:val="00604926"/>
    <w:rsid w:val="00606663"/>
    <w:rsid w:val="006066A1"/>
    <w:rsid w:val="006073A2"/>
    <w:rsid w:val="00607957"/>
    <w:rsid w:val="006079EF"/>
    <w:rsid w:val="0061063C"/>
    <w:rsid w:val="00610665"/>
    <w:rsid w:val="00610F4A"/>
    <w:rsid w:val="006111F0"/>
    <w:rsid w:val="0061310D"/>
    <w:rsid w:val="0061373C"/>
    <w:rsid w:val="00614155"/>
    <w:rsid w:val="006156D1"/>
    <w:rsid w:val="006157AE"/>
    <w:rsid w:val="00615B8A"/>
    <w:rsid w:val="00616641"/>
    <w:rsid w:val="00616B3B"/>
    <w:rsid w:val="006170D0"/>
    <w:rsid w:val="006170D3"/>
    <w:rsid w:val="006173DD"/>
    <w:rsid w:val="00617691"/>
    <w:rsid w:val="00617AE5"/>
    <w:rsid w:val="00617C40"/>
    <w:rsid w:val="0062076B"/>
    <w:rsid w:val="00620E21"/>
    <w:rsid w:val="00621D1D"/>
    <w:rsid w:val="0062208B"/>
    <w:rsid w:val="0062270F"/>
    <w:rsid w:val="00623018"/>
    <w:rsid w:val="00623692"/>
    <w:rsid w:val="0062377F"/>
    <w:rsid w:val="006237B7"/>
    <w:rsid w:val="00623E76"/>
    <w:rsid w:val="00624861"/>
    <w:rsid w:val="00625E57"/>
    <w:rsid w:val="006264BE"/>
    <w:rsid w:val="006264FE"/>
    <w:rsid w:val="00626B8C"/>
    <w:rsid w:val="00626E1F"/>
    <w:rsid w:val="006273BB"/>
    <w:rsid w:val="0062785C"/>
    <w:rsid w:val="006278B7"/>
    <w:rsid w:val="006279D1"/>
    <w:rsid w:val="00627B0E"/>
    <w:rsid w:val="00627EAE"/>
    <w:rsid w:val="00630CA3"/>
    <w:rsid w:val="00631696"/>
    <w:rsid w:val="00632E97"/>
    <w:rsid w:val="0063370E"/>
    <w:rsid w:val="0063409A"/>
    <w:rsid w:val="0063483D"/>
    <w:rsid w:val="006353A4"/>
    <w:rsid w:val="00636355"/>
    <w:rsid w:val="00636650"/>
    <w:rsid w:val="00636A8D"/>
    <w:rsid w:val="00636D1F"/>
    <w:rsid w:val="00636E2E"/>
    <w:rsid w:val="006371FA"/>
    <w:rsid w:val="00637AFF"/>
    <w:rsid w:val="00637C57"/>
    <w:rsid w:val="00637EE6"/>
    <w:rsid w:val="006409AC"/>
    <w:rsid w:val="006415B5"/>
    <w:rsid w:val="00641760"/>
    <w:rsid w:val="006417D3"/>
    <w:rsid w:val="006418AE"/>
    <w:rsid w:val="00641C71"/>
    <w:rsid w:val="00641E6A"/>
    <w:rsid w:val="0064207B"/>
    <w:rsid w:val="006422CA"/>
    <w:rsid w:val="006428DF"/>
    <w:rsid w:val="00643292"/>
    <w:rsid w:val="006438D3"/>
    <w:rsid w:val="006438DA"/>
    <w:rsid w:val="00643A5B"/>
    <w:rsid w:val="00643B34"/>
    <w:rsid w:val="00644627"/>
    <w:rsid w:val="006448E6"/>
    <w:rsid w:val="006456E9"/>
    <w:rsid w:val="00645A28"/>
    <w:rsid w:val="00646061"/>
    <w:rsid w:val="006460A5"/>
    <w:rsid w:val="00646510"/>
    <w:rsid w:val="00647B0B"/>
    <w:rsid w:val="00647B8A"/>
    <w:rsid w:val="00647BD9"/>
    <w:rsid w:val="00650701"/>
    <w:rsid w:val="00650F4D"/>
    <w:rsid w:val="0065119D"/>
    <w:rsid w:val="0065126A"/>
    <w:rsid w:val="006514E8"/>
    <w:rsid w:val="00651935"/>
    <w:rsid w:val="00651944"/>
    <w:rsid w:val="00651B40"/>
    <w:rsid w:val="0065204C"/>
    <w:rsid w:val="00652339"/>
    <w:rsid w:val="006527AD"/>
    <w:rsid w:val="006527D4"/>
    <w:rsid w:val="00652DFE"/>
    <w:rsid w:val="00653343"/>
    <w:rsid w:val="006539A7"/>
    <w:rsid w:val="00654086"/>
    <w:rsid w:val="00654328"/>
    <w:rsid w:val="006548FB"/>
    <w:rsid w:val="00654CB1"/>
    <w:rsid w:val="0065516B"/>
    <w:rsid w:val="006551EA"/>
    <w:rsid w:val="006578A0"/>
    <w:rsid w:val="00657EBA"/>
    <w:rsid w:val="00657FD1"/>
    <w:rsid w:val="006600F4"/>
    <w:rsid w:val="006601C3"/>
    <w:rsid w:val="00660632"/>
    <w:rsid w:val="00660C22"/>
    <w:rsid w:val="00661B4F"/>
    <w:rsid w:val="00661DA8"/>
    <w:rsid w:val="00662A55"/>
    <w:rsid w:val="00663BF4"/>
    <w:rsid w:val="00663CE8"/>
    <w:rsid w:val="006643B9"/>
    <w:rsid w:val="00665079"/>
    <w:rsid w:val="0066564D"/>
    <w:rsid w:val="0066568A"/>
    <w:rsid w:val="00665863"/>
    <w:rsid w:val="0066593E"/>
    <w:rsid w:val="00665E75"/>
    <w:rsid w:val="00665FF3"/>
    <w:rsid w:val="006660A1"/>
    <w:rsid w:val="006660BB"/>
    <w:rsid w:val="0066626F"/>
    <w:rsid w:val="006671D9"/>
    <w:rsid w:val="0066787C"/>
    <w:rsid w:val="00667D3F"/>
    <w:rsid w:val="00671228"/>
    <w:rsid w:val="0067133C"/>
    <w:rsid w:val="00671942"/>
    <w:rsid w:val="0067244C"/>
    <w:rsid w:val="006729B0"/>
    <w:rsid w:val="00672DC1"/>
    <w:rsid w:val="00674067"/>
    <w:rsid w:val="0067464F"/>
    <w:rsid w:val="00674860"/>
    <w:rsid w:val="00674AB6"/>
    <w:rsid w:val="00674ABB"/>
    <w:rsid w:val="00674BEC"/>
    <w:rsid w:val="00675427"/>
    <w:rsid w:val="006760D9"/>
    <w:rsid w:val="006765BA"/>
    <w:rsid w:val="006767DB"/>
    <w:rsid w:val="00676A2C"/>
    <w:rsid w:val="00676B0B"/>
    <w:rsid w:val="00677028"/>
    <w:rsid w:val="00677B9C"/>
    <w:rsid w:val="0068099C"/>
    <w:rsid w:val="00680CDB"/>
    <w:rsid w:val="00681663"/>
    <w:rsid w:val="00681A45"/>
    <w:rsid w:val="006822FD"/>
    <w:rsid w:val="006829F9"/>
    <w:rsid w:val="00682D3C"/>
    <w:rsid w:val="006846AC"/>
    <w:rsid w:val="0068473F"/>
    <w:rsid w:val="00685298"/>
    <w:rsid w:val="00685719"/>
    <w:rsid w:val="00685FCD"/>
    <w:rsid w:val="0068691F"/>
    <w:rsid w:val="00686AED"/>
    <w:rsid w:val="0068707F"/>
    <w:rsid w:val="0068751A"/>
    <w:rsid w:val="0068776C"/>
    <w:rsid w:val="00690413"/>
    <w:rsid w:val="00690DF1"/>
    <w:rsid w:val="00690F0F"/>
    <w:rsid w:val="00692BB3"/>
    <w:rsid w:val="00692EE4"/>
    <w:rsid w:val="00693897"/>
    <w:rsid w:val="00693EF1"/>
    <w:rsid w:val="00694010"/>
    <w:rsid w:val="00694F54"/>
    <w:rsid w:val="006952EA"/>
    <w:rsid w:val="006955F7"/>
    <w:rsid w:val="006963DD"/>
    <w:rsid w:val="00696FFC"/>
    <w:rsid w:val="00697D47"/>
    <w:rsid w:val="006A005D"/>
    <w:rsid w:val="006A0F15"/>
    <w:rsid w:val="006A1537"/>
    <w:rsid w:val="006A16A8"/>
    <w:rsid w:val="006A27D0"/>
    <w:rsid w:val="006A302D"/>
    <w:rsid w:val="006A3E24"/>
    <w:rsid w:val="006A5478"/>
    <w:rsid w:val="006A556C"/>
    <w:rsid w:val="006A6DFA"/>
    <w:rsid w:val="006A71CB"/>
    <w:rsid w:val="006A7244"/>
    <w:rsid w:val="006A7FDC"/>
    <w:rsid w:val="006B0058"/>
    <w:rsid w:val="006B132A"/>
    <w:rsid w:val="006B19A6"/>
    <w:rsid w:val="006B1A1C"/>
    <w:rsid w:val="006B3070"/>
    <w:rsid w:val="006B32BC"/>
    <w:rsid w:val="006B365E"/>
    <w:rsid w:val="006B4874"/>
    <w:rsid w:val="006B5E01"/>
    <w:rsid w:val="006B61E5"/>
    <w:rsid w:val="006B6798"/>
    <w:rsid w:val="006B6A42"/>
    <w:rsid w:val="006B7441"/>
    <w:rsid w:val="006C03B4"/>
    <w:rsid w:val="006C0501"/>
    <w:rsid w:val="006C148C"/>
    <w:rsid w:val="006C1714"/>
    <w:rsid w:val="006C1CD0"/>
    <w:rsid w:val="006C231F"/>
    <w:rsid w:val="006C2A10"/>
    <w:rsid w:val="006C2A73"/>
    <w:rsid w:val="006C2B52"/>
    <w:rsid w:val="006C428B"/>
    <w:rsid w:val="006C4DBC"/>
    <w:rsid w:val="006C4F45"/>
    <w:rsid w:val="006C5913"/>
    <w:rsid w:val="006C5FD7"/>
    <w:rsid w:val="006C62B3"/>
    <w:rsid w:val="006C6650"/>
    <w:rsid w:val="006C73CC"/>
    <w:rsid w:val="006C7CBF"/>
    <w:rsid w:val="006D02E6"/>
    <w:rsid w:val="006D0971"/>
    <w:rsid w:val="006D0A3E"/>
    <w:rsid w:val="006D0CEE"/>
    <w:rsid w:val="006D35F2"/>
    <w:rsid w:val="006D4062"/>
    <w:rsid w:val="006D4606"/>
    <w:rsid w:val="006D5647"/>
    <w:rsid w:val="006D5B8F"/>
    <w:rsid w:val="006D5D50"/>
    <w:rsid w:val="006D6249"/>
    <w:rsid w:val="006D64F0"/>
    <w:rsid w:val="006D66AA"/>
    <w:rsid w:val="006E0945"/>
    <w:rsid w:val="006E0BA8"/>
    <w:rsid w:val="006E0F6B"/>
    <w:rsid w:val="006E14BD"/>
    <w:rsid w:val="006E15C1"/>
    <w:rsid w:val="006E1920"/>
    <w:rsid w:val="006E1D50"/>
    <w:rsid w:val="006E1D88"/>
    <w:rsid w:val="006E2355"/>
    <w:rsid w:val="006E2514"/>
    <w:rsid w:val="006E267B"/>
    <w:rsid w:val="006E3197"/>
    <w:rsid w:val="006E3A98"/>
    <w:rsid w:val="006E40DA"/>
    <w:rsid w:val="006E45BC"/>
    <w:rsid w:val="006E5432"/>
    <w:rsid w:val="006E5675"/>
    <w:rsid w:val="006E587D"/>
    <w:rsid w:val="006E595B"/>
    <w:rsid w:val="006E59CC"/>
    <w:rsid w:val="006E6E51"/>
    <w:rsid w:val="006E7822"/>
    <w:rsid w:val="006E78A7"/>
    <w:rsid w:val="006E7BE9"/>
    <w:rsid w:val="006F03C7"/>
    <w:rsid w:val="006F043F"/>
    <w:rsid w:val="006F0968"/>
    <w:rsid w:val="006F0F96"/>
    <w:rsid w:val="006F16D7"/>
    <w:rsid w:val="006F1758"/>
    <w:rsid w:val="006F1998"/>
    <w:rsid w:val="006F2C12"/>
    <w:rsid w:val="006F418F"/>
    <w:rsid w:val="006F4512"/>
    <w:rsid w:val="006F4B79"/>
    <w:rsid w:val="006F5715"/>
    <w:rsid w:val="006F626A"/>
    <w:rsid w:val="006F7366"/>
    <w:rsid w:val="006F7479"/>
    <w:rsid w:val="0070007F"/>
    <w:rsid w:val="00700CC2"/>
    <w:rsid w:val="00701DC6"/>
    <w:rsid w:val="00701FF8"/>
    <w:rsid w:val="007021F2"/>
    <w:rsid w:val="007031DC"/>
    <w:rsid w:val="00703BF0"/>
    <w:rsid w:val="0070709E"/>
    <w:rsid w:val="007103E0"/>
    <w:rsid w:val="007105F7"/>
    <w:rsid w:val="007108BD"/>
    <w:rsid w:val="0071108B"/>
    <w:rsid w:val="007125D1"/>
    <w:rsid w:val="007128BB"/>
    <w:rsid w:val="00714963"/>
    <w:rsid w:val="00714B5F"/>
    <w:rsid w:val="00714F48"/>
    <w:rsid w:val="00715507"/>
    <w:rsid w:val="0071587B"/>
    <w:rsid w:val="00715B42"/>
    <w:rsid w:val="00716640"/>
    <w:rsid w:val="00716666"/>
    <w:rsid w:val="00717EF8"/>
    <w:rsid w:val="007202CF"/>
    <w:rsid w:val="007202E7"/>
    <w:rsid w:val="007206E9"/>
    <w:rsid w:val="007218FA"/>
    <w:rsid w:val="007221C7"/>
    <w:rsid w:val="00722400"/>
    <w:rsid w:val="0072269F"/>
    <w:rsid w:val="00722B1A"/>
    <w:rsid w:val="00723531"/>
    <w:rsid w:val="00723AFD"/>
    <w:rsid w:val="00724F8C"/>
    <w:rsid w:val="00725FA9"/>
    <w:rsid w:val="0072613F"/>
    <w:rsid w:val="00726B9A"/>
    <w:rsid w:val="00726F1E"/>
    <w:rsid w:val="00727687"/>
    <w:rsid w:val="00727803"/>
    <w:rsid w:val="007307FA"/>
    <w:rsid w:val="00730C6C"/>
    <w:rsid w:val="00731AB0"/>
    <w:rsid w:val="00731B38"/>
    <w:rsid w:val="00731BD8"/>
    <w:rsid w:val="00732236"/>
    <w:rsid w:val="00732989"/>
    <w:rsid w:val="00732DBC"/>
    <w:rsid w:val="00733BCF"/>
    <w:rsid w:val="00734105"/>
    <w:rsid w:val="00734579"/>
    <w:rsid w:val="00734CD0"/>
    <w:rsid w:val="00735007"/>
    <w:rsid w:val="00735856"/>
    <w:rsid w:val="007361DB"/>
    <w:rsid w:val="00736348"/>
    <w:rsid w:val="007365E4"/>
    <w:rsid w:val="00737406"/>
    <w:rsid w:val="0073780C"/>
    <w:rsid w:val="00737DF2"/>
    <w:rsid w:val="007404FE"/>
    <w:rsid w:val="00740735"/>
    <w:rsid w:val="00740A59"/>
    <w:rsid w:val="00741509"/>
    <w:rsid w:val="00741A26"/>
    <w:rsid w:val="0074371F"/>
    <w:rsid w:val="00743FAD"/>
    <w:rsid w:val="0074401D"/>
    <w:rsid w:val="007441F3"/>
    <w:rsid w:val="00744902"/>
    <w:rsid w:val="007453B5"/>
    <w:rsid w:val="0074564B"/>
    <w:rsid w:val="007463A8"/>
    <w:rsid w:val="00746DB4"/>
    <w:rsid w:val="0074723C"/>
    <w:rsid w:val="0074736B"/>
    <w:rsid w:val="00747EA5"/>
    <w:rsid w:val="0075046B"/>
    <w:rsid w:val="007506A6"/>
    <w:rsid w:val="00750F85"/>
    <w:rsid w:val="007515D1"/>
    <w:rsid w:val="00754922"/>
    <w:rsid w:val="00754DC6"/>
    <w:rsid w:val="00755182"/>
    <w:rsid w:val="00755A6D"/>
    <w:rsid w:val="007564B7"/>
    <w:rsid w:val="00756A07"/>
    <w:rsid w:val="00756B46"/>
    <w:rsid w:val="00756D61"/>
    <w:rsid w:val="00757C24"/>
    <w:rsid w:val="00760997"/>
    <w:rsid w:val="007609F8"/>
    <w:rsid w:val="00760AD3"/>
    <w:rsid w:val="00760E55"/>
    <w:rsid w:val="00761087"/>
    <w:rsid w:val="007613C5"/>
    <w:rsid w:val="00761C83"/>
    <w:rsid w:val="00762043"/>
    <w:rsid w:val="00762327"/>
    <w:rsid w:val="00762EB6"/>
    <w:rsid w:val="00763C4C"/>
    <w:rsid w:val="00765B52"/>
    <w:rsid w:val="00765CB1"/>
    <w:rsid w:val="00766C53"/>
    <w:rsid w:val="00767666"/>
    <w:rsid w:val="00767EA0"/>
    <w:rsid w:val="00770146"/>
    <w:rsid w:val="0077069F"/>
    <w:rsid w:val="00770782"/>
    <w:rsid w:val="00770977"/>
    <w:rsid w:val="00771471"/>
    <w:rsid w:val="007714F8"/>
    <w:rsid w:val="007717F4"/>
    <w:rsid w:val="00771A46"/>
    <w:rsid w:val="00771D29"/>
    <w:rsid w:val="00772B55"/>
    <w:rsid w:val="00772D3A"/>
    <w:rsid w:val="00772E58"/>
    <w:rsid w:val="007730A6"/>
    <w:rsid w:val="00773561"/>
    <w:rsid w:val="00773BF9"/>
    <w:rsid w:val="0077436D"/>
    <w:rsid w:val="00774731"/>
    <w:rsid w:val="007755F3"/>
    <w:rsid w:val="00775C22"/>
    <w:rsid w:val="00775E9A"/>
    <w:rsid w:val="007766CD"/>
    <w:rsid w:val="00776752"/>
    <w:rsid w:val="00776F7F"/>
    <w:rsid w:val="007772D1"/>
    <w:rsid w:val="007808D2"/>
    <w:rsid w:val="0078112C"/>
    <w:rsid w:val="007813E0"/>
    <w:rsid w:val="00781A8D"/>
    <w:rsid w:val="007821A6"/>
    <w:rsid w:val="00783E9F"/>
    <w:rsid w:val="007844C0"/>
    <w:rsid w:val="00784E4D"/>
    <w:rsid w:val="00785939"/>
    <w:rsid w:val="0078594A"/>
    <w:rsid w:val="00786ED2"/>
    <w:rsid w:val="007873BD"/>
    <w:rsid w:val="00787462"/>
    <w:rsid w:val="00787464"/>
    <w:rsid w:val="007876D8"/>
    <w:rsid w:val="00790BA6"/>
    <w:rsid w:val="00790D67"/>
    <w:rsid w:val="007917DE"/>
    <w:rsid w:val="00792073"/>
    <w:rsid w:val="00792B14"/>
    <w:rsid w:val="00792E23"/>
    <w:rsid w:val="00793112"/>
    <w:rsid w:val="00793618"/>
    <w:rsid w:val="00794D7F"/>
    <w:rsid w:val="00795071"/>
    <w:rsid w:val="007950A1"/>
    <w:rsid w:val="00795364"/>
    <w:rsid w:val="007962F5"/>
    <w:rsid w:val="00796984"/>
    <w:rsid w:val="007976A8"/>
    <w:rsid w:val="00797923"/>
    <w:rsid w:val="00797E82"/>
    <w:rsid w:val="007A043F"/>
    <w:rsid w:val="007A0C9F"/>
    <w:rsid w:val="007A1F2D"/>
    <w:rsid w:val="007A2921"/>
    <w:rsid w:val="007A3654"/>
    <w:rsid w:val="007A3EFF"/>
    <w:rsid w:val="007A3F38"/>
    <w:rsid w:val="007A4713"/>
    <w:rsid w:val="007A51CB"/>
    <w:rsid w:val="007A5981"/>
    <w:rsid w:val="007A5A91"/>
    <w:rsid w:val="007A67DB"/>
    <w:rsid w:val="007A6BB4"/>
    <w:rsid w:val="007A6FCD"/>
    <w:rsid w:val="007A7EAC"/>
    <w:rsid w:val="007B075E"/>
    <w:rsid w:val="007B13A6"/>
    <w:rsid w:val="007B1410"/>
    <w:rsid w:val="007B290F"/>
    <w:rsid w:val="007B2F7A"/>
    <w:rsid w:val="007B35B1"/>
    <w:rsid w:val="007B3AEF"/>
    <w:rsid w:val="007B3B38"/>
    <w:rsid w:val="007B3BF4"/>
    <w:rsid w:val="007B3FEE"/>
    <w:rsid w:val="007B428E"/>
    <w:rsid w:val="007B4728"/>
    <w:rsid w:val="007B4B70"/>
    <w:rsid w:val="007B4C8F"/>
    <w:rsid w:val="007B573C"/>
    <w:rsid w:val="007B60EE"/>
    <w:rsid w:val="007B7A7F"/>
    <w:rsid w:val="007C0240"/>
    <w:rsid w:val="007C0678"/>
    <w:rsid w:val="007C16E4"/>
    <w:rsid w:val="007C1930"/>
    <w:rsid w:val="007C207C"/>
    <w:rsid w:val="007C2222"/>
    <w:rsid w:val="007C26B1"/>
    <w:rsid w:val="007C270C"/>
    <w:rsid w:val="007C2F61"/>
    <w:rsid w:val="007C319C"/>
    <w:rsid w:val="007C3210"/>
    <w:rsid w:val="007C379B"/>
    <w:rsid w:val="007C3992"/>
    <w:rsid w:val="007C4591"/>
    <w:rsid w:val="007C4EC0"/>
    <w:rsid w:val="007C51C6"/>
    <w:rsid w:val="007C535F"/>
    <w:rsid w:val="007C74E5"/>
    <w:rsid w:val="007D0BF3"/>
    <w:rsid w:val="007D1122"/>
    <w:rsid w:val="007D2D14"/>
    <w:rsid w:val="007D30D9"/>
    <w:rsid w:val="007D35E1"/>
    <w:rsid w:val="007D3852"/>
    <w:rsid w:val="007D4BD4"/>
    <w:rsid w:val="007D4FF9"/>
    <w:rsid w:val="007D5536"/>
    <w:rsid w:val="007D5B0E"/>
    <w:rsid w:val="007D60F4"/>
    <w:rsid w:val="007D664C"/>
    <w:rsid w:val="007D6B51"/>
    <w:rsid w:val="007D740D"/>
    <w:rsid w:val="007D78D6"/>
    <w:rsid w:val="007D7AEC"/>
    <w:rsid w:val="007D7D0C"/>
    <w:rsid w:val="007D7DEC"/>
    <w:rsid w:val="007D7EDC"/>
    <w:rsid w:val="007E0065"/>
    <w:rsid w:val="007E0641"/>
    <w:rsid w:val="007E09C7"/>
    <w:rsid w:val="007E0EC8"/>
    <w:rsid w:val="007E0ED8"/>
    <w:rsid w:val="007E1719"/>
    <w:rsid w:val="007E1821"/>
    <w:rsid w:val="007E1888"/>
    <w:rsid w:val="007E190C"/>
    <w:rsid w:val="007E1D88"/>
    <w:rsid w:val="007E2933"/>
    <w:rsid w:val="007E2D51"/>
    <w:rsid w:val="007E354C"/>
    <w:rsid w:val="007E399A"/>
    <w:rsid w:val="007E3C71"/>
    <w:rsid w:val="007E5701"/>
    <w:rsid w:val="007E5BC0"/>
    <w:rsid w:val="007E60F5"/>
    <w:rsid w:val="007E63CD"/>
    <w:rsid w:val="007E6527"/>
    <w:rsid w:val="007E6699"/>
    <w:rsid w:val="007E7182"/>
    <w:rsid w:val="007E744A"/>
    <w:rsid w:val="007E7651"/>
    <w:rsid w:val="007E7AC8"/>
    <w:rsid w:val="007F07AF"/>
    <w:rsid w:val="007F0BF4"/>
    <w:rsid w:val="007F0D7C"/>
    <w:rsid w:val="007F1AC3"/>
    <w:rsid w:val="007F204E"/>
    <w:rsid w:val="007F2DF3"/>
    <w:rsid w:val="007F2FC6"/>
    <w:rsid w:val="007F39E1"/>
    <w:rsid w:val="007F428C"/>
    <w:rsid w:val="007F461F"/>
    <w:rsid w:val="007F49E4"/>
    <w:rsid w:val="007F4E7B"/>
    <w:rsid w:val="007F5C5A"/>
    <w:rsid w:val="007F699A"/>
    <w:rsid w:val="007F74C9"/>
    <w:rsid w:val="008001E9"/>
    <w:rsid w:val="00800472"/>
    <w:rsid w:val="00800774"/>
    <w:rsid w:val="00801A19"/>
    <w:rsid w:val="008038F7"/>
    <w:rsid w:val="008043FC"/>
    <w:rsid w:val="0080487E"/>
    <w:rsid w:val="00805566"/>
    <w:rsid w:val="008056CA"/>
    <w:rsid w:val="00805E18"/>
    <w:rsid w:val="00806186"/>
    <w:rsid w:val="008079D9"/>
    <w:rsid w:val="008106D3"/>
    <w:rsid w:val="008121CC"/>
    <w:rsid w:val="0081227B"/>
    <w:rsid w:val="0081246C"/>
    <w:rsid w:val="008125AB"/>
    <w:rsid w:val="00812AEF"/>
    <w:rsid w:val="00812C2E"/>
    <w:rsid w:val="0081389F"/>
    <w:rsid w:val="00813FD4"/>
    <w:rsid w:val="0081471E"/>
    <w:rsid w:val="00814EAD"/>
    <w:rsid w:val="008156C0"/>
    <w:rsid w:val="008159FD"/>
    <w:rsid w:val="00815ACE"/>
    <w:rsid w:val="00815F43"/>
    <w:rsid w:val="00816A25"/>
    <w:rsid w:val="00816CD4"/>
    <w:rsid w:val="00817749"/>
    <w:rsid w:val="00817B9E"/>
    <w:rsid w:val="00817CE0"/>
    <w:rsid w:val="00820425"/>
    <w:rsid w:val="008204A7"/>
    <w:rsid w:val="00821292"/>
    <w:rsid w:val="00821662"/>
    <w:rsid w:val="00821BD4"/>
    <w:rsid w:val="00821EEF"/>
    <w:rsid w:val="00822B13"/>
    <w:rsid w:val="00823E50"/>
    <w:rsid w:val="00824569"/>
    <w:rsid w:val="00824B8E"/>
    <w:rsid w:val="00824D36"/>
    <w:rsid w:val="008250C8"/>
    <w:rsid w:val="008259A8"/>
    <w:rsid w:val="00825B7F"/>
    <w:rsid w:val="00826294"/>
    <w:rsid w:val="00826FB4"/>
    <w:rsid w:val="0082785D"/>
    <w:rsid w:val="0083059C"/>
    <w:rsid w:val="00830E6E"/>
    <w:rsid w:val="00831929"/>
    <w:rsid w:val="00831E44"/>
    <w:rsid w:val="00832073"/>
    <w:rsid w:val="00832125"/>
    <w:rsid w:val="00832F23"/>
    <w:rsid w:val="00832F58"/>
    <w:rsid w:val="00833CB0"/>
    <w:rsid w:val="00833E5D"/>
    <w:rsid w:val="008340D0"/>
    <w:rsid w:val="00834453"/>
    <w:rsid w:val="00834582"/>
    <w:rsid w:val="0083479F"/>
    <w:rsid w:val="0083485A"/>
    <w:rsid w:val="0083488E"/>
    <w:rsid w:val="00834AB1"/>
    <w:rsid w:val="00834B37"/>
    <w:rsid w:val="00834D8E"/>
    <w:rsid w:val="00835570"/>
    <w:rsid w:val="0083570D"/>
    <w:rsid w:val="00835D21"/>
    <w:rsid w:val="0083621A"/>
    <w:rsid w:val="008365B6"/>
    <w:rsid w:val="00837050"/>
    <w:rsid w:val="008400BF"/>
    <w:rsid w:val="008400CE"/>
    <w:rsid w:val="008400EA"/>
    <w:rsid w:val="00840D7E"/>
    <w:rsid w:val="00840EB9"/>
    <w:rsid w:val="00840EC2"/>
    <w:rsid w:val="008419E5"/>
    <w:rsid w:val="008427E2"/>
    <w:rsid w:val="00842A89"/>
    <w:rsid w:val="00843164"/>
    <w:rsid w:val="008434F0"/>
    <w:rsid w:val="00843851"/>
    <w:rsid w:val="00844A64"/>
    <w:rsid w:val="008452FC"/>
    <w:rsid w:val="0084592F"/>
    <w:rsid w:val="008465A5"/>
    <w:rsid w:val="008478E2"/>
    <w:rsid w:val="00847CFA"/>
    <w:rsid w:val="00850367"/>
    <w:rsid w:val="00850707"/>
    <w:rsid w:val="00851537"/>
    <w:rsid w:val="00851571"/>
    <w:rsid w:val="00851F2B"/>
    <w:rsid w:val="00852194"/>
    <w:rsid w:val="0085255F"/>
    <w:rsid w:val="008530F1"/>
    <w:rsid w:val="0085334A"/>
    <w:rsid w:val="008536FA"/>
    <w:rsid w:val="008539D7"/>
    <w:rsid w:val="00853B36"/>
    <w:rsid w:val="00853C2A"/>
    <w:rsid w:val="00854597"/>
    <w:rsid w:val="00854848"/>
    <w:rsid w:val="00854C98"/>
    <w:rsid w:val="00854FF8"/>
    <w:rsid w:val="00855E39"/>
    <w:rsid w:val="00855FDA"/>
    <w:rsid w:val="00856666"/>
    <w:rsid w:val="0085762B"/>
    <w:rsid w:val="0086009E"/>
    <w:rsid w:val="00860467"/>
    <w:rsid w:val="00861377"/>
    <w:rsid w:val="00863951"/>
    <w:rsid w:val="00863F2F"/>
    <w:rsid w:val="00864834"/>
    <w:rsid w:val="00865B00"/>
    <w:rsid w:val="00865C5C"/>
    <w:rsid w:val="008661BE"/>
    <w:rsid w:val="008667E1"/>
    <w:rsid w:val="00867254"/>
    <w:rsid w:val="0086736A"/>
    <w:rsid w:val="00867785"/>
    <w:rsid w:val="008678A0"/>
    <w:rsid w:val="00867DD9"/>
    <w:rsid w:val="00870FC8"/>
    <w:rsid w:val="008712B5"/>
    <w:rsid w:val="0087143E"/>
    <w:rsid w:val="00871AF9"/>
    <w:rsid w:val="00872894"/>
    <w:rsid w:val="00872991"/>
    <w:rsid w:val="00872EE4"/>
    <w:rsid w:val="00873A1A"/>
    <w:rsid w:val="0087426F"/>
    <w:rsid w:val="00874556"/>
    <w:rsid w:val="008749B1"/>
    <w:rsid w:val="00874C56"/>
    <w:rsid w:val="00874CEA"/>
    <w:rsid w:val="00875198"/>
    <w:rsid w:val="0087569C"/>
    <w:rsid w:val="00875AB2"/>
    <w:rsid w:val="00875F26"/>
    <w:rsid w:val="008763AB"/>
    <w:rsid w:val="00876598"/>
    <w:rsid w:val="00877192"/>
    <w:rsid w:val="008774A6"/>
    <w:rsid w:val="008779C7"/>
    <w:rsid w:val="00880A9F"/>
    <w:rsid w:val="00881A00"/>
    <w:rsid w:val="00881A67"/>
    <w:rsid w:val="008830BF"/>
    <w:rsid w:val="0088310E"/>
    <w:rsid w:val="00883F0B"/>
    <w:rsid w:val="008843B2"/>
    <w:rsid w:val="00884873"/>
    <w:rsid w:val="00884906"/>
    <w:rsid w:val="00884A28"/>
    <w:rsid w:val="00884BD5"/>
    <w:rsid w:val="00884E3E"/>
    <w:rsid w:val="00885F40"/>
    <w:rsid w:val="00886967"/>
    <w:rsid w:val="00886B6C"/>
    <w:rsid w:val="0088719F"/>
    <w:rsid w:val="00887965"/>
    <w:rsid w:val="00887A76"/>
    <w:rsid w:val="00890BFF"/>
    <w:rsid w:val="00890C2F"/>
    <w:rsid w:val="0089129D"/>
    <w:rsid w:val="00891302"/>
    <w:rsid w:val="00891D55"/>
    <w:rsid w:val="0089228F"/>
    <w:rsid w:val="00892574"/>
    <w:rsid w:val="00892754"/>
    <w:rsid w:val="008929C9"/>
    <w:rsid w:val="00892B59"/>
    <w:rsid w:val="00893822"/>
    <w:rsid w:val="00893830"/>
    <w:rsid w:val="00893C7D"/>
    <w:rsid w:val="008945D0"/>
    <w:rsid w:val="0089460D"/>
    <w:rsid w:val="00895103"/>
    <w:rsid w:val="008955DB"/>
    <w:rsid w:val="00896363"/>
    <w:rsid w:val="00896426"/>
    <w:rsid w:val="00897909"/>
    <w:rsid w:val="00897D04"/>
    <w:rsid w:val="008A0DD3"/>
    <w:rsid w:val="008A1262"/>
    <w:rsid w:val="008A1275"/>
    <w:rsid w:val="008A1ACB"/>
    <w:rsid w:val="008A1BD7"/>
    <w:rsid w:val="008A1FDF"/>
    <w:rsid w:val="008A253E"/>
    <w:rsid w:val="008A2C23"/>
    <w:rsid w:val="008A2FA6"/>
    <w:rsid w:val="008A3B29"/>
    <w:rsid w:val="008A3CDA"/>
    <w:rsid w:val="008A43D3"/>
    <w:rsid w:val="008A50D7"/>
    <w:rsid w:val="008A522A"/>
    <w:rsid w:val="008A5A9E"/>
    <w:rsid w:val="008A622D"/>
    <w:rsid w:val="008A7062"/>
    <w:rsid w:val="008B0291"/>
    <w:rsid w:val="008B0772"/>
    <w:rsid w:val="008B0B22"/>
    <w:rsid w:val="008B0F71"/>
    <w:rsid w:val="008B1BDF"/>
    <w:rsid w:val="008B28E6"/>
    <w:rsid w:val="008B33F5"/>
    <w:rsid w:val="008B35CC"/>
    <w:rsid w:val="008B46A1"/>
    <w:rsid w:val="008B5236"/>
    <w:rsid w:val="008B598A"/>
    <w:rsid w:val="008B6738"/>
    <w:rsid w:val="008B69B8"/>
    <w:rsid w:val="008B6A18"/>
    <w:rsid w:val="008B71E8"/>
    <w:rsid w:val="008B7B37"/>
    <w:rsid w:val="008C0087"/>
    <w:rsid w:val="008C01F0"/>
    <w:rsid w:val="008C06CE"/>
    <w:rsid w:val="008C155C"/>
    <w:rsid w:val="008C15F9"/>
    <w:rsid w:val="008C1A15"/>
    <w:rsid w:val="008C21CD"/>
    <w:rsid w:val="008C2553"/>
    <w:rsid w:val="008C3025"/>
    <w:rsid w:val="008C3BE2"/>
    <w:rsid w:val="008C3BF2"/>
    <w:rsid w:val="008C4644"/>
    <w:rsid w:val="008C51C2"/>
    <w:rsid w:val="008C53EA"/>
    <w:rsid w:val="008C586B"/>
    <w:rsid w:val="008C586F"/>
    <w:rsid w:val="008C59E8"/>
    <w:rsid w:val="008C5DEF"/>
    <w:rsid w:val="008C6A9D"/>
    <w:rsid w:val="008C70CA"/>
    <w:rsid w:val="008C7424"/>
    <w:rsid w:val="008C74FF"/>
    <w:rsid w:val="008C7886"/>
    <w:rsid w:val="008C7D3F"/>
    <w:rsid w:val="008D0022"/>
    <w:rsid w:val="008D1429"/>
    <w:rsid w:val="008D1933"/>
    <w:rsid w:val="008D194D"/>
    <w:rsid w:val="008D1AFB"/>
    <w:rsid w:val="008D211D"/>
    <w:rsid w:val="008D242C"/>
    <w:rsid w:val="008D2A96"/>
    <w:rsid w:val="008D3A1D"/>
    <w:rsid w:val="008D4840"/>
    <w:rsid w:val="008D4E16"/>
    <w:rsid w:val="008D5691"/>
    <w:rsid w:val="008D5AFE"/>
    <w:rsid w:val="008D648E"/>
    <w:rsid w:val="008D704C"/>
    <w:rsid w:val="008D7EBD"/>
    <w:rsid w:val="008E14CB"/>
    <w:rsid w:val="008E227C"/>
    <w:rsid w:val="008E2FA8"/>
    <w:rsid w:val="008E3B40"/>
    <w:rsid w:val="008E4227"/>
    <w:rsid w:val="008E4308"/>
    <w:rsid w:val="008E4D1B"/>
    <w:rsid w:val="008E4EBC"/>
    <w:rsid w:val="008E509D"/>
    <w:rsid w:val="008E54A6"/>
    <w:rsid w:val="008E5A19"/>
    <w:rsid w:val="008E65BB"/>
    <w:rsid w:val="008E6DB3"/>
    <w:rsid w:val="008E75D8"/>
    <w:rsid w:val="008E7912"/>
    <w:rsid w:val="008F05A2"/>
    <w:rsid w:val="008F1BA9"/>
    <w:rsid w:val="008F1BD4"/>
    <w:rsid w:val="008F22C1"/>
    <w:rsid w:val="008F25EE"/>
    <w:rsid w:val="008F2C10"/>
    <w:rsid w:val="008F2E0D"/>
    <w:rsid w:val="008F3528"/>
    <w:rsid w:val="008F3662"/>
    <w:rsid w:val="008F369F"/>
    <w:rsid w:val="008F45AC"/>
    <w:rsid w:val="008F46CF"/>
    <w:rsid w:val="008F4D09"/>
    <w:rsid w:val="008F4DE4"/>
    <w:rsid w:val="008F6123"/>
    <w:rsid w:val="008F61D0"/>
    <w:rsid w:val="008F76B8"/>
    <w:rsid w:val="008F7DE9"/>
    <w:rsid w:val="0090043E"/>
    <w:rsid w:val="0090071C"/>
    <w:rsid w:val="0090082B"/>
    <w:rsid w:val="0090088B"/>
    <w:rsid w:val="00901686"/>
    <w:rsid w:val="009016BC"/>
    <w:rsid w:val="00901F8D"/>
    <w:rsid w:val="00902848"/>
    <w:rsid w:val="00902E57"/>
    <w:rsid w:val="00903303"/>
    <w:rsid w:val="0090403A"/>
    <w:rsid w:val="009043F9"/>
    <w:rsid w:val="009045CE"/>
    <w:rsid w:val="00904AD9"/>
    <w:rsid w:val="0090527D"/>
    <w:rsid w:val="00906C57"/>
    <w:rsid w:val="00906D46"/>
    <w:rsid w:val="0090728D"/>
    <w:rsid w:val="00907A15"/>
    <w:rsid w:val="009100B9"/>
    <w:rsid w:val="009103B3"/>
    <w:rsid w:val="00911560"/>
    <w:rsid w:val="0091163A"/>
    <w:rsid w:val="009119E1"/>
    <w:rsid w:val="00912A4D"/>
    <w:rsid w:val="00912D9E"/>
    <w:rsid w:val="00913559"/>
    <w:rsid w:val="00913713"/>
    <w:rsid w:val="00913B48"/>
    <w:rsid w:val="009146C3"/>
    <w:rsid w:val="0091564D"/>
    <w:rsid w:val="009163E7"/>
    <w:rsid w:val="00916651"/>
    <w:rsid w:val="00916CF9"/>
    <w:rsid w:val="00916F4F"/>
    <w:rsid w:val="00917021"/>
    <w:rsid w:val="009175F4"/>
    <w:rsid w:val="00917C68"/>
    <w:rsid w:val="009204D8"/>
    <w:rsid w:val="00920506"/>
    <w:rsid w:val="00920BD8"/>
    <w:rsid w:val="0092109E"/>
    <w:rsid w:val="009216AC"/>
    <w:rsid w:val="00922A57"/>
    <w:rsid w:val="00922AEF"/>
    <w:rsid w:val="00922E99"/>
    <w:rsid w:val="0092303E"/>
    <w:rsid w:val="0092318B"/>
    <w:rsid w:val="0092343D"/>
    <w:rsid w:val="009236D0"/>
    <w:rsid w:val="00923748"/>
    <w:rsid w:val="009238CF"/>
    <w:rsid w:val="00924708"/>
    <w:rsid w:val="00924CCD"/>
    <w:rsid w:val="0092512F"/>
    <w:rsid w:val="0092538A"/>
    <w:rsid w:val="009256E2"/>
    <w:rsid w:val="00925F67"/>
    <w:rsid w:val="009265B1"/>
    <w:rsid w:val="009268A3"/>
    <w:rsid w:val="00926AAE"/>
    <w:rsid w:val="009273D6"/>
    <w:rsid w:val="009312E8"/>
    <w:rsid w:val="00931E16"/>
    <w:rsid w:val="00931EB1"/>
    <w:rsid w:val="009323DD"/>
    <w:rsid w:val="009327CF"/>
    <w:rsid w:val="00932C5E"/>
    <w:rsid w:val="009330F0"/>
    <w:rsid w:val="009337E1"/>
    <w:rsid w:val="00933FE8"/>
    <w:rsid w:val="00934726"/>
    <w:rsid w:val="00934EFB"/>
    <w:rsid w:val="0093516E"/>
    <w:rsid w:val="009355FE"/>
    <w:rsid w:val="00935601"/>
    <w:rsid w:val="00937193"/>
    <w:rsid w:val="00937325"/>
    <w:rsid w:val="009373C5"/>
    <w:rsid w:val="00937E17"/>
    <w:rsid w:val="009417F1"/>
    <w:rsid w:val="00941AA8"/>
    <w:rsid w:val="00942100"/>
    <w:rsid w:val="009421A8"/>
    <w:rsid w:val="009429D0"/>
    <w:rsid w:val="00943DAC"/>
    <w:rsid w:val="00943F4E"/>
    <w:rsid w:val="00944070"/>
    <w:rsid w:val="009455CD"/>
    <w:rsid w:val="0094595B"/>
    <w:rsid w:val="00946710"/>
    <w:rsid w:val="00947035"/>
    <w:rsid w:val="009475DF"/>
    <w:rsid w:val="00947E94"/>
    <w:rsid w:val="0095026E"/>
    <w:rsid w:val="0095060C"/>
    <w:rsid w:val="00950AEB"/>
    <w:rsid w:val="00950B18"/>
    <w:rsid w:val="00950B63"/>
    <w:rsid w:val="00950E9A"/>
    <w:rsid w:val="00951456"/>
    <w:rsid w:val="009514B7"/>
    <w:rsid w:val="009519B9"/>
    <w:rsid w:val="00952190"/>
    <w:rsid w:val="0095249F"/>
    <w:rsid w:val="00952AA5"/>
    <w:rsid w:val="00952DDA"/>
    <w:rsid w:val="00953028"/>
    <w:rsid w:val="0095318A"/>
    <w:rsid w:val="00953B37"/>
    <w:rsid w:val="009541AA"/>
    <w:rsid w:val="009548B4"/>
    <w:rsid w:val="00955BD1"/>
    <w:rsid w:val="0095611E"/>
    <w:rsid w:val="00956887"/>
    <w:rsid w:val="0095734E"/>
    <w:rsid w:val="00957DB6"/>
    <w:rsid w:val="00960FF0"/>
    <w:rsid w:val="00961144"/>
    <w:rsid w:val="00961908"/>
    <w:rsid w:val="00961A1B"/>
    <w:rsid w:val="00961B56"/>
    <w:rsid w:val="00961F36"/>
    <w:rsid w:val="00962B27"/>
    <w:rsid w:val="00963609"/>
    <w:rsid w:val="0096377A"/>
    <w:rsid w:val="00963C43"/>
    <w:rsid w:val="00965190"/>
    <w:rsid w:val="00966842"/>
    <w:rsid w:val="00966947"/>
    <w:rsid w:val="009669F3"/>
    <w:rsid w:val="00966A23"/>
    <w:rsid w:val="00966ECA"/>
    <w:rsid w:val="009670F2"/>
    <w:rsid w:val="00967B64"/>
    <w:rsid w:val="009701CD"/>
    <w:rsid w:val="009703BA"/>
    <w:rsid w:val="00972621"/>
    <w:rsid w:val="009731EE"/>
    <w:rsid w:val="00973D03"/>
    <w:rsid w:val="0097436A"/>
    <w:rsid w:val="00974C0A"/>
    <w:rsid w:val="00974ED3"/>
    <w:rsid w:val="009750B2"/>
    <w:rsid w:val="00975110"/>
    <w:rsid w:val="0097515C"/>
    <w:rsid w:val="0097570F"/>
    <w:rsid w:val="00975755"/>
    <w:rsid w:val="009757EB"/>
    <w:rsid w:val="00975ABE"/>
    <w:rsid w:val="009809FB"/>
    <w:rsid w:val="00980BC1"/>
    <w:rsid w:val="00981BDA"/>
    <w:rsid w:val="00982ABE"/>
    <w:rsid w:val="00982BE1"/>
    <w:rsid w:val="009831B2"/>
    <w:rsid w:val="00983206"/>
    <w:rsid w:val="00983D49"/>
    <w:rsid w:val="00984403"/>
    <w:rsid w:val="0098442F"/>
    <w:rsid w:val="00985420"/>
    <w:rsid w:val="0098584C"/>
    <w:rsid w:val="00985B5B"/>
    <w:rsid w:val="00985E00"/>
    <w:rsid w:val="009866B7"/>
    <w:rsid w:val="00986797"/>
    <w:rsid w:val="00986A0B"/>
    <w:rsid w:val="009874B5"/>
    <w:rsid w:val="00987A7B"/>
    <w:rsid w:val="009903A1"/>
    <w:rsid w:val="00990636"/>
    <w:rsid w:val="00990E13"/>
    <w:rsid w:val="00991922"/>
    <w:rsid w:val="00991CCA"/>
    <w:rsid w:val="00991F91"/>
    <w:rsid w:val="00992DED"/>
    <w:rsid w:val="009931FB"/>
    <w:rsid w:val="00993786"/>
    <w:rsid w:val="009938AC"/>
    <w:rsid w:val="00993ACE"/>
    <w:rsid w:val="00993B13"/>
    <w:rsid w:val="0099491F"/>
    <w:rsid w:val="00995365"/>
    <w:rsid w:val="009954B7"/>
    <w:rsid w:val="009960F0"/>
    <w:rsid w:val="009967BA"/>
    <w:rsid w:val="00996D80"/>
    <w:rsid w:val="00996DFC"/>
    <w:rsid w:val="00997081"/>
    <w:rsid w:val="00997136"/>
    <w:rsid w:val="00997639"/>
    <w:rsid w:val="009A0D08"/>
    <w:rsid w:val="009A0F40"/>
    <w:rsid w:val="009A12A7"/>
    <w:rsid w:val="009A1A1B"/>
    <w:rsid w:val="009A2688"/>
    <w:rsid w:val="009A3012"/>
    <w:rsid w:val="009A34A2"/>
    <w:rsid w:val="009A3FBA"/>
    <w:rsid w:val="009A4210"/>
    <w:rsid w:val="009A454B"/>
    <w:rsid w:val="009A47DC"/>
    <w:rsid w:val="009A4FCC"/>
    <w:rsid w:val="009A50B5"/>
    <w:rsid w:val="009A6A96"/>
    <w:rsid w:val="009A6BE6"/>
    <w:rsid w:val="009A6D8B"/>
    <w:rsid w:val="009A6E6D"/>
    <w:rsid w:val="009A70F6"/>
    <w:rsid w:val="009A7F0D"/>
    <w:rsid w:val="009B150E"/>
    <w:rsid w:val="009B16B8"/>
    <w:rsid w:val="009B2587"/>
    <w:rsid w:val="009B38E7"/>
    <w:rsid w:val="009B45C2"/>
    <w:rsid w:val="009B5790"/>
    <w:rsid w:val="009B57F4"/>
    <w:rsid w:val="009B5A08"/>
    <w:rsid w:val="009B5D2E"/>
    <w:rsid w:val="009B5D63"/>
    <w:rsid w:val="009B5E58"/>
    <w:rsid w:val="009B6344"/>
    <w:rsid w:val="009B6D4A"/>
    <w:rsid w:val="009B754C"/>
    <w:rsid w:val="009B7B08"/>
    <w:rsid w:val="009B7E4F"/>
    <w:rsid w:val="009C08AE"/>
    <w:rsid w:val="009C0BE6"/>
    <w:rsid w:val="009C10E4"/>
    <w:rsid w:val="009C110B"/>
    <w:rsid w:val="009C19CD"/>
    <w:rsid w:val="009C238C"/>
    <w:rsid w:val="009C2569"/>
    <w:rsid w:val="009C2BB8"/>
    <w:rsid w:val="009C3397"/>
    <w:rsid w:val="009C33FF"/>
    <w:rsid w:val="009C4018"/>
    <w:rsid w:val="009C42E4"/>
    <w:rsid w:val="009C4488"/>
    <w:rsid w:val="009C4F11"/>
    <w:rsid w:val="009C59C6"/>
    <w:rsid w:val="009C62CB"/>
    <w:rsid w:val="009C6856"/>
    <w:rsid w:val="009C6B71"/>
    <w:rsid w:val="009C7077"/>
    <w:rsid w:val="009C71AD"/>
    <w:rsid w:val="009D0062"/>
    <w:rsid w:val="009D20D2"/>
    <w:rsid w:val="009D3AF7"/>
    <w:rsid w:val="009D3BB2"/>
    <w:rsid w:val="009D4483"/>
    <w:rsid w:val="009D485A"/>
    <w:rsid w:val="009D5383"/>
    <w:rsid w:val="009D6CE5"/>
    <w:rsid w:val="009D713F"/>
    <w:rsid w:val="009D776C"/>
    <w:rsid w:val="009D79AA"/>
    <w:rsid w:val="009E06B2"/>
    <w:rsid w:val="009E0E4A"/>
    <w:rsid w:val="009E14FA"/>
    <w:rsid w:val="009E1548"/>
    <w:rsid w:val="009E2117"/>
    <w:rsid w:val="009E3669"/>
    <w:rsid w:val="009E40E5"/>
    <w:rsid w:val="009E5242"/>
    <w:rsid w:val="009E5293"/>
    <w:rsid w:val="009E58D7"/>
    <w:rsid w:val="009E5C0E"/>
    <w:rsid w:val="009E60F8"/>
    <w:rsid w:val="009E6CE2"/>
    <w:rsid w:val="009E7062"/>
    <w:rsid w:val="009E7789"/>
    <w:rsid w:val="009E77E6"/>
    <w:rsid w:val="009E7AC3"/>
    <w:rsid w:val="009E7CFD"/>
    <w:rsid w:val="009E7F7A"/>
    <w:rsid w:val="009F10FF"/>
    <w:rsid w:val="009F1260"/>
    <w:rsid w:val="009F1533"/>
    <w:rsid w:val="009F1A60"/>
    <w:rsid w:val="009F1FDA"/>
    <w:rsid w:val="009F25E3"/>
    <w:rsid w:val="009F2FBE"/>
    <w:rsid w:val="009F43A6"/>
    <w:rsid w:val="009F5500"/>
    <w:rsid w:val="009F5EEF"/>
    <w:rsid w:val="009F5FB6"/>
    <w:rsid w:val="009F650B"/>
    <w:rsid w:val="009F7777"/>
    <w:rsid w:val="009F7B8F"/>
    <w:rsid w:val="00A00119"/>
    <w:rsid w:val="00A005F1"/>
    <w:rsid w:val="00A0171F"/>
    <w:rsid w:val="00A01CD7"/>
    <w:rsid w:val="00A02229"/>
    <w:rsid w:val="00A030D2"/>
    <w:rsid w:val="00A034AA"/>
    <w:rsid w:val="00A034F7"/>
    <w:rsid w:val="00A04CA3"/>
    <w:rsid w:val="00A04E86"/>
    <w:rsid w:val="00A0514B"/>
    <w:rsid w:val="00A0576C"/>
    <w:rsid w:val="00A05D33"/>
    <w:rsid w:val="00A05EDC"/>
    <w:rsid w:val="00A07125"/>
    <w:rsid w:val="00A07A2D"/>
    <w:rsid w:val="00A07A5A"/>
    <w:rsid w:val="00A07B55"/>
    <w:rsid w:val="00A100FD"/>
    <w:rsid w:val="00A10778"/>
    <w:rsid w:val="00A107F0"/>
    <w:rsid w:val="00A11194"/>
    <w:rsid w:val="00A114A4"/>
    <w:rsid w:val="00A117ED"/>
    <w:rsid w:val="00A118D8"/>
    <w:rsid w:val="00A11A18"/>
    <w:rsid w:val="00A11A30"/>
    <w:rsid w:val="00A12431"/>
    <w:rsid w:val="00A12AEA"/>
    <w:rsid w:val="00A12E56"/>
    <w:rsid w:val="00A13068"/>
    <w:rsid w:val="00A131DE"/>
    <w:rsid w:val="00A13466"/>
    <w:rsid w:val="00A13B2A"/>
    <w:rsid w:val="00A14881"/>
    <w:rsid w:val="00A14890"/>
    <w:rsid w:val="00A155E6"/>
    <w:rsid w:val="00A16304"/>
    <w:rsid w:val="00A1632B"/>
    <w:rsid w:val="00A16A02"/>
    <w:rsid w:val="00A16CA7"/>
    <w:rsid w:val="00A173A9"/>
    <w:rsid w:val="00A173C2"/>
    <w:rsid w:val="00A17551"/>
    <w:rsid w:val="00A20799"/>
    <w:rsid w:val="00A209AC"/>
    <w:rsid w:val="00A20EE6"/>
    <w:rsid w:val="00A214F1"/>
    <w:rsid w:val="00A22168"/>
    <w:rsid w:val="00A22B39"/>
    <w:rsid w:val="00A23D1D"/>
    <w:rsid w:val="00A23F2C"/>
    <w:rsid w:val="00A2411F"/>
    <w:rsid w:val="00A242EB"/>
    <w:rsid w:val="00A24DF4"/>
    <w:rsid w:val="00A2511D"/>
    <w:rsid w:val="00A25196"/>
    <w:rsid w:val="00A252CD"/>
    <w:rsid w:val="00A2622D"/>
    <w:rsid w:val="00A26334"/>
    <w:rsid w:val="00A270D6"/>
    <w:rsid w:val="00A27118"/>
    <w:rsid w:val="00A2744D"/>
    <w:rsid w:val="00A2773E"/>
    <w:rsid w:val="00A3021A"/>
    <w:rsid w:val="00A302EE"/>
    <w:rsid w:val="00A304C4"/>
    <w:rsid w:val="00A31079"/>
    <w:rsid w:val="00A3171D"/>
    <w:rsid w:val="00A318D4"/>
    <w:rsid w:val="00A32A19"/>
    <w:rsid w:val="00A34060"/>
    <w:rsid w:val="00A34AAE"/>
    <w:rsid w:val="00A34B90"/>
    <w:rsid w:val="00A35790"/>
    <w:rsid w:val="00A3622A"/>
    <w:rsid w:val="00A363A4"/>
    <w:rsid w:val="00A36934"/>
    <w:rsid w:val="00A36BE1"/>
    <w:rsid w:val="00A379C0"/>
    <w:rsid w:val="00A37F4A"/>
    <w:rsid w:val="00A402EB"/>
    <w:rsid w:val="00A40ED8"/>
    <w:rsid w:val="00A4165D"/>
    <w:rsid w:val="00A4204C"/>
    <w:rsid w:val="00A42BDF"/>
    <w:rsid w:val="00A43577"/>
    <w:rsid w:val="00A437A7"/>
    <w:rsid w:val="00A43BA6"/>
    <w:rsid w:val="00A43F9B"/>
    <w:rsid w:val="00A44050"/>
    <w:rsid w:val="00A4407D"/>
    <w:rsid w:val="00A440B5"/>
    <w:rsid w:val="00A444CF"/>
    <w:rsid w:val="00A44D08"/>
    <w:rsid w:val="00A44E27"/>
    <w:rsid w:val="00A46704"/>
    <w:rsid w:val="00A46A3A"/>
    <w:rsid w:val="00A47E5E"/>
    <w:rsid w:val="00A508FF"/>
    <w:rsid w:val="00A5093E"/>
    <w:rsid w:val="00A51148"/>
    <w:rsid w:val="00A51191"/>
    <w:rsid w:val="00A5392C"/>
    <w:rsid w:val="00A53A52"/>
    <w:rsid w:val="00A54667"/>
    <w:rsid w:val="00A54E11"/>
    <w:rsid w:val="00A54F59"/>
    <w:rsid w:val="00A55D30"/>
    <w:rsid w:val="00A5672C"/>
    <w:rsid w:val="00A57F70"/>
    <w:rsid w:val="00A6003D"/>
    <w:rsid w:val="00A604C8"/>
    <w:rsid w:val="00A60DB3"/>
    <w:rsid w:val="00A61C22"/>
    <w:rsid w:val="00A61DE6"/>
    <w:rsid w:val="00A62430"/>
    <w:rsid w:val="00A63198"/>
    <w:rsid w:val="00A635A1"/>
    <w:rsid w:val="00A6373D"/>
    <w:rsid w:val="00A63A53"/>
    <w:rsid w:val="00A63EC2"/>
    <w:rsid w:val="00A645F0"/>
    <w:rsid w:val="00A646D9"/>
    <w:rsid w:val="00A64D6A"/>
    <w:rsid w:val="00A652AC"/>
    <w:rsid w:val="00A652BD"/>
    <w:rsid w:val="00A664E7"/>
    <w:rsid w:val="00A66558"/>
    <w:rsid w:val="00A6688D"/>
    <w:rsid w:val="00A668C9"/>
    <w:rsid w:val="00A67662"/>
    <w:rsid w:val="00A678FA"/>
    <w:rsid w:val="00A679BC"/>
    <w:rsid w:val="00A679F8"/>
    <w:rsid w:val="00A67AC3"/>
    <w:rsid w:val="00A700D1"/>
    <w:rsid w:val="00A70DBD"/>
    <w:rsid w:val="00A70E67"/>
    <w:rsid w:val="00A70ED9"/>
    <w:rsid w:val="00A70F2E"/>
    <w:rsid w:val="00A71DBB"/>
    <w:rsid w:val="00A722DF"/>
    <w:rsid w:val="00A7281F"/>
    <w:rsid w:val="00A72B00"/>
    <w:rsid w:val="00A73287"/>
    <w:rsid w:val="00A736E7"/>
    <w:rsid w:val="00A73D5B"/>
    <w:rsid w:val="00A748D6"/>
    <w:rsid w:val="00A754B9"/>
    <w:rsid w:val="00A7551F"/>
    <w:rsid w:val="00A75B17"/>
    <w:rsid w:val="00A76103"/>
    <w:rsid w:val="00A7615A"/>
    <w:rsid w:val="00A7671C"/>
    <w:rsid w:val="00A77044"/>
    <w:rsid w:val="00A774CB"/>
    <w:rsid w:val="00A778D9"/>
    <w:rsid w:val="00A77CB5"/>
    <w:rsid w:val="00A801E3"/>
    <w:rsid w:val="00A8044E"/>
    <w:rsid w:val="00A8049E"/>
    <w:rsid w:val="00A810C9"/>
    <w:rsid w:val="00A811DE"/>
    <w:rsid w:val="00A814BC"/>
    <w:rsid w:val="00A82145"/>
    <w:rsid w:val="00A821F9"/>
    <w:rsid w:val="00A823E6"/>
    <w:rsid w:val="00A824B9"/>
    <w:rsid w:val="00A829CF"/>
    <w:rsid w:val="00A839D2"/>
    <w:rsid w:val="00A84093"/>
    <w:rsid w:val="00A8458D"/>
    <w:rsid w:val="00A849A4"/>
    <w:rsid w:val="00A84A31"/>
    <w:rsid w:val="00A853AE"/>
    <w:rsid w:val="00A85B1D"/>
    <w:rsid w:val="00A85D80"/>
    <w:rsid w:val="00A906AB"/>
    <w:rsid w:val="00A90FF3"/>
    <w:rsid w:val="00A914AA"/>
    <w:rsid w:val="00A921C8"/>
    <w:rsid w:val="00A925B7"/>
    <w:rsid w:val="00A9262A"/>
    <w:rsid w:val="00A927C9"/>
    <w:rsid w:val="00A92CEC"/>
    <w:rsid w:val="00A9461F"/>
    <w:rsid w:val="00A94AA5"/>
    <w:rsid w:val="00A955FC"/>
    <w:rsid w:val="00A958CD"/>
    <w:rsid w:val="00A958E3"/>
    <w:rsid w:val="00A95AA3"/>
    <w:rsid w:val="00A95D8B"/>
    <w:rsid w:val="00A974ED"/>
    <w:rsid w:val="00A97748"/>
    <w:rsid w:val="00A97E94"/>
    <w:rsid w:val="00A97ED8"/>
    <w:rsid w:val="00AA018B"/>
    <w:rsid w:val="00AA01A8"/>
    <w:rsid w:val="00AA0766"/>
    <w:rsid w:val="00AA09EB"/>
    <w:rsid w:val="00AA1974"/>
    <w:rsid w:val="00AA1CED"/>
    <w:rsid w:val="00AA2050"/>
    <w:rsid w:val="00AA29AD"/>
    <w:rsid w:val="00AA2D53"/>
    <w:rsid w:val="00AA313D"/>
    <w:rsid w:val="00AA3266"/>
    <w:rsid w:val="00AA35C7"/>
    <w:rsid w:val="00AA3840"/>
    <w:rsid w:val="00AA42CE"/>
    <w:rsid w:val="00AA4B99"/>
    <w:rsid w:val="00AA4D9C"/>
    <w:rsid w:val="00AA5666"/>
    <w:rsid w:val="00AA5A18"/>
    <w:rsid w:val="00AA5C9E"/>
    <w:rsid w:val="00AA5F05"/>
    <w:rsid w:val="00AA6C01"/>
    <w:rsid w:val="00AA727A"/>
    <w:rsid w:val="00AA7579"/>
    <w:rsid w:val="00AA7B9F"/>
    <w:rsid w:val="00AB04B5"/>
    <w:rsid w:val="00AB054D"/>
    <w:rsid w:val="00AB074E"/>
    <w:rsid w:val="00AB0D11"/>
    <w:rsid w:val="00AB1592"/>
    <w:rsid w:val="00AB1EB0"/>
    <w:rsid w:val="00AB2248"/>
    <w:rsid w:val="00AB2397"/>
    <w:rsid w:val="00AB26E2"/>
    <w:rsid w:val="00AB2D65"/>
    <w:rsid w:val="00AB2E14"/>
    <w:rsid w:val="00AB35D3"/>
    <w:rsid w:val="00AB4236"/>
    <w:rsid w:val="00AB4C31"/>
    <w:rsid w:val="00AB5878"/>
    <w:rsid w:val="00AB6737"/>
    <w:rsid w:val="00AB6A6D"/>
    <w:rsid w:val="00AB6D8C"/>
    <w:rsid w:val="00AB7678"/>
    <w:rsid w:val="00AC01CB"/>
    <w:rsid w:val="00AC04BF"/>
    <w:rsid w:val="00AC0F12"/>
    <w:rsid w:val="00AC118F"/>
    <w:rsid w:val="00AC2559"/>
    <w:rsid w:val="00AC3325"/>
    <w:rsid w:val="00AC3638"/>
    <w:rsid w:val="00AC36CD"/>
    <w:rsid w:val="00AC3A25"/>
    <w:rsid w:val="00AC4820"/>
    <w:rsid w:val="00AC50A3"/>
    <w:rsid w:val="00AC564C"/>
    <w:rsid w:val="00AC5B34"/>
    <w:rsid w:val="00AC5E4C"/>
    <w:rsid w:val="00AC6015"/>
    <w:rsid w:val="00AC79C9"/>
    <w:rsid w:val="00AC7BE6"/>
    <w:rsid w:val="00AC7CD5"/>
    <w:rsid w:val="00AC7F01"/>
    <w:rsid w:val="00AD03DF"/>
    <w:rsid w:val="00AD051E"/>
    <w:rsid w:val="00AD092E"/>
    <w:rsid w:val="00AD0A3A"/>
    <w:rsid w:val="00AD0AA6"/>
    <w:rsid w:val="00AD18F1"/>
    <w:rsid w:val="00AD1FA7"/>
    <w:rsid w:val="00AD2D25"/>
    <w:rsid w:val="00AD3230"/>
    <w:rsid w:val="00AD3DD5"/>
    <w:rsid w:val="00AD48FC"/>
    <w:rsid w:val="00AD56BD"/>
    <w:rsid w:val="00AD58B2"/>
    <w:rsid w:val="00AD5F30"/>
    <w:rsid w:val="00AD5F33"/>
    <w:rsid w:val="00AD6564"/>
    <w:rsid w:val="00AD6B12"/>
    <w:rsid w:val="00AD6FAB"/>
    <w:rsid w:val="00AD7D6E"/>
    <w:rsid w:val="00AD7E36"/>
    <w:rsid w:val="00AE038F"/>
    <w:rsid w:val="00AE05C1"/>
    <w:rsid w:val="00AE0F51"/>
    <w:rsid w:val="00AE1857"/>
    <w:rsid w:val="00AE198F"/>
    <w:rsid w:val="00AE1D03"/>
    <w:rsid w:val="00AE2054"/>
    <w:rsid w:val="00AE251D"/>
    <w:rsid w:val="00AE2CCD"/>
    <w:rsid w:val="00AE2F56"/>
    <w:rsid w:val="00AE3286"/>
    <w:rsid w:val="00AE3A77"/>
    <w:rsid w:val="00AE4580"/>
    <w:rsid w:val="00AE490B"/>
    <w:rsid w:val="00AE5E30"/>
    <w:rsid w:val="00AE619F"/>
    <w:rsid w:val="00AE63AA"/>
    <w:rsid w:val="00AE75CB"/>
    <w:rsid w:val="00AE773B"/>
    <w:rsid w:val="00AE77F2"/>
    <w:rsid w:val="00AE7F4D"/>
    <w:rsid w:val="00AF0083"/>
    <w:rsid w:val="00AF0178"/>
    <w:rsid w:val="00AF0335"/>
    <w:rsid w:val="00AF03C7"/>
    <w:rsid w:val="00AF0787"/>
    <w:rsid w:val="00AF0BCC"/>
    <w:rsid w:val="00AF0C13"/>
    <w:rsid w:val="00AF1810"/>
    <w:rsid w:val="00AF18DA"/>
    <w:rsid w:val="00AF235F"/>
    <w:rsid w:val="00AF42A2"/>
    <w:rsid w:val="00AF4675"/>
    <w:rsid w:val="00AF54DA"/>
    <w:rsid w:val="00AF55F6"/>
    <w:rsid w:val="00AF58F9"/>
    <w:rsid w:val="00AF5C17"/>
    <w:rsid w:val="00AF5DFF"/>
    <w:rsid w:val="00AF663F"/>
    <w:rsid w:val="00AF7BE3"/>
    <w:rsid w:val="00AF7DF3"/>
    <w:rsid w:val="00B002E2"/>
    <w:rsid w:val="00B003CD"/>
    <w:rsid w:val="00B0111C"/>
    <w:rsid w:val="00B01651"/>
    <w:rsid w:val="00B01934"/>
    <w:rsid w:val="00B01B00"/>
    <w:rsid w:val="00B0378E"/>
    <w:rsid w:val="00B03AD8"/>
    <w:rsid w:val="00B03E6A"/>
    <w:rsid w:val="00B0454B"/>
    <w:rsid w:val="00B04DAA"/>
    <w:rsid w:val="00B054A1"/>
    <w:rsid w:val="00B055D7"/>
    <w:rsid w:val="00B05B54"/>
    <w:rsid w:val="00B062B6"/>
    <w:rsid w:val="00B06666"/>
    <w:rsid w:val="00B0669D"/>
    <w:rsid w:val="00B06A68"/>
    <w:rsid w:val="00B06C8F"/>
    <w:rsid w:val="00B06FE9"/>
    <w:rsid w:val="00B0714E"/>
    <w:rsid w:val="00B071B4"/>
    <w:rsid w:val="00B07FF8"/>
    <w:rsid w:val="00B115A3"/>
    <w:rsid w:val="00B116A3"/>
    <w:rsid w:val="00B11F35"/>
    <w:rsid w:val="00B121D5"/>
    <w:rsid w:val="00B123CB"/>
    <w:rsid w:val="00B1260C"/>
    <w:rsid w:val="00B127B1"/>
    <w:rsid w:val="00B12F67"/>
    <w:rsid w:val="00B13170"/>
    <w:rsid w:val="00B1318A"/>
    <w:rsid w:val="00B13966"/>
    <w:rsid w:val="00B1543D"/>
    <w:rsid w:val="00B15A00"/>
    <w:rsid w:val="00B15AA3"/>
    <w:rsid w:val="00B160D4"/>
    <w:rsid w:val="00B17BFC"/>
    <w:rsid w:val="00B20389"/>
    <w:rsid w:val="00B20E28"/>
    <w:rsid w:val="00B222FA"/>
    <w:rsid w:val="00B223FC"/>
    <w:rsid w:val="00B2315D"/>
    <w:rsid w:val="00B233C9"/>
    <w:rsid w:val="00B2348C"/>
    <w:rsid w:val="00B23AC8"/>
    <w:rsid w:val="00B240F0"/>
    <w:rsid w:val="00B2472D"/>
    <w:rsid w:val="00B24D26"/>
    <w:rsid w:val="00B24EE4"/>
    <w:rsid w:val="00B25036"/>
    <w:rsid w:val="00B2561E"/>
    <w:rsid w:val="00B256B1"/>
    <w:rsid w:val="00B25A60"/>
    <w:rsid w:val="00B25C60"/>
    <w:rsid w:val="00B26E8B"/>
    <w:rsid w:val="00B26EA1"/>
    <w:rsid w:val="00B27040"/>
    <w:rsid w:val="00B27D75"/>
    <w:rsid w:val="00B27EA1"/>
    <w:rsid w:val="00B304B3"/>
    <w:rsid w:val="00B306E5"/>
    <w:rsid w:val="00B30BC7"/>
    <w:rsid w:val="00B3187A"/>
    <w:rsid w:val="00B31A73"/>
    <w:rsid w:val="00B32242"/>
    <w:rsid w:val="00B3253C"/>
    <w:rsid w:val="00B32B7E"/>
    <w:rsid w:val="00B330FF"/>
    <w:rsid w:val="00B335F9"/>
    <w:rsid w:val="00B33C70"/>
    <w:rsid w:val="00B33CCA"/>
    <w:rsid w:val="00B34638"/>
    <w:rsid w:val="00B3470E"/>
    <w:rsid w:val="00B34E16"/>
    <w:rsid w:val="00B34EC7"/>
    <w:rsid w:val="00B34FC2"/>
    <w:rsid w:val="00B35A84"/>
    <w:rsid w:val="00B36399"/>
    <w:rsid w:val="00B40414"/>
    <w:rsid w:val="00B40465"/>
    <w:rsid w:val="00B40989"/>
    <w:rsid w:val="00B40F62"/>
    <w:rsid w:val="00B41717"/>
    <w:rsid w:val="00B41863"/>
    <w:rsid w:val="00B431BE"/>
    <w:rsid w:val="00B43930"/>
    <w:rsid w:val="00B43CBC"/>
    <w:rsid w:val="00B43DD2"/>
    <w:rsid w:val="00B43FBF"/>
    <w:rsid w:val="00B443FF"/>
    <w:rsid w:val="00B4551C"/>
    <w:rsid w:val="00B45617"/>
    <w:rsid w:val="00B456DC"/>
    <w:rsid w:val="00B4679A"/>
    <w:rsid w:val="00B47727"/>
    <w:rsid w:val="00B507A3"/>
    <w:rsid w:val="00B50998"/>
    <w:rsid w:val="00B50A74"/>
    <w:rsid w:val="00B50D04"/>
    <w:rsid w:val="00B50D61"/>
    <w:rsid w:val="00B513DB"/>
    <w:rsid w:val="00B52CFB"/>
    <w:rsid w:val="00B53071"/>
    <w:rsid w:val="00B5325B"/>
    <w:rsid w:val="00B54F46"/>
    <w:rsid w:val="00B555A1"/>
    <w:rsid w:val="00B55EFF"/>
    <w:rsid w:val="00B564B4"/>
    <w:rsid w:val="00B57B2D"/>
    <w:rsid w:val="00B57BDF"/>
    <w:rsid w:val="00B57D8C"/>
    <w:rsid w:val="00B57DFA"/>
    <w:rsid w:val="00B60A6E"/>
    <w:rsid w:val="00B610B2"/>
    <w:rsid w:val="00B61236"/>
    <w:rsid w:val="00B61386"/>
    <w:rsid w:val="00B61B64"/>
    <w:rsid w:val="00B629AE"/>
    <w:rsid w:val="00B6331B"/>
    <w:rsid w:val="00B63343"/>
    <w:rsid w:val="00B64550"/>
    <w:rsid w:val="00B64A05"/>
    <w:rsid w:val="00B64BB2"/>
    <w:rsid w:val="00B64EB8"/>
    <w:rsid w:val="00B6508F"/>
    <w:rsid w:val="00B650FA"/>
    <w:rsid w:val="00B654D7"/>
    <w:rsid w:val="00B6572C"/>
    <w:rsid w:val="00B658AD"/>
    <w:rsid w:val="00B66287"/>
    <w:rsid w:val="00B671A3"/>
    <w:rsid w:val="00B672EA"/>
    <w:rsid w:val="00B67BA4"/>
    <w:rsid w:val="00B67CD7"/>
    <w:rsid w:val="00B7032D"/>
    <w:rsid w:val="00B709C5"/>
    <w:rsid w:val="00B71399"/>
    <w:rsid w:val="00B71AE4"/>
    <w:rsid w:val="00B71DF1"/>
    <w:rsid w:val="00B72C91"/>
    <w:rsid w:val="00B72CA0"/>
    <w:rsid w:val="00B72E6F"/>
    <w:rsid w:val="00B732D6"/>
    <w:rsid w:val="00B7375F"/>
    <w:rsid w:val="00B74BE4"/>
    <w:rsid w:val="00B751FD"/>
    <w:rsid w:val="00B75D66"/>
    <w:rsid w:val="00B7662C"/>
    <w:rsid w:val="00B768B1"/>
    <w:rsid w:val="00B77722"/>
    <w:rsid w:val="00B779F7"/>
    <w:rsid w:val="00B77AE5"/>
    <w:rsid w:val="00B80481"/>
    <w:rsid w:val="00B80711"/>
    <w:rsid w:val="00B811C9"/>
    <w:rsid w:val="00B81491"/>
    <w:rsid w:val="00B8348C"/>
    <w:rsid w:val="00B83C13"/>
    <w:rsid w:val="00B83DC9"/>
    <w:rsid w:val="00B84742"/>
    <w:rsid w:val="00B8510B"/>
    <w:rsid w:val="00B85204"/>
    <w:rsid w:val="00B853EE"/>
    <w:rsid w:val="00B85738"/>
    <w:rsid w:val="00B85C9B"/>
    <w:rsid w:val="00B862F5"/>
    <w:rsid w:val="00B86901"/>
    <w:rsid w:val="00B870B1"/>
    <w:rsid w:val="00B874E3"/>
    <w:rsid w:val="00B900E5"/>
    <w:rsid w:val="00B90A5C"/>
    <w:rsid w:val="00B90DD6"/>
    <w:rsid w:val="00B915D6"/>
    <w:rsid w:val="00B91FAD"/>
    <w:rsid w:val="00B920C8"/>
    <w:rsid w:val="00B925EB"/>
    <w:rsid w:val="00B9306A"/>
    <w:rsid w:val="00B931AE"/>
    <w:rsid w:val="00B93240"/>
    <w:rsid w:val="00B932F2"/>
    <w:rsid w:val="00B93756"/>
    <w:rsid w:val="00B93B5D"/>
    <w:rsid w:val="00B93B6F"/>
    <w:rsid w:val="00B93BBD"/>
    <w:rsid w:val="00B93C37"/>
    <w:rsid w:val="00B94023"/>
    <w:rsid w:val="00B9460A"/>
    <w:rsid w:val="00B9538A"/>
    <w:rsid w:val="00B95461"/>
    <w:rsid w:val="00B961CB"/>
    <w:rsid w:val="00B97AB8"/>
    <w:rsid w:val="00B97E60"/>
    <w:rsid w:val="00BA0768"/>
    <w:rsid w:val="00BA0845"/>
    <w:rsid w:val="00BA0B14"/>
    <w:rsid w:val="00BA107D"/>
    <w:rsid w:val="00BA10E9"/>
    <w:rsid w:val="00BA12CC"/>
    <w:rsid w:val="00BA1337"/>
    <w:rsid w:val="00BA1645"/>
    <w:rsid w:val="00BA1659"/>
    <w:rsid w:val="00BA17D3"/>
    <w:rsid w:val="00BA1951"/>
    <w:rsid w:val="00BA1F6B"/>
    <w:rsid w:val="00BA259D"/>
    <w:rsid w:val="00BA25B5"/>
    <w:rsid w:val="00BA2AA2"/>
    <w:rsid w:val="00BA3115"/>
    <w:rsid w:val="00BA3B7A"/>
    <w:rsid w:val="00BA5081"/>
    <w:rsid w:val="00BA593C"/>
    <w:rsid w:val="00BA6218"/>
    <w:rsid w:val="00BA6B5E"/>
    <w:rsid w:val="00BA6E30"/>
    <w:rsid w:val="00BA774D"/>
    <w:rsid w:val="00BA7862"/>
    <w:rsid w:val="00BB0496"/>
    <w:rsid w:val="00BB12A9"/>
    <w:rsid w:val="00BB14DB"/>
    <w:rsid w:val="00BB1B73"/>
    <w:rsid w:val="00BB1DFE"/>
    <w:rsid w:val="00BB241C"/>
    <w:rsid w:val="00BB3DF6"/>
    <w:rsid w:val="00BB65C0"/>
    <w:rsid w:val="00BB67A9"/>
    <w:rsid w:val="00BB70FC"/>
    <w:rsid w:val="00BB7B7F"/>
    <w:rsid w:val="00BC0695"/>
    <w:rsid w:val="00BC0AA6"/>
    <w:rsid w:val="00BC0E61"/>
    <w:rsid w:val="00BC24D9"/>
    <w:rsid w:val="00BC24E1"/>
    <w:rsid w:val="00BC3D8B"/>
    <w:rsid w:val="00BC6DC6"/>
    <w:rsid w:val="00BC6FD0"/>
    <w:rsid w:val="00BC7098"/>
    <w:rsid w:val="00BC7A92"/>
    <w:rsid w:val="00BD2B46"/>
    <w:rsid w:val="00BD36B2"/>
    <w:rsid w:val="00BD3848"/>
    <w:rsid w:val="00BD3D2B"/>
    <w:rsid w:val="00BD4FDD"/>
    <w:rsid w:val="00BD5748"/>
    <w:rsid w:val="00BD5AC5"/>
    <w:rsid w:val="00BD5C57"/>
    <w:rsid w:val="00BD62CA"/>
    <w:rsid w:val="00BD63C0"/>
    <w:rsid w:val="00BD6585"/>
    <w:rsid w:val="00BD6F48"/>
    <w:rsid w:val="00BD71A8"/>
    <w:rsid w:val="00BE006C"/>
    <w:rsid w:val="00BE02F5"/>
    <w:rsid w:val="00BE0713"/>
    <w:rsid w:val="00BE0BD8"/>
    <w:rsid w:val="00BE0EB6"/>
    <w:rsid w:val="00BE0F48"/>
    <w:rsid w:val="00BE0FE6"/>
    <w:rsid w:val="00BE0FEA"/>
    <w:rsid w:val="00BE1634"/>
    <w:rsid w:val="00BE199C"/>
    <w:rsid w:val="00BE1DE9"/>
    <w:rsid w:val="00BE29CA"/>
    <w:rsid w:val="00BE2D56"/>
    <w:rsid w:val="00BE2EEC"/>
    <w:rsid w:val="00BE391A"/>
    <w:rsid w:val="00BE3E61"/>
    <w:rsid w:val="00BE414C"/>
    <w:rsid w:val="00BE47F9"/>
    <w:rsid w:val="00BE4ABF"/>
    <w:rsid w:val="00BE4CAA"/>
    <w:rsid w:val="00BE4CFC"/>
    <w:rsid w:val="00BE4E93"/>
    <w:rsid w:val="00BE5662"/>
    <w:rsid w:val="00BE57E1"/>
    <w:rsid w:val="00BE6897"/>
    <w:rsid w:val="00BE744E"/>
    <w:rsid w:val="00BE77CF"/>
    <w:rsid w:val="00BE780D"/>
    <w:rsid w:val="00BE79FC"/>
    <w:rsid w:val="00BE7EAF"/>
    <w:rsid w:val="00BF0107"/>
    <w:rsid w:val="00BF0218"/>
    <w:rsid w:val="00BF028D"/>
    <w:rsid w:val="00BF1D6F"/>
    <w:rsid w:val="00BF234D"/>
    <w:rsid w:val="00BF258A"/>
    <w:rsid w:val="00BF384B"/>
    <w:rsid w:val="00BF3851"/>
    <w:rsid w:val="00BF39F2"/>
    <w:rsid w:val="00BF3E0C"/>
    <w:rsid w:val="00BF3E8E"/>
    <w:rsid w:val="00BF4317"/>
    <w:rsid w:val="00BF4739"/>
    <w:rsid w:val="00BF4DBE"/>
    <w:rsid w:val="00BF5144"/>
    <w:rsid w:val="00BF72E8"/>
    <w:rsid w:val="00BF7422"/>
    <w:rsid w:val="00C001D2"/>
    <w:rsid w:val="00C014A1"/>
    <w:rsid w:val="00C01977"/>
    <w:rsid w:val="00C01BB0"/>
    <w:rsid w:val="00C01EBE"/>
    <w:rsid w:val="00C0257A"/>
    <w:rsid w:val="00C025DB"/>
    <w:rsid w:val="00C02D22"/>
    <w:rsid w:val="00C03442"/>
    <w:rsid w:val="00C03960"/>
    <w:rsid w:val="00C039BF"/>
    <w:rsid w:val="00C04215"/>
    <w:rsid w:val="00C0453E"/>
    <w:rsid w:val="00C053D0"/>
    <w:rsid w:val="00C05FDF"/>
    <w:rsid w:val="00C064B4"/>
    <w:rsid w:val="00C064F3"/>
    <w:rsid w:val="00C07E5B"/>
    <w:rsid w:val="00C10858"/>
    <w:rsid w:val="00C10A69"/>
    <w:rsid w:val="00C11737"/>
    <w:rsid w:val="00C125FB"/>
    <w:rsid w:val="00C12895"/>
    <w:rsid w:val="00C12C24"/>
    <w:rsid w:val="00C12E66"/>
    <w:rsid w:val="00C139D8"/>
    <w:rsid w:val="00C1438B"/>
    <w:rsid w:val="00C1462F"/>
    <w:rsid w:val="00C14C5D"/>
    <w:rsid w:val="00C16135"/>
    <w:rsid w:val="00C1637C"/>
    <w:rsid w:val="00C16F40"/>
    <w:rsid w:val="00C17300"/>
    <w:rsid w:val="00C176EA"/>
    <w:rsid w:val="00C17AA7"/>
    <w:rsid w:val="00C17AB7"/>
    <w:rsid w:val="00C17B37"/>
    <w:rsid w:val="00C20158"/>
    <w:rsid w:val="00C206C5"/>
    <w:rsid w:val="00C208F5"/>
    <w:rsid w:val="00C20B5A"/>
    <w:rsid w:val="00C21035"/>
    <w:rsid w:val="00C21086"/>
    <w:rsid w:val="00C21184"/>
    <w:rsid w:val="00C21DB2"/>
    <w:rsid w:val="00C2222F"/>
    <w:rsid w:val="00C228E7"/>
    <w:rsid w:val="00C2394C"/>
    <w:rsid w:val="00C239D5"/>
    <w:rsid w:val="00C23CB3"/>
    <w:rsid w:val="00C2409C"/>
    <w:rsid w:val="00C240B1"/>
    <w:rsid w:val="00C24CE7"/>
    <w:rsid w:val="00C25D48"/>
    <w:rsid w:val="00C26484"/>
    <w:rsid w:val="00C26646"/>
    <w:rsid w:val="00C26B9E"/>
    <w:rsid w:val="00C27244"/>
    <w:rsid w:val="00C2743F"/>
    <w:rsid w:val="00C27A57"/>
    <w:rsid w:val="00C27D24"/>
    <w:rsid w:val="00C27F71"/>
    <w:rsid w:val="00C30602"/>
    <w:rsid w:val="00C3063C"/>
    <w:rsid w:val="00C30BF4"/>
    <w:rsid w:val="00C30CA8"/>
    <w:rsid w:val="00C30EFB"/>
    <w:rsid w:val="00C31156"/>
    <w:rsid w:val="00C32E4A"/>
    <w:rsid w:val="00C330A9"/>
    <w:rsid w:val="00C334E6"/>
    <w:rsid w:val="00C33B6E"/>
    <w:rsid w:val="00C342D2"/>
    <w:rsid w:val="00C345E1"/>
    <w:rsid w:val="00C349AF"/>
    <w:rsid w:val="00C3525E"/>
    <w:rsid w:val="00C35E42"/>
    <w:rsid w:val="00C36341"/>
    <w:rsid w:val="00C36560"/>
    <w:rsid w:val="00C37129"/>
    <w:rsid w:val="00C3745D"/>
    <w:rsid w:val="00C37CE4"/>
    <w:rsid w:val="00C40217"/>
    <w:rsid w:val="00C40592"/>
    <w:rsid w:val="00C40972"/>
    <w:rsid w:val="00C40F6B"/>
    <w:rsid w:val="00C416A0"/>
    <w:rsid w:val="00C428CB"/>
    <w:rsid w:val="00C42924"/>
    <w:rsid w:val="00C42D4E"/>
    <w:rsid w:val="00C43772"/>
    <w:rsid w:val="00C43FED"/>
    <w:rsid w:val="00C44201"/>
    <w:rsid w:val="00C4427C"/>
    <w:rsid w:val="00C4435B"/>
    <w:rsid w:val="00C44730"/>
    <w:rsid w:val="00C4633D"/>
    <w:rsid w:val="00C464B3"/>
    <w:rsid w:val="00C46CDC"/>
    <w:rsid w:val="00C47451"/>
    <w:rsid w:val="00C47DD1"/>
    <w:rsid w:val="00C50900"/>
    <w:rsid w:val="00C50F86"/>
    <w:rsid w:val="00C5137E"/>
    <w:rsid w:val="00C5231B"/>
    <w:rsid w:val="00C524FF"/>
    <w:rsid w:val="00C52501"/>
    <w:rsid w:val="00C52763"/>
    <w:rsid w:val="00C52A40"/>
    <w:rsid w:val="00C53231"/>
    <w:rsid w:val="00C53D54"/>
    <w:rsid w:val="00C54628"/>
    <w:rsid w:val="00C54A46"/>
    <w:rsid w:val="00C558E5"/>
    <w:rsid w:val="00C56D83"/>
    <w:rsid w:val="00C56E06"/>
    <w:rsid w:val="00C571E9"/>
    <w:rsid w:val="00C5762B"/>
    <w:rsid w:val="00C57DD5"/>
    <w:rsid w:val="00C60856"/>
    <w:rsid w:val="00C610A6"/>
    <w:rsid w:val="00C6134F"/>
    <w:rsid w:val="00C616CB"/>
    <w:rsid w:val="00C61BC1"/>
    <w:rsid w:val="00C62198"/>
    <w:rsid w:val="00C6222A"/>
    <w:rsid w:val="00C62CFB"/>
    <w:rsid w:val="00C62F08"/>
    <w:rsid w:val="00C6319F"/>
    <w:rsid w:val="00C63875"/>
    <w:rsid w:val="00C63908"/>
    <w:rsid w:val="00C63DD3"/>
    <w:rsid w:val="00C63EA8"/>
    <w:rsid w:val="00C64268"/>
    <w:rsid w:val="00C642A3"/>
    <w:rsid w:val="00C64358"/>
    <w:rsid w:val="00C64795"/>
    <w:rsid w:val="00C64D36"/>
    <w:rsid w:val="00C65BE6"/>
    <w:rsid w:val="00C660CC"/>
    <w:rsid w:val="00C67115"/>
    <w:rsid w:val="00C67337"/>
    <w:rsid w:val="00C67592"/>
    <w:rsid w:val="00C67AB0"/>
    <w:rsid w:val="00C701AB"/>
    <w:rsid w:val="00C72BCE"/>
    <w:rsid w:val="00C72E3B"/>
    <w:rsid w:val="00C73C17"/>
    <w:rsid w:val="00C740BB"/>
    <w:rsid w:val="00C74129"/>
    <w:rsid w:val="00C742D4"/>
    <w:rsid w:val="00C74C4F"/>
    <w:rsid w:val="00C753CD"/>
    <w:rsid w:val="00C755F9"/>
    <w:rsid w:val="00C75763"/>
    <w:rsid w:val="00C763FA"/>
    <w:rsid w:val="00C76A37"/>
    <w:rsid w:val="00C771C7"/>
    <w:rsid w:val="00C7748A"/>
    <w:rsid w:val="00C77A39"/>
    <w:rsid w:val="00C80011"/>
    <w:rsid w:val="00C80030"/>
    <w:rsid w:val="00C81121"/>
    <w:rsid w:val="00C82734"/>
    <w:rsid w:val="00C827C5"/>
    <w:rsid w:val="00C82880"/>
    <w:rsid w:val="00C82E9B"/>
    <w:rsid w:val="00C8427A"/>
    <w:rsid w:val="00C84725"/>
    <w:rsid w:val="00C84B30"/>
    <w:rsid w:val="00C84FA9"/>
    <w:rsid w:val="00C85357"/>
    <w:rsid w:val="00C8586B"/>
    <w:rsid w:val="00C8619D"/>
    <w:rsid w:val="00C8631B"/>
    <w:rsid w:val="00C86495"/>
    <w:rsid w:val="00C86768"/>
    <w:rsid w:val="00C868FB"/>
    <w:rsid w:val="00C86D0F"/>
    <w:rsid w:val="00C870BD"/>
    <w:rsid w:val="00C8727B"/>
    <w:rsid w:val="00C874D2"/>
    <w:rsid w:val="00C874F1"/>
    <w:rsid w:val="00C8761B"/>
    <w:rsid w:val="00C878B2"/>
    <w:rsid w:val="00C902A6"/>
    <w:rsid w:val="00C90660"/>
    <w:rsid w:val="00C914CA"/>
    <w:rsid w:val="00C92330"/>
    <w:rsid w:val="00C92700"/>
    <w:rsid w:val="00C92BEE"/>
    <w:rsid w:val="00C92E85"/>
    <w:rsid w:val="00C93154"/>
    <w:rsid w:val="00C93285"/>
    <w:rsid w:val="00C93A87"/>
    <w:rsid w:val="00C93DD5"/>
    <w:rsid w:val="00C93E4E"/>
    <w:rsid w:val="00C942A7"/>
    <w:rsid w:val="00C94C49"/>
    <w:rsid w:val="00C94CA5"/>
    <w:rsid w:val="00C95401"/>
    <w:rsid w:val="00C95494"/>
    <w:rsid w:val="00C95B29"/>
    <w:rsid w:val="00C96C60"/>
    <w:rsid w:val="00C974CA"/>
    <w:rsid w:val="00C97C42"/>
    <w:rsid w:val="00CA0020"/>
    <w:rsid w:val="00CA04B6"/>
    <w:rsid w:val="00CA0B8D"/>
    <w:rsid w:val="00CA1852"/>
    <w:rsid w:val="00CA1BC0"/>
    <w:rsid w:val="00CA249E"/>
    <w:rsid w:val="00CA2634"/>
    <w:rsid w:val="00CA2895"/>
    <w:rsid w:val="00CA4FF6"/>
    <w:rsid w:val="00CA5C04"/>
    <w:rsid w:val="00CA61A6"/>
    <w:rsid w:val="00CA6309"/>
    <w:rsid w:val="00CA6777"/>
    <w:rsid w:val="00CA7691"/>
    <w:rsid w:val="00CA7717"/>
    <w:rsid w:val="00CA7F80"/>
    <w:rsid w:val="00CB0D16"/>
    <w:rsid w:val="00CB1157"/>
    <w:rsid w:val="00CB1933"/>
    <w:rsid w:val="00CB3863"/>
    <w:rsid w:val="00CB3C58"/>
    <w:rsid w:val="00CB44D2"/>
    <w:rsid w:val="00CB45D4"/>
    <w:rsid w:val="00CB4BA7"/>
    <w:rsid w:val="00CB4DB7"/>
    <w:rsid w:val="00CB5120"/>
    <w:rsid w:val="00CB6368"/>
    <w:rsid w:val="00CB66CA"/>
    <w:rsid w:val="00CB6B98"/>
    <w:rsid w:val="00CB708E"/>
    <w:rsid w:val="00CB7150"/>
    <w:rsid w:val="00CB770F"/>
    <w:rsid w:val="00CC0F6C"/>
    <w:rsid w:val="00CC1D38"/>
    <w:rsid w:val="00CC247C"/>
    <w:rsid w:val="00CC27D2"/>
    <w:rsid w:val="00CC297D"/>
    <w:rsid w:val="00CC2A1C"/>
    <w:rsid w:val="00CC2EA1"/>
    <w:rsid w:val="00CC388F"/>
    <w:rsid w:val="00CC415F"/>
    <w:rsid w:val="00CC473D"/>
    <w:rsid w:val="00CC47B0"/>
    <w:rsid w:val="00CC4D04"/>
    <w:rsid w:val="00CC546D"/>
    <w:rsid w:val="00CC5679"/>
    <w:rsid w:val="00CC5AA3"/>
    <w:rsid w:val="00CC5AE6"/>
    <w:rsid w:val="00CC5D3A"/>
    <w:rsid w:val="00CC7AB5"/>
    <w:rsid w:val="00CC7F7F"/>
    <w:rsid w:val="00CC7FD1"/>
    <w:rsid w:val="00CD0412"/>
    <w:rsid w:val="00CD0963"/>
    <w:rsid w:val="00CD0F8A"/>
    <w:rsid w:val="00CD193C"/>
    <w:rsid w:val="00CD1EF2"/>
    <w:rsid w:val="00CD1F80"/>
    <w:rsid w:val="00CD205E"/>
    <w:rsid w:val="00CD22EA"/>
    <w:rsid w:val="00CD2E42"/>
    <w:rsid w:val="00CD3AA3"/>
    <w:rsid w:val="00CD3C6F"/>
    <w:rsid w:val="00CD551A"/>
    <w:rsid w:val="00CD5792"/>
    <w:rsid w:val="00CD583E"/>
    <w:rsid w:val="00CD5F39"/>
    <w:rsid w:val="00CD621F"/>
    <w:rsid w:val="00CD62E9"/>
    <w:rsid w:val="00CD6424"/>
    <w:rsid w:val="00CD6A35"/>
    <w:rsid w:val="00CD6EFB"/>
    <w:rsid w:val="00CD6FE3"/>
    <w:rsid w:val="00CE0AB7"/>
    <w:rsid w:val="00CE1DA1"/>
    <w:rsid w:val="00CE2997"/>
    <w:rsid w:val="00CE3303"/>
    <w:rsid w:val="00CE42DE"/>
    <w:rsid w:val="00CE4622"/>
    <w:rsid w:val="00CE50B4"/>
    <w:rsid w:val="00CE5E85"/>
    <w:rsid w:val="00CE7134"/>
    <w:rsid w:val="00CE7500"/>
    <w:rsid w:val="00CF00EC"/>
    <w:rsid w:val="00CF0B13"/>
    <w:rsid w:val="00CF0B88"/>
    <w:rsid w:val="00CF0F12"/>
    <w:rsid w:val="00CF1272"/>
    <w:rsid w:val="00CF12FD"/>
    <w:rsid w:val="00CF1924"/>
    <w:rsid w:val="00CF24BB"/>
    <w:rsid w:val="00CF2550"/>
    <w:rsid w:val="00CF2776"/>
    <w:rsid w:val="00CF2C42"/>
    <w:rsid w:val="00CF2EDA"/>
    <w:rsid w:val="00CF3B91"/>
    <w:rsid w:val="00CF3E0D"/>
    <w:rsid w:val="00CF4214"/>
    <w:rsid w:val="00CF4984"/>
    <w:rsid w:val="00CF4BD3"/>
    <w:rsid w:val="00CF5AF0"/>
    <w:rsid w:val="00CF5F5E"/>
    <w:rsid w:val="00CF6604"/>
    <w:rsid w:val="00CF67BB"/>
    <w:rsid w:val="00CF6B45"/>
    <w:rsid w:val="00CF765E"/>
    <w:rsid w:val="00D025EE"/>
    <w:rsid w:val="00D02EB1"/>
    <w:rsid w:val="00D02F27"/>
    <w:rsid w:val="00D044E0"/>
    <w:rsid w:val="00D04FE5"/>
    <w:rsid w:val="00D057CC"/>
    <w:rsid w:val="00D06283"/>
    <w:rsid w:val="00D06421"/>
    <w:rsid w:val="00D070C8"/>
    <w:rsid w:val="00D07BD5"/>
    <w:rsid w:val="00D10391"/>
    <w:rsid w:val="00D11A2A"/>
    <w:rsid w:val="00D123D9"/>
    <w:rsid w:val="00D13131"/>
    <w:rsid w:val="00D13C33"/>
    <w:rsid w:val="00D1568A"/>
    <w:rsid w:val="00D157C0"/>
    <w:rsid w:val="00D15B07"/>
    <w:rsid w:val="00D15B3D"/>
    <w:rsid w:val="00D16277"/>
    <w:rsid w:val="00D1640F"/>
    <w:rsid w:val="00D16E15"/>
    <w:rsid w:val="00D177B8"/>
    <w:rsid w:val="00D17BE6"/>
    <w:rsid w:val="00D17DEF"/>
    <w:rsid w:val="00D202E0"/>
    <w:rsid w:val="00D20D91"/>
    <w:rsid w:val="00D21364"/>
    <w:rsid w:val="00D216E4"/>
    <w:rsid w:val="00D2189C"/>
    <w:rsid w:val="00D22FC3"/>
    <w:rsid w:val="00D23007"/>
    <w:rsid w:val="00D23058"/>
    <w:rsid w:val="00D23111"/>
    <w:rsid w:val="00D233EC"/>
    <w:rsid w:val="00D24717"/>
    <w:rsid w:val="00D249C6"/>
    <w:rsid w:val="00D24F0B"/>
    <w:rsid w:val="00D25485"/>
    <w:rsid w:val="00D2599D"/>
    <w:rsid w:val="00D25A74"/>
    <w:rsid w:val="00D25C57"/>
    <w:rsid w:val="00D275CC"/>
    <w:rsid w:val="00D27D28"/>
    <w:rsid w:val="00D27FB0"/>
    <w:rsid w:val="00D30771"/>
    <w:rsid w:val="00D30BCE"/>
    <w:rsid w:val="00D32789"/>
    <w:rsid w:val="00D33388"/>
    <w:rsid w:val="00D3402E"/>
    <w:rsid w:val="00D34AA8"/>
    <w:rsid w:val="00D34FDB"/>
    <w:rsid w:val="00D3550D"/>
    <w:rsid w:val="00D35E22"/>
    <w:rsid w:val="00D36317"/>
    <w:rsid w:val="00D3668B"/>
    <w:rsid w:val="00D36FAA"/>
    <w:rsid w:val="00D407A6"/>
    <w:rsid w:val="00D40E31"/>
    <w:rsid w:val="00D41214"/>
    <w:rsid w:val="00D4154F"/>
    <w:rsid w:val="00D4306B"/>
    <w:rsid w:val="00D430C6"/>
    <w:rsid w:val="00D4328B"/>
    <w:rsid w:val="00D43ABA"/>
    <w:rsid w:val="00D44979"/>
    <w:rsid w:val="00D44C5A"/>
    <w:rsid w:val="00D44E42"/>
    <w:rsid w:val="00D44F2C"/>
    <w:rsid w:val="00D509C1"/>
    <w:rsid w:val="00D50AFF"/>
    <w:rsid w:val="00D51560"/>
    <w:rsid w:val="00D5175B"/>
    <w:rsid w:val="00D51C90"/>
    <w:rsid w:val="00D51DA8"/>
    <w:rsid w:val="00D52BA0"/>
    <w:rsid w:val="00D52CBC"/>
    <w:rsid w:val="00D52DC4"/>
    <w:rsid w:val="00D5443A"/>
    <w:rsid w:val="00D54534"/>
    <w:rsid w:val="00D55FB0"/>
    <w:rsid w:val="00D564F3"/>
    <w:rsid w:val="00D56BB6"/>
    <w:rsid w:val="00D577BE"/>
    <w:rsid w:val="00D605CF"/>
    <w:rsid w:val="00D60BD4"/>
    <w:rsid w:val="00D60DF6"/>
    <w:rsid w:val="00D6115D"/>
    <w:rsid w:val="00D624E1"/>
    <w:rsid w:val="00D62D01"/>
    <w:rsid w:val="00D63818"/>
    <w:rsid w:val="00D6386C"/>
    <w:rsid w:val="00D640E2"/>
    <w:rsid w:val="00D6489B"/>
    <w:rsid w:val="00D648AA"/>
    <w:rsid w:val="00D65775"/>
    <w:rsid w:val="00D65935"/>
    <w:rsid w:val="00D66441"/>
    <w:rsid w:val="00D67790"/>
    <w:rsid w:val="00D70783"/>
    <w:rsid w:val="00D70C33"/>
    <w:rsid w:val="00D70E03"/>
    <w:rsid w:val="00D71238"/>
    <w:rsid w:val="00D713EC"/>
    <w:rsid w:val="00D71642"/>
    <w:rsid w:val="00D718A6"/>
    <w:rsid w:val="00D71AA7"/>
    <w:rsid w:val="00D725B2"/>
    <w:rsid w:val="00D72716"/>
    <w:rsid w:val="00D72F43"/>
    <w:rsid w:val="00D73467"/>
    <w:rsid w:val="00D734EE"/>
    <w:rsid w:val="00D735E8"/>
    <w:rsid w:val="00D73F10"/>
    <w:rsid w:val="00D73FE9"/>
    <w:rsid w:val="00D74544"/>
    <w:rsid w:val="00D745C6"/>
    <w:rsid w:val="00D748B3"/>
    <w:rsid w:val="00D74990"/>
    <w:rsid w:val="00D74BA9"/>
    <w:rsid w:val="00D752CA"/>
    <w:rsid w:val="00D7557D"/>
    <w:rsid w:val="00D7658F"/>
    <w:rsid w:val="00D76848"/>
    <w:rsid w:val="00D76911"/>
    <w:rsid w:val="00D76931"/>
    <w:rsid w:val="00D76ACF"/>
    <w:rsid w:val="00D76BAF"/>
    <w:rsid w:val="00D80BF3"/>
    <w:rsid w:val="00D80DCD"/>
    <w:rsid w:val="00D80DF6"/>
    <w:rsid w:val="00D830FF"/>
    <w:rsid w:val="00D83161"/>
    <w:rsid w:val="00D838CC"/>
    <w:rsid w:val="00D83C8C"/>
    <w:rsid w:val="00D841B8"/>
    <w:rsid w:val="00D84357"/>
    <w:rsid w:val="00D84A9C"/>
    <w:rsid w:val="00D8516E"/>
    <w:rsid w:val="00D871F8"/>
    <w:rsid w:val="00D874A2"/>
    <w:rsid w:val="00D87B6A"/>
    <w:rsid w:val="00D87DDF"/>
    <w:rsid w:val="00D87F95"/>
    <w:rsid w:val="00D9080A"/>
    <w:rsid w:val="00D90B72"/>
    <w:rsid w:val="00D919B4"/>
    <w:rsid w:val="00D92353"/>
    <w:rsid w:val="00D92C1A"/>
    <w:rsid w:val="00D9323C"/>
    <w:rsid w:val="00D935F6"/>
    <w:rsid w:val="00D936C9"/>
    <w:rsid w:val="00D93FF4"/>
    <w:rsid w:val="00D94544"/>
    <w:rsid w:val="00D94D6D"/>
    <w:rsid w:val="00D9582D"/>
    <w:rsid w:val="00D960CA"/>
    <w:rsid w:val="00D96793"/>
    <w:rsid w:val="00D96D72"/>
    <w:rsid w:val="00D9729C"/>
    <w:rsid w:val="00DA0109"/>
    <w:rsid w:val="00DA029D"/>
    <w:rsid w:val="00DA0BEB"/>
    <w:rsid w:val="00DA12DE"/>
    <w:rsid w:val="00DA1887"/>
    <w:rsid w:val="00DA194A"/>
    <w:rsid w:val="00DA25B2"/>
    <w:rsid w:val="00DA2A6C"/>
    <w:rsid w:val="00DA31A0"/>
    <w:rsid w:val="00DA4575"/>
    <w:rsid w:val="00DA4947"/>
    <w:rsid w:val="00DA4EF9"/>
    <w:rsid w:val="00DA5DC7"/>
    <w:rsid w:val="00DA5DF2"/>
    <w:rsid w:val="00DA63C7"/>
    <w:rsid w:val="00DA64E1"/>
    <w:rsid w:val="00DA6900"/>
    <w:rsid w:val="00DA6DEC"/>
    <w:rsid w:val="00DA6F17"/>
    <w:rsid w:val="00DA723A"/>
    <w:rsid w:val="00DA7E28"/>
    <w:rsid w:val="00DB01AC"/>
    <w:rsid w:val="00DB01CD"/>
    <w:rsid w:val="00DB116A"/>
    <w:rsid w:val="00DB1467"/>
    <w:rsid w:val="00DB1870"/>
    <w:rsid w:val="00DB194A"/>
    <w:rsid w:val="00DB1C9A"/>
    <w:rsid w:val="00DB1FC7"/>
    <w:rsid w:val="00DB2027"/>
    <w:rsid w:val="00DB380E"/>
    <w:rsid w:val="00DB4369"/>
    <w:rsid w:val="00DB4FBD"/>
    <w:rsid w:val="00DB51D4"/>
    <w:rsid w:val="00DB6BA7"/>
    <w:rsid w:val="00DB6C76"/>
    <w:rsid w:val="00DB6F63"/>
    <w:rsid w:val="00DB6F93"/>
    <w:rsid w:val="00DB765A"/>
    <w:rsid w:val="00DB7E2B"/>
    <w:rsid w:val="00DC034E"/>
    <w:rsid w:val="00DC041A"/>
    <w:rsid w:val="00DC0973"/>
    <w:rsid w:val="00DC0A94"/>
    <w:rsid w:val="00DC106D"/>
    <w:rsid w:val="00DC1726"/>
    <w:rsid w:val="00DC18D5"/>
    <w:rsid w:val="00DC1B62"/>
    <w:rsid w:val="00DC1BE7"/>
    <w:rsid w:val="00DC1EF8"/>
    <w:rsid w:val="00DC217E"/>
    <w:rsid w:val="00DC21E3"/>
    <w:rsid w:val="00DC2BEC"/>
    <w:rsid w:val="00DC2D1D"/>
    <w:rsid w:val="00DC33E4"/>
    <w:rsid w:val="00DC3B21"/>
    <w:rsid w:val="00DC3B33"/>
    <w:rsid w:val="00DC488C"/>
    <w:rsid w:val="00DC4B89"/>
    <w:rsid w:val="00DC5438"/>
    <w:rsid w:val="00DC5568"/>
    <w:rsid w:val="00DC5CE2"/>
    <w:rsid w:val="00DC68A4"/>
    <w:rsid w:val="00DC781A"/>
    <w:rsid w:val="00DD024C"/>
    <w:rsid w:val="00DD032A"/>
    <w:rsid w:val="00DD039F"/>
    <w:rsid w:val="00DD059C"/>
    <w:rsid w:val="00DD0858"/>
    <w:rsid w:val="00DD1270"/>
    <w:rsid w:val="00DD1AE0"/>
    <w:rsid w:val="00DD217F"/>
    <w:rsid w:val="00DD21E5"/>
    <w:rsid w:val="00DD3361"/>
    <w:rsid w:val="00DD3867"/>
    <w:rsid w:val="00DD4604"/>
    <w:rsid w:val="00DD4D92"/>
    <w:rsid w:val="00DD4F5A"/>
    <w:rsid w:val="00DD5B0D"/>
    <w:rsid w:val="00DD5B50"/>
    <w:rsid w:val="00DD617E"/>
    <w:rsid w:val="00DD63CE"/>
    <w:rsid w:val="00DD6692"/>
    <w:rsid w:val="00DD6BB3"/>
    <w:rsid w:val="00DD6D3E"/>
    <w:rsid w:val="00DD70E9"/>
    <w:rsid w:val="00DD74EC"/>
    <w:rsid w:val="00DD74EF"/>
    <w:rsid w:val="00DE0052"/>
    <w:rsid w:val="00DE07FE"/>
    <w:rsid w:val="00DE1DBF"/>
    <w:rsid w:val="00DE1F99"/>
    <w:rsid w:val="00DE205D"/>
    <w:rsid w:val="00DE2619"/>
    <w:rsid w:val="00DE2B84"/>
    <w:rsid w:val="00DE2CCF"/>
    <w:rsid w:val="00DE3521"/>
    <w:rsid w:val="00DE40C7"/>
    <w:rsid w:val="00DE4393"/>
    <w:rsid w:val="00DE499B"/>
    <w:rsid w:val="00DE500B"/>
    <w:rsid w:val="00DE507E"/>
    <w:rsid w:val="00DE53B6"/>
    <w:rsid w:val="00DE5432"/>
    <w:rsid w:val="00DE59C3"/>
    <w:rsid w:val="00DE5A67"/>
    <w:rsid w:val="00DE5ECD"/>
    <w:rsid w:val="00DE7358"/>
    <w:rsid w:val="00DF0D39"/>
    <w:rsid w:val="00DF105B"/>
    <w:rsid w:val="00DF119F"/>
    <w:rsid w:val="00DF1835"/>
    <w:rsid w:val="00DF1DDE"/>
    <w:rsid w:val="00DF209F"/>
    <w:rsid w:val="00DF3047"/>
    <w:rsid w:val="00DF313A"/>
    <w:rsid w:val="00DF376F"/>
    <w:rsid w:val="00DF58F7"/>
    <w:rsid w:val="00DF5933"/>
    <w:rsid w:val="00DF5AD1"/>
    <w:rsid w:val="00DF5C95"/>
    <w:rsid w:val="00DF61B1"/>
    <w:rsid w:val="00DF63F4"/>
    <w:rsid w:val="00DF67C4"/>
    <w:rsid w:val="00DF6C96"/>
    <w:rsid w:val="00DF6F0F"/>
    <w:rsid w:val="00E00128"/>
    <w:rsid w:val="00E008F4"/>
    <w:rsid w:val="00E01106"/>
    <w:rsid w:val="00E02A49"/>
    <w:rsid w:val="00E02E64"/>
    <w:rsid w:val="00E03206"/>
    <w:rsid w:val="00E039BD"/>
    <w:rsid w:val="00E04041"/>
    <w:rsid w:val="00E04111"/>
    <w:rsid w:val="00E043D7"/>
    <w:rsid w:val="00E04683"/>
    <w:rsid w:val="00E049F3"/>
    <w:rsid w:val="00E04D05"/>
    <w:rsid w:val="00E04DE8"/>
    <w:rsid w:val="00E04FFB"/>
    <w:rsid w:val="00E0503C"/>
    <w:rsid w:val="00E05535"/>
    <w:rsid w:val="00E06424"/>
    <w:rsid w:val="00E06CC9"/>
    <w:rsid w:val="00E07660"/>
    <w:rsid w:val="00E10220"/>
    <w:rsid w:val="00E1030C"/>
    <w:rsid w:val="00E103D7"/>
    <w:rsid w:val="00E10C75"/>
    <w:rsid w:val="00E11EB6"/>
    <w:rsid w:val="00E12E5D"/>
    <w:rsid w:val="00E13345"/>
    <w:rsid w:val="00E13628"/>
    <w:rsid w:val="00E1363F"/>
    <w:rsid w:val="00E13695"/>
    <w:rsid w:val="00E1374E"/>
    <w:rsid w:val="00E14DE1"/>
    <w:rsid w:val="00E15098"/>
    <w:rsid w:val="00E163EF"/>
    <w:rsid w:val="00E166C3"/>
    <w:rsid w:val="00E1786F"/>
    <w:rsid w:val="00E17B6F"/>
    <w:rsid w:val="00E17D60"/>
    <w:rsid w:val="00E17DE2"/>
    <w:rsid w:val="00E17DED"/>
    <w:rsid w:val="00E20538"/>
    <w:rsid w:val="00E21102"/>
    <w:rsid w:val="00E214FC"/>
    <w:rsid w:val="00E215B1"/>
    <w:rsid w:val="00E2200F"/>
    <w:rsid w:val="00E227C0"/>
    <w:rsid w:val="00E228EF"/>
    <w:rsid w:val="00E233CD"/>
    <w:rsid w:val="00E24209"/>
    <w:rsid w:val="00E252F8"/>
    <w:rsid w:val="00E25312"/>
    <w:rsid w:val="00E254E6"/>
    <w:rsid w:val="00E255FC"/>
    <w:rsid w:val="00E265F8"/>
    <w:rsid w:val="00E26B4D"/>
    <w:rsid w:val="00E26EA3"/>
    <w:rsid w:val="00E27786"/>
    <w:rsid w:val="00E277CE"/>
    <w:rsid w:val="00E27B5C"/>
    <w:rsid w:val="00E3016B"/>
    <w:rsid w:val="00E301FA"/>
    <w:rsid w:val="00E30F62"/>
    <w:rsid w:val="00E310CA"/>
    <w:rsid w:val="00E31312"/>
    <w:rsid w:val="00E3138A"/>
    <w:rsid w:val="00E33029"/>
    <w:rsid w:val="00E33923"/>
    <w:rsid w:val="00E33C03"/>
    <w:rsid w:val="00E3438F"/>
    <w:rsid w:val="00E3521A"/>
    <w:rsid w:val="00E35367"/>
    <w:rsid w:val="00E3597A"/>
    <w:rsid w:val="00E35C88"/>
    <w:rsid w:val="00E35FD9"/>
    <w:rsid w:val="00E36023"/>
    <w:rsid w:val="00E3621F"/>
    <w:rsid w:val="00E362AE"/>
    <w:rsid w:val="00E3691D"/>
    <w:rsid w:val="00E3778C"/>
    <w:rsid w:val="00E37927"/>
    <w:rsid w:val="00E37D66"/>
    <w:rsid w:val="00E40AFC"/>
    <w:rsid w:val="00E414E0"/>
    <w:rsid w:val="00E41889"/>
    <w:rsid w:val="00E41C37"/>
    <w:rsid w:val="00E41E2F"/>
    <w:rsid w:val="00E423C7"/>
    <w:rsid w:val="00E4432A"/>
    <w:rsid w:val="00E44FCE"/>
    <w:rsid w:val="00E4578E"/>
    <w:rsid w:val="00E45F22"/>
    <w:rsid w:val="00E4655C"/>
    <w:rsid w:val="00E46731"/>
    <w:rsid w:val="00E4788A"/>
    <w:rsid w:val="00E47E23"/>
    <w:rsid w:val="00E47FEC"/>
    <w:rsid w:val="00E50EE8"/>
    <w:rsid w:val="00E512EE"/>
    <w:rsid w:val="00E52445"/>
    <w:rsid w:val="00E525E3"/>
    <w:rsid w:val="00E5360C"/>
    <w:rsid w:val="00E5499F"/>
    <w:rsid w:val="00E5560B"/>
    <w:rsid w:val="00E55633"/>
    <w:rsid w:val="00E5599B"/>
    <w:rsid w:val="00E55C03"/>
    <w:rsid w:val="00E56254"/>
    <w:rsid w:val="00E57706"/>
    <w:rsid w:val="00E57E8C"/>
    <w:rsid w:val="00E60E70"/>
    <w:rsid w:val="00E618EE"/>
    <w:rsid w:val="00E61C04"/>
    <w:rsid w:val="00E61C4E"/>
    <w:rsid w:val="00E61D19"/>
    <w:rsid w:val="00E62359"/>
    <w:rsid w:val="00E62C77"/>
    <w:rsid w:val="00E6418D"/>
    <w:rsid w:val="00E64A04"/>
    <w:rsid w:val="00E64A79"/>
    <w:rsid w:val="00E64BE8"/>
    <w:rsid w:val="00E65778"/>
    <w:rsid w:val="00E65BCF"/>
    <w:rsid w:val="00E65ECB"/>
    <w:rsid w:val="00E65FC4"/>
    <w:rsid w:val="00E667C0"/>
    <w:rsid w:val="00E66EDC"/>
    <w:rsid w:val="00E67179"/>
    <w:rsid w:val="00E674B6"/>
    <w:rsid w:val="00E678E8"/>
    <w:rsid w:val="00E700BF"/>
    <w:rsid w:val="00E700FF"/>
    <w:rsid w:val="00E70298"/>
    <w:rsid w:val="00E702F3"/>
    <w:rsid w:val="00E7055C"/>
    <w:rsid w:val="00E706CD"/>
    <w:rsid w:val="00E70A11"/>
    <w:rsid w:val="00E70ABD"/>
    <w:rsid w:val="00E71576"/>
    <w:rsid w:val="00E72B86"/>
    <w:rsid w:val="00E72DAD"/>
    <w:rsid w:val="00E735E0"/>
    <w:rsid w:val="00E73B9B"/>
    <w:rsid w:val="00E74AF6"/>
    <w:rsid w:val="00E74CB2"/>
    <w:rsid w:val="00E74F4C"/>
    <w:rsid w:val="00E75D44"/>
    <w:rsid w:val="00E7736A"/>
    <w:rsid w:val="00E779B7"/>
    <w:rsid w:val="00E77A50"/>
    <w:rsid w:val="00E80BED"/>
    <w:rsid w:val="00E810D3"/>
    <w:rsid w:val="00E82224"/>
    <w:rsid w:val="00E82243"/>
    <w:rsid w:val="00E82B1A"/>
    <w:rsid w:val="00E83B0D"/>
    <w:rsid w:val="00E83F1D"/>
    <w:rsid w:val="00E842A8"/>
    <w:rsid w:val="00E85E14"/>
    <w:rsid w:val="00E8603B"/>
    <w:rsid w:val="00E866E7"/>
    <w:rsid w:val="00E871D9"/>
    <w:rsid w:val="00E875E0"/>
    <w:rsid w:val="00E90769"/>
    <w:rsid w:val="00E90A24"/>
    <w:rsid w:val="00E9116F"/>
    <w:rsid w:val="00E91CC3"/>
    <w:rsid w:val="00E921DA"/>
    <w:rsid w:val="00E92366"/>
    <w:rsid w:val="00E926D0"/>
    <w:rsid w:val="00E92B7F"/>
    <w:rsid w:val="00E930B6"/>
    <w:rsid w:val="00E932B7"/>
    <w:rsid w:val="00E9472E"/>
    <w:rsid w:val="00E94A83"/>
    <w:rsid w:val="00E957A4"/>
    <w:rsid w:val="00E95834"/>
    <w:rsid w:val="00E967B2"/>
    <w:rsid w:val="00E96A50"/>
    <w:rsid w:val="00E96DF6"/>
    <w:rsid w:val="00E97644"/>
    <w:rsid w:val="00E9766B"/>
    <w:rsid w:val="00E97F22"/>
    <w:rsid w:val="00EA0578"/>
    <w:rsid w:val="00EA1069"/>
    <w:rsid w:val="00EA13E6"/>
    <w:rsid w:val="00EA156B"/>
    <w:rsid w:val="00EA2680"/>
    <w:rsid w:val="00EA29C6"/>
    <w:rsid w:val="00EA2CB2"/>
    <w:rsid w:val="00EA3F69"/>
    <w:rsid w:val="00EA409D"/>
    <w:rsid w:val="00EA480F"/>
    <w:rsid w:val="00EA5050"/>
    <w:rsid w:val="00EA521B"/>
    <w:rsid w:val="00EA6303"/>
    <w:rsid w:val="00EA6F9F"/>
    <w:rsid w:val="00EA7CB3"/>
    <w:rsid w:val="00EA7D3A"/>
    <w:rsid w:val="00EB058E"/>
    <w:rsid w:val="00EB0BD4"/>
    <w:rsid w:val="00EB0C1E"/>
    <w:rsid w:val="00EB0FB9"/>
    <w:rsid w:val="00EB10D9"/>
    <w:rsid w:val="00EB2038"/>
    <w:rsid w:val="00EB2765"/>
    <w:rsid w:val="00EB2A46"/>
    <w:rsid w:val="00EB2FEA"/>
    <w:rsid w:val="00EB32ED"/>
    <w:rsid w:val="00EB38C7"/>
    <w:rsid w:val="00EB3978"/>
    <w:rsid w:val="00EB3B2B"/>
    <w:rsid w:val="00EB3F63"/>
    <w:rsid w:val="00EB4719"/>
    <w:rsid w:val="00EB48E3"/>
    <w:rsid w:val="00EB4DB7"/>
    <w:rsid w:val="00EB50C7"/>
    <w:rsid w:val="00EB5F5D"/>
    <w:rsid w:val="00EB68C2"/>
    <w:rsid w:val="00EB69CE"/>
    <w:rsid w:val="00EC05E8"/>
    <w:rsid w:val="00EC0684"/>
    <w:rsid w:val="00EC0EC7"/>
    <w:rsid w:val="00EC14A9"/>
    <w:rsid w:val="00EC15BD"/>
    <w:rsid w:val="00EC1D87"/>
    <w:rsid w:val="00EC20C8"/>
    <w:rsid w:val="00EC2102"/>
    <w:rsid w:val="00EC3594"/>
    <w:rsid w:val="00EC39A8"/>
    <w:rsid w:val="00EC5528"/>
    <w:rsid w:val="00EC5608"/>
    <w:rsid w:val="00EC606C"/>
    <w:rsid w:val="00EC6E84"/>
    <w:rsid w:val="00ED063A"/>
    <w:rsid w:val="00ED0976"/>
    <w:rsid w:val="00ED0E59"/>
    <w:rsid w:val="00ED12D6"/>
    <w:rsid w:val="00ED14A3"/>
    <w:rsid w:val="00ED1C8A"/>
    <w:rsid w:val="00ED2500"/>
    <w:rsid w:val="00ED2AA3"/>
    <w:rsid w:val="00ED2D58"/>
    <w:rsid w:val="00ED2DF8"/>
    <w:rsid w:val="00ED4BBD"/>
    <w:rsid w:val="00ED4E0B"/>
    <w:rsid w:val="00ED4F07"/>
    <w:rsid w:val="00ED4F86"/>
    <w:rsid w:val="00ED5A79"/>
    <w:rsid w:val="00ED6155"/>
    <w:rsid w:val="00ED70B2"/>
    <w:rsid w:val="00EE0383"/>
    <w:rsid w:val="00EE0465"/>
    <w:rsid w:val="00EE047F"/>
    <w:rsid w:val="00EE0C96"/>
    <w:rsid w:val="00EE1439"/>
    <w:rsid w:val="00EE15BC"/>
    <w:rsid w:val="00EE21B3"/>
    <w:rsid w:val="00EE2465"/>
    <w:rsid w:val="00EE2DB0"/>
    <w:rsid w:val="00EE3B9A"/>
    <w:rsid w:val="00EE4520"/>
    <w:rsid w:val="00EE551F"/>
    <w:rsid w:val="00EE68F3"/>
    <w:rsid w:val="00EF0ADD"/>
    <w:rsid w:val="00EF0B56"/>
    <w:rsid w:val="00EF10F3"/>
    <w:rsid w:val="00EF136A"/>
    <w:rsid w:val="00EF157E"/>
    <w:rsid w:val="00EF1C82"/>
    <w:rsid w:val="00EF255A"/>
    <w:rsid w:val="00EF25C9"/>
    <w:rsid w:val="00EF3B4D"/>
    <w:rsid w:val="00EF4702"/>
    <w:rsid w:val="00EF509E"/>
    <w:rsid w:val="00EF5F92"/>
    <w:rsid w:val="00EF6513"/>
    <w:rsid w:val="00EF6D14"/>
    <w:rsid w:val="00EF7067"/>
    <w:rsid w:val="00EF7552"/>
    <w:rsid w:val="00F00ADE"/>
    <w:rsid w:val="00F00AFE"/>
    <w:rsid w:val="00F00D23"/>
    <w:rsid w:val="00F02956"/>
    <w:rsid w:val="00F037BF"/>
    <w:rsid w:val="00F0395A"/>
    <w:rsid w:val="00F048AD"/>
    <w:rsid w:val="00F05327"/>
    <w:rsid w:val="00F05E26"/>
    <w:rsid w:val="00F10407"/>
    <w:rsid w:val="00F10526"/>
    <w:rsid w:val="00F10EAA"/>
    <w:rsid w:val="00F11635"/>
    <w:rsid w:val="00F118D1"/>
    <w:rsid w:val="00F12538"/>
    <w:rsid w:val="00F13926"/>
    <w:rsid w:val="00F14106"/>
    <w:rsid w:val="00F14503"/>
    <w:rsid w:val="00F149A3"/>
    <w:rsid w:val="00F15791"/>
    <w:rsid w:val="00F16EF9"/>
    <w:rsid w:val="00F179B8"/>
    <w:rsid w:val="00F20223"/>
    <w:rsid w:val="00F20643"/>
    <w:rsid w:val="00F20EDA"/>
    <w:rsid w:val="00F2123E"/>
    <w:rsid w:val="00F21586"/>
    <w:rsid w:val="00F21A0B"/>
    <w:rsid w:val="00F2209E"/>
    <w:rsid w:val="00F24250"/>
    <w:rsid w:val="00F248B7"/>
    <w:rsid w:val="00F24931"/>
    <w:rsid w:val="00F24EB6"/>
    <w:rsid w:val="00F25175"/>
    <w:rsid w:val="00F2551F"/>
    <w:rsid w:val="00F2553E"/>
    <w:rsid w:val="00F256FD"/>
    <w:rsid w:val="00F2671D"/>
    <w:rsid w:val="00F26C37"/>
    <w:rsid w:val="00F26DC8"/>
    <w:rsid w:val="00F27035"/>
    <w:rsid w:val="00F27602"/>
    <w:rsid w:val="00F27D79"/>
    <w:rsid w:val="00F30295"/>
    <w:rsid w:val="00F30A44"/>
    <w:rsid w:val="00F30E56"/>
    <w:rsid w:val="00F30FC4"/>
    <w:rsid w:val="00F310E5"/>
    <w:rsid w:val="00F31DF3"/>
    <w:rsid w:val="00F33A0A"/>
    <w:rsid w:val="00F34536"/>
    <w:rsid w:val="00F34C1E"/>
    <w:rsid w:val="00F3516C"/>
    <w:rsid w:val="00F3563C"/>
    <w:rsid w:val="00F36311"/>
    <w:rsid w:val="00F40256"/>
    <w:rsid w:val="00F40799"/>
    <w:rsid w:val="00F418FE"/>
    <w:rsid w:val="00F4199B"/>
    <w:rsid w:val="00F424DC"/>
    <w:rsid w:val="00F42B52"/>
    <w:rsid w:val="00F42EED"/>
    <w:rsid w:val="00F438DB"/>
    <w:rsid w:val="00F43AA0"/>
    <w:rsid w:val="00F43ADC"/>
    <w:rsid w:val="00F43D81"/>
    <w:rsid w:val="00F43F19"/>
    <w:rsid w:val="00F441AB"/>
    <w:rsid w:val="00F450F5"/>
    <w:rsid w:val="00F4607E"/>
    <w:rsid w:val="00F462EB"/>
    <w:rsid w:val="00F46A4A"/>
    <w:rsid w:val="00F477A2"/>
    <w:rsid w:val="00F47A66"/>
    <w:rsid w:val="00F501C9"/>
    <w:rsid w:val="00F516A1"/>
    <w:rsid w:val="00F523AF"/>
    <w:rsid w:val="00F54508"/>
    <w:rsid w:val="00F5467A"/>
    <w:rsid w:val="00F551FF"/>
    <w:rsid w:val="00F5528B"/>
    <w:rsid w:val="00F55DD5"/>
    <w:rsid w:val="00F55EFB"/>
    <w:rsid w:val="00F5616B"/>
    <w:rsid w:val="00F56234"/>
    <w:rsid w:val="00F56436"/>
    <w:rsid w:val="00F56B38"/>
    <w:rsid w:val="00F56F51"/>
    <w:rsid w:val="00F60740"/>
    <w:rsid w:val="00F60DB4"/>
    <w:rsid w:val="00F6120C"/>
    <w:rsid w:val="00F621D3"/>
    <w:rsid w:val="00F63149"/>
    <w:rsid w:val="00F6378A"/>
    <w:rsid w:val="00F63E30"/>
    <w:rsid w:val="00F643E9"/>
    <w:rsid w:val="00F6492D"/>
    <w:rsid w:val="00F64E70"/>
    <w:rsid w:val="00F64F16"/>
    <w:rsid w:val="00F65E8A"/>
    <w:rsid w:val="00F66C98"/>
    <w:rsid w:val="00F676CA"/>
    <w:rsid w:val="00F67B9C"/>
    <w:rsid w:val="00F70142"/>
    <w:rsid w:val="00F703ED"/>
    <w:rsid w:val="00F70549"/>
    <w:rsid w:val="00F706CD"/>
    <w:rsid w:val="00F71037"/>
    <w:rsid w:val="00F71A6D"/>
    <w:rsid w:val="00F7268D"/>
    <w:rsid w:val="00F72BBD"/>
    <w:rsid w:val="00F72CB7"/>
    <w:rsid w:val="00F73569"/>
    <w:rsid w:val="00F735EF"/>
    <w:rsid w:val="00F737CB"/>
    <w:rsid w:val="00F73B50"/>
    <w:rsid w:val="00F73DE2"/>
    <w:rsid w:val="00F7443A"/>
    <w:rsid w:val="00F74965"/>
    <w:rsid w:val="00F75EA9"/>
    <w:rsid w:val="00F76E87"/>
    <w:rsid w:val="00F76FCB"/>
    <w:rsid w:val="00F77FA3"/>
    <w:rsid w:val="00F77FB5"/>
    <w:rsid w:val="00F8050A"/>
    <w:rsid w:val="00F816B0"/>
    <w:rsid w:val="00F81786"/>
    <w:rsid w:val="00F82618"/>
    <w:rsid w:val="00F82784"/>
    <w:rsid w:val="00F827CA"/>
    <w:rsid w:val="00F83104"/>
    <w:rsid w:val="00F833BB"/>
    <w:rsid w:val="00F85597"/>
    <w:rsid w:val="00F858B4"/>
    <w:rsid w:val="00F85C5D"/>
    <w:rsid w:val="00F86A9D"/>
    <w:rsid w:val="00F86ABE"/>
    <w:rsid w:val="00F8717E"/>
    <w:rsid w:val="00F879B8"/>
    <w:rsid w:val="00F879C3"/>
    <w:rsid w:val="00F90E1B"/>
    <w:rsid w:val="00F9153D"/>
    <w:rsid w:val="00F9165D"/>
    <w:rsid w:val="00F91C83"/>
    <w:rsid w:val="00F92095"/>
    <w:rsid w:val="00F925E1"/>
    <w:rsid w:val="00F929C1"/>
    <w:rsid w:val="00F93256"/>
    <w:rsid w:val="00F950EE"/>
    <w:rsid w:val="00F95E81"/>
    <w:rsid w:val="00F96031"/>
    <w:rsid w:val="00F96A40"/>
    <w:rsid w:val="00F97652"/>
    <w:rsid w:val="00F97A8F"/>
    <w:rsid w:val="00F97B4E"/>
    <w:rsid w:val="00FA05AF"/>
    <w:rsid w:val="00FA08F5"/>
    <w:rsid w:val="00FA0C0C"/>
    <w:rsid w:val="00FA2026"/>
    <w:rsid w:val="00FA228A"/>
    <w:rsid w:val="00FA2578"/>
    <w:rsid w:val="00FA284D"/>
    <w:rsid w:val="00FA29AE"/>
    <w:rsid w:val="00FA2A38"/>
    <w:rsid w:val="00FA305C"/>
    <w:rsid w:val="00FA33C9"/>
    <w:rsid w:val="00FA35B6"/>
    <w:rsid w:val="00FA35FD"/>
    <w:rsid w:val="00FA39FE"/>
    <w:rsid w:val="00FA41F9"/>
    <w:rsid w:val="00FA43BC"/>
    <w:rsid w:val="00FA43E3"/>
    <w:rsid w:val="00FA570C"/>
    <w:rsid w:val="00FA5F01"/>
    <w:rsid w:val="00FA612C"/>
    <w:rsid w:val="00FA6816"/>
    <w:rsid w:val="00FA696B"/>
    <w:rsid w:val="00FA752C"/>
    <w:rsid w:val="00FA75A0"/>
    <w:rsid w:val="00FA785A"/>
    <w:rsid w:val="00FA7E6A"/>
    <w:rsid w:val="00FB017B"/>
    <w:rsid w:val="00FB02B6"/>
    <w:rsid w:val="00FB0555"/>
    <w:rsid w:val="00FB148C"/>
    <w:rsid w:val="00FB1736"/>
    <w:rsid w:val="00FB20A6"/>
    <w:rsid w:val="00FB2F6C"/>
    <w:rsid w:val="00FB3FEB"/>
    <w:rsid w:val="00FB46CB"/>
    <w:rsid w:val="00FB4CD5"/>
    <w:rsid w:val="00FB4D91"/>
    <w:rsid w:val="00FB4EB4"/>
    <w:rsid w:val="00FB539B"/>
    <w:rsid w:val="00FB54D2"/>
    <w:rsid w:val="00FB59F0"/>
    <w:rsid w:val="00FB5CE6"/>
    <w:rsid w:val="00FB604B"/>
    <w:rsid w:val="00FB616F"/>
    <w:rsid w:val="00FB6334"/>
    <w:rsid w:val="00FB652D"/>
    <w:rsid w:val="00FB6672"/>
    <w:rsid w:val="00FB6D32"/>
    <w:rsid w:val="00FB6E59"/>
    <w:rsid w:val="00FB70A1"/>
    <w:rsid w:val="00FB768D"/>
    <w:rsid w:val="00FB7BCC"/>
    <w:rsid w:val="00FB7BFB"/>
    <w:rsid w:val="00FB7C5B"/>
    <w:rsid w:val="00FC0EB6"/>
    <w:rsid w:val="00FC133B"/>
    <w:rsid w:val="00FC13FD"/>
    <w:rsid w:val="00FC16B0"/>
    <w:rsid w:val="00FC1892"/>
    <w:rsid w:val="00FC1FD0"/>
    <w:rsid w:val="00FC29A8"/>
    <w:rsid w:val="00FC3B91"/>
    <w:rsid w:val="00FC40D5"/>
    <w:rsid w:val="00FC4580"/>
    <w:rsid w:val="00FC4955"/>
    <w:rsid w:val="00FC54E7"/>
    <w:rsid w:val="00FC6699"/>
    <w:rsid w:val="00FC6E61"/>
    <w:rsid w:val="00FC729D"/>
    <w:rsid w:val="00FD00F2"/>
    <w:rsid w:val="00FD0797"/>
    <w:rsid w:val="00FD1296"/>
    <w:rsid w:val="00FD1DB4"/>
    <w:rsid w:val="00FD227D"/>
    <w:rsid w:val="00FD26DA"/>
    <w:rsid w:val="00FD2D16"/>
    <w:rsid w:val="00FD317A"/>
    <w:rsid w:val="00FD3A51"/>
    <w:rsid w:val="00FD3B91"/>
    <w:rsid w:val="00FD4468"/>
    <w:rsid w:val="00FD44E1"/>
    <w:rsid w:val="00FD4CF2"/>
    <w:rsid w:val="00FD4D2F"/>
    <w:rsid w:val="00FD56AF"/>
    <w:rsid w:val="00FD578F"/>
    <w:rsid w:val="00FD5A47"/>
    <w:rsid w:val="00FD676B"/>
    <w:rsid w:val="00FD74A0"/>
    <w:rsid w:val="00FD7857"/>
    <w:rsid w:val="00FD79FB"/>
    <w:rsid w:val="00FD7A0A"/>
    <w:rsid w:val="00FD7CAE"/>
    <w:rsid w:val="00FE049A"/>
    <w:rsid w:val="00FE050A"/>
    <w:rsid w:val="00FE14A6"/>
    <w:rsid w:val="00FE177E"/>
    <w:rsid w:val="00FE180A"/>
    <w:rsid w:val="00FE2C71"/>
    <w:rsid w:val="00FE3417"/>
    <w:rsid w:val="00FE34B0"/>
    <w:rsid w:val="00FE3D74"/>
    <w:rsid w:val="00FE40E8"/>
    <w:rsid w:val="00FE7A33"/>
    <w:rsid w:val="00FF0370"/>
    <w:rsid w:val="00FF03DF"/>
    <w:rsid w:val="00FF049F"/>
    <w:rsid w:val="00FF073D"/>
    <w:rsid w:val="00FF10D5"/>
    <w:rsid w:val="00FF11AD"/>
    <w:rsid w:val="00FF1F87"/>
    <w:rsid w:val="00FF26A1"/>
    <w:rsid w:val="00FF3133"/>
    <w:rsid w:val="00FF3C0A"/>
    <w:rsid w:val="00FF5382"/>
    <w:rsid w:val="00FF552F"/>
    <w:rsid w:val="00FF5FA9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F4CC14"/>
  <w15:docId w15:val="{758B5748-B60B-4295-BEE0-6C531CDE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semiHidden="1" w:uiPriority="0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89" w:unhideWhenUsed="1"/>
    <w:lsdException w:name="toc 6" w:locked="0" w:semiHidden="1" w:uiPriority="89" w:unhideWhenUsed="1"/>
    <w:lsdException w:name="toc 7" w:locked="0" w:semiHidden="1" w:uiPriority="89" w:unhideWhenUsed="1"/>
    <w:lsdException w:name="toc 8" w:locked="0" w:semiHidden="1" w:uiPriority="89" w:unhideWhenUsed="1"/>
    <w:lsdException w:name="toc 9" w:locked="0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iPriority="82" w:unhideWhenUsed="1"/>
    <w:lsdException w:name="index heading" w:semiHidden="1" w:unhideWhenUsed="1"/>
    <w:lsdException w:name="caption" w:locked="0" w:semiHidden="1" w:uiPriority="68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81" w:unhideWhenUsed="1"/>
    <w:lsdException w:name="endnote reference" w:semiHidden="1" w:unhideWhenUsed="1"/>
    <w:lsdException w:name="endnote text" w:semiHidden="1" w:unhideWhenUsed="1"/>
    <w:lsdException w:name="table of authorities" w:locked="0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78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2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4017E3"/>
    <w:pPr>
      <w:spacing w:line="480" w:lineRule="auto"/>
    </w:pPr>
  </w:style>
  <w:style w:type="paragraph" w:styleId="Heading1">
    <w:name w:val="heading 1"/>
    <w:basedOn w:val="Normal"/>
    <w:next w:val="BodyText"/>
    <w:link w:val="Heading1Char"/>
    <w:qFormat/>
    <w:rsid w:val="001D4439"/>
    <w:pPr>
      <w:keepNext/>
      <w:spacing w:before="400" w:after="320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1D4439"/>
    <w:pPr>
      <w:numPr>
        <w:ilvl w:val="1"/>
      </w:numPr>
      <w:spacing w:before="280" w:after="160"/>
      <w:outlineLvl w:val="1"/>
    </w:pPr>
    <w:rPr>
      <w:b/>
      <w:sz w:val="24"/>
      <w:szCs w:val="26"/>
    </w:rPr>
  </w:style>
  <w:style w:type="paragraph" w:styleId="Heading3">
    <w:name w:val="heading 3"/>
    <w:basedOn w:val="Heading2"/>
    <w:next w:val="BodyText"/>
    <w:link w:val="Heading3Char"/>
    <w:qFormat/>
    <w:rsid w:val="001D4439"/>
    <w:pPr>
      <w:numPr>
        <w:ilvl w:val="2"/>
      </w:numPr>
      <w:outlineLvl w:val="2"/>
    </w:pPr>
    <w:rPr>
      <w:b w:val="0"/>
    </w:rPr>
  </w:style>
  <w:style w:type="paragraph" w:styleId="Heading4">
    <w:name w:val="heading 4"/>
    <w:basedOn w:val="Heading3"/>
    <w:next w:val="BodyText"/>
    <w:link w:val="Heading4Char"/>
    <w:qFormat/>
    <w:rsid w:val="001D4439"/>
    <w:pPr>
      <w:numPr>
        <w:ilvl w:val="3"/>
      </w:numPr>
      <w:outlineLvl w:val="3"/>
    </w:pPr>
    <w:rPr>
      <w:i/>
      <w:iCs/>
    </w:rPr>
  </w:style>
  <w:style w:type="paragraph" w:styleId="Heading5">
    <w:name w:val="heading 5"/>
    <w:basedOn w:val="Heading4"/>
    <w:next w:val="BodyText"/>
    <w:link w:val="Heading5Char"/>
    <w:semiHidden/>
    <w:qFormat/>
    <w:rsid w:val="001D4439"/>
    <w:pPr>
      <w:numPr>
        <w:ilvl w:val="4"/>
      </w:numPr>
      <w:spacing w:before="120"/>
      <w:outlineLvl w:val="4"/>
    </w:pPr>
    <w:rPr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1D44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Headings">
    <w:name w:val="Headings"/>
    <w:uiPriority w:val="99"/>
    <w:rsid w:val="001D4439"/>
    <w:pPr>
      <w:numPr>
        <w:numId w:val="8"/>
      </w:numPr>
    </w:pPr>
  </w:style>
  <w:style w:type="character" w:customStyle="1" w:styleId="Heading3Char">
    <w:name w:val="Heading 3 Char"/>
    <w:basedOn w:val="DefaultParagraphFont"/>
    <w:link w:val="Heading3"/>
    <w:rsid w:val="001D4439"/>
    <w:rPr>
      <w:rFonts w:asciiTheme="majorHAnsi" w:eastAsiaTheme="majorEastAsia" w:hAnsiTheme="majorHAnsi" w:cstheme="majorBidi"/>
      <w:bCs/>
      <w:color w:val="000000" w:themeColor="text2"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1D4439"/>
    <w:rPr>
      <w:rFonts w:asciiTheme="majorHAnsi" w:eastAsiaTheme="majorEastAsia" w:hAnsiTheme="majorHAnsi" w:cstheme="majorBidi"/>
      <w:bCs/>
      <w:color w:val="000000" w:themeColor="text2"/>
      <w:sz w:val="32"/>
      <w:szCs w:val="28"/>
    </w:rPr>
  </w:style>
  <w:style w:type="paragraph" w:styleId="BodyText">
    <w:name w:val="Body Text"/>
    <w:basedOn w:val="Normal"/>
    <w:link w:val="BodyTextChar"/>
    <w:uiPriority w:val="20"/>
    <w:rsid w:val="004017E3"/>
    <w:pPr>
      <w:spacing w:before="80" w:after="0"/>
    </w:pPr>
  </w:style>
  <w:style w:type="character" w:customStyle="1" w:styleId="BodyTextChar">
    <w:name w:val="Body Text Char"/>
    <w:basedOn w:val="DefaultParagraphFont"/>
    <w:link w:val="BodyText"/>
    <w:uiPriority w:val="20"/>
    <w:rsid w:val="004017E3"/>
  </w:style>
  <w:style w:type="character" w:customStyle="1" w:styleId="Heading2Char">
    <w:name w:val="Heading 2 Char"/>
    <w:basedOn w:val="DefaultParagraphFont"/>
    <w:link w:val="Heading2"/>
    <w:rsid w:val="001D4439"/>
    <w:rPr>
      <w:rFonts w:asciiTheme="majorHAnsi" w:eastAsiaTheme="majorEastAsia" w:hAnsiTheme="majorHAnsi" w:cstheme="majorBidi"/>
      <w:b/>
      <w:bCs/>
      <w:color w:val="000000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1D4439"/>
    <w:rPr>
      <w:rFonts w:asciiTheme="majorHAnsi" w:eastAsiaTheme="majorEastAsia" w:hAnsiTheme="majorHAnsi" w:cstheme="majorBidi"/>
      <w:bCs/>
      <w:i/>
      <w:iCs/>
      <w:color w:val="000000" w:themeColor="text2"/>
      <w:sz w:val="24"/>
      <w:szCs w:val="26"/>
    </w:rPr>
  </w:style>
  <w:style w:type="character" w:customStyle="1" w:styleId="Heading5Char">
    <w:name w:val="Heading 5 Char"/>
    <w:basedOn w:val="DefaultParagraphFont"/>
    <w:link w:val="Heading5"/>
    <w:semiHidden/>
    <w:rsid w:val="001D4439"/>
    <w:rPr>
      <w:rFonts w:asciiTheme="majorHAnsi" w:eastAsiaTheme="majorEastAsia" w:hAnsiTheme="majorHAnsi" w:cstheme="majorBidi"/>
      <w:bCs/>
      <w:iCs/>
      <w:color w:val="000000" w:themeColor="text2"/>
      <w:szCs w:val="26"/>
    </w:rPr>
  </w:style>
  <w:style w:type="numbering" w:customStyle="1" w:styleId="HeadingsVM">
    <w:name w:val="HeadingsVM"/>
    <w:uiPriority w:val="99"/>
    <w:rsid w:val="001D4439"/>
    <w:pPr>
      <w:numPr>
        <w:numId w:val="9"/>
      </w:numPr>
    </w:pPr>
  </w:style>
  <w:style w:type="paragraph" w:customStyle="1" w:styleId="HeadingVM1">
    <w:name w:val="Heading VM 1"/>
    <w:basedOn w:val="Normal"/>
    <w:next w:val="BodyText"/>
    <w:uiPriority w:val="6"/>
    <w:semiHidden/>
    <w:qFormat/>
    <w:rsid w:val="001D4439"/>
    <w:pPr>
      <w:numPr>
        <w:numId w:val="9"/>
      </w:numPr>
      <w:spacing w:after="240"/>
    </w:pPr>
    <w:rPr>
      <w:rFonts w:asciiTheme="majorHAnsi" w:hAnsiTheme="majorHAnsi"/>
      <w:color w:val="808080" w:themeColor="background1" w:themeShade="80"/>
      <w:sz w:val="32"/>
    </w:rPr>
  </w:style>
  <w:style w:type="paragraph" w:customStyle="1" w:styleId="HeadingVM2">
    <w:name w:val="Heading VM 2"/>
    <w:basedOn w:val="HeadingVM1"/>
    <w:next w:val="BodyText"/>
    <w:uiPriority w:val="7"/>
    <w:semiHidden/>
    <w:qFormat/>
    <w:rsid w:val="001D4439"/>
    <w:pPr>
      <w:numPr>
        <w:ilvl w:val="1"/>
      </w:numPr>
      <w:spacing w:before="320" w:after="0"/>
    </w:pPr>
    <w:rPr>
      <w:b/>
      <w:sz w:val="24"/>
    </w:rPr>
  </w:style>
  <w:style w:type="paragraph" w:customStyle="1" w:styleId="NumberLists">
    <w:name w:val="Number Lists"/>
    <w:basedOn w:val="BodyText"/>
    <w:semiHidden/>
    <w:qFormat/>
    <w:locked/>
    <w:rsid w:val="001D4439"/>
  </w:style>
  <w:style w:type="paragraph" w:customStyle="1" w:styleId="NumberedList">
    <w:name w:val="Numbered List"/>
    <w:basedOn w:val="BodyText"/>
    <w:uiPriority w:val="24"/>
    <w:qFormat/>
    <w:rsid w:val="001D4439"/>
    <w:pPr>
      <w:numPr>
        <w:numId w:val="13"/>
      </w:numPr>
      <w:spacing w:after="60"/>
      <w:contextualSpacing/>
    </w:pPr>
  </w:style>
  <w:style w:type="numbering" w:customStyle="1" w:styleId="NormalList">
    <w:name w:val="Normal List"/>
    <w:uiPriority w:val="99"/>
    <w:rsid w:val="001D4439"/>
    <w:pPr>
      <w:numPr>
        <w:numId w:val="12"/>
      </w:numPr>
    </w:pPr>
  </w:style>
  <w:style w:type="paragraph" w:customStyle="1" w:styleId="NumberAlphaList">
    <w:name w:val="Number Alpha List"/>
    <w:basedOn w:val="BodyText"/>
    <w:semiHidden/>
    <w:locked/>
    <w:rsid w:val="001D4439"/>
  </w:style>
  <w:style w:type="paragraph" w:customStyle="1" w:styleId="AlphaList">
    <w:name w:val="Alpha List"/>
    <w:basedOn w:val="BodyText"/>
    <w:uiPriority w:val="2"/>
    <w:semiHidden/>
    <w:qFormat/>
    <w:rsid w:val="001D4439"/>
    <w:pPr>
      <w:numPr>
        <w:numId w:val="10"/>
      </w:numPr>
      <w:spacing w:before="0" w:after="60"/>
      <w:contextualSpacing/>
    </w:pPr>
  </w:style>
  <w:style w:type="numbering" w:customStyle="1" w:styleId="LetterList">
    <w:name w:val="Letter List"/>
    <w:uiPriority w:val="99"/>
    <w:rsid w:val="001D4439"/>
    <w:pPr>
      <w:numPr>
        <w:numId w:val="10"/>
      </w:numPr>
    </w:pPr>
  </w:style>
  <w:style w:type="paragraph" w:customStyle="1" w:styleId="NumberBullets">
    <w:name w:val="Number Bullets"/>
    <w:basedOn w:val="BodyText"/>
    <w:semiHidden/>
    <w:qFormat/>
    <w:locked/>
    <w:rsid w:val="001D4439"/>
  </w:style>
  <w:style w:type="paragraph" w:customStyle="1" w:styleId="Bullets1">
    <w:name w:val="Bullets 1"/>
    <w:basedOn w:val="BodyText"/>
    <w:uiPriority w:val="23"/>
    <w:qFormat/>
    <w:rsid w:val="001D4439"/>
    <w:pPr>
      <w:numPr>
        <w:numId w:val="5"/>
      </w:numPr>
      <w:spacing w:before="60" w:after="60"/>
      <w:contextualSpacing/>
    </w:pPr>
  </w:style>
  <w:style w:type="numbering" w:customStyle="1" w:styleId="Bullets">
    <w:name w:val="Bullets"/>
    <w:uiPriority w:val="99"/>
    <w:rsid w:val="001D4439"/>
    <w:pPr>
      <w:numPr>
        <w:numId w:val="4"/>
      </w:numPr>
    </w:pPr>
  </w:style>
  <w:style w:type="paragraph" w:customStyle="1" w:styleId="Bullets2">
    <w:name w:val="Bullets 2"/>
    <w:basedOn w:val="Bullets1"/>
    <w:uiPriority w:val="24"/>
    <w:rsid w:val="001D4439"/>
    <w:pPr>
      <w:numPr>
        <w:ilvl w:val="1"/>
        <w:numId w:val="6"/>
      </w:numPr>
      <w:spacing w:before="0"/>
    </w:pPr>
  </w:style>
  <w:style w:type="paragraph" w:customStyle="1" w:styleId="Preface">
    <w:name w:val="Preface"/>
    <w:basedOn w:val="Heading1"/>
    <w:next w:val="BodyText"/>
    <w:uiPriority w:val="2"/>
    <w:semiHidden/>
    <w:qFormat/>
    <w:rsid w:val="001D4439"/>
    <w:pPr>
      <w:spacing w:after="480"/>
      <w:ind w:left="2013" w:hanging="1134"/>
    </w:pPr>
  </w:style>
  <w:style w:type="paragraph" w:customStyle="1" w:styleId="NumberBulletsExecSum">
    <w:name w:val="Number Bullets ExecSum"/>
    <w:basedOn w:val="BodyText"/>
    <w:semiHidden/>
    <w:qFormat/>
    <w:locked/>
    <w:rsid w:val="001D4439"/>
  </w:style>
  <w:style w:type="paragraph" w:customStyle="1" w:styleId="ChapterSummaryHeader">
    <w:name w:val="Chapter Summary Header"/>
    <w:basedOn w:val="Normal"/>
    <w:next w:val="BodyText"/>
    <w:uiPriority w:val="4"/>
    <w:qFormat/>
    <w:rsid w:val="001D4439"/>
    <w:pPr>
      <w:spacing w:after="160"/>
    </w:pPr>
    <w:rPr>
      <w:rFonts w:asciiTheme="majorHAnsi" w:hAnsiTheme="majorHAnsi"/>
      <w:b/>
      <w:i/>
      <w:color w:val="DDDDDD" w:themeColor="accent1"/>
      <w:sz w:val="28"/>
    </w:rPr>
  </w:style>
  <w:style w:type="table" w:customStyle="1" w:styleId="PRMATableAccent1">
    <w:name w:val="PRMA Table Accent 1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</w:tblPr>
    <w:tcPr>
      <w:shd w:val="clear" w:color="auto" w:fill="FFFFFF" w:themeFill="background1"/>
      <w:tcMar>
        <w:top w:w="57" w:type="dxa"/>
        <w:bottom w:w="57" w:type="dxa"/>
      </w:tcMar>
    </w:tcPr>
    <w:tblStylePr w:type="firstRow">
      <w:rPr>
        <w:rFonts w:asciiTheme="minorHAnsi" w:hAnsiTheme="minorHAnsi"/>
        <w:color w:val="FFFFFF" w:themeColor="background1"/>
      </w:rPr>
      <w:tblPr/>
      <w:trPr>
        <w:tblHeader/>
      </w:trPr>
      <w:tcPr>
        <w:shd w:val="clear" w:color="auto" w:fill="DDDDDD" w:themeFill="accent1"/>
      </w:tcPr>
    </w:tblStylePr>
  </w:style>
  <w:style w:type="table" w:customStyle="1" w:styleId="PRMATableAccent2">
    <w:name w:val="PRMA Table Accent 2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B2B2B2" w:themeColor="accent2"/>
        <w:insideV w:val="single" w:sz="4" w:space="0" w:color="B2B2B2" w:themeColor="accent2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B2B2B2" w:themeFill="accent2"/>
      </w:tcPr>
    </w:tblStylePr>
  </w:style>
  <w:style w:type="table" w:customStyle="1" w:styleId="PRMATableAccent3">
    <w:name w:val="PRMA Table Accent 3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969696" w:themeColor="accent3"/>
        <w:insideV w:val="single" w:sz="4" w:space="0" w:color="969696" w:themeColor="accent3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969696" w:themeFill="accent3"/>
      </w:tcPr>
    </w:tblStylePr>
  </w:style>
  <w:style w:type="table" w:customStyle="1" w:styleId="PRMATableAccent4">
    <w:name w:val="PRMA Table Accent 4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rPr>
        <w:tblHeader/>
      </w:trPr>
      <w:tcPr>
        <w:shd w:val="clear" w:color="auto" w:fill="808080" w:themeFill="accent4"/>
      </w:tcPr>
    </w:tblStylePr>
  </w:style>
  <w:style w:type="table" w:customStyle="1" w:styleId="PRMAKeyMessageAccent1">
    <w:name w:val="PRMA Key Message Accent 1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DDDDDD" w:themeColor="accent1"/>
        <w:insideV w:val="single" w:sz="4" w:space="0" w:color="DDDDDD" w:themeColor="accent1"/>
      </w:tblBorders>
    </w:tblPr>
    <w:tcPr>
      <w:shd w:val="clear" w:color="auto" w:fill="F8F8F8" w:themeFill="accent1" w:themeFillTint="33"/>
      <w:tcMar>
        <w:top w:w="170" w:type="dxa"/>
        <w:left w:w="170" w:type="dxa"/>
        <w:bottom w:w="170" w:type="dxa"/>
        <w:right w:w="170" w:type="dxa"/>
      </w:tcMar>
    </w:tcPr>
  </w:style>
  <w:style w:type="table" w:customStyle="1" w:styleId="PRMAKeyMessageAccent2">
    <w:name w:val="PRMA Key Message Accent 2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B2B2B2" w:themeColor="accent2"/>
        <w:insideV w:val="single" w:sz="4" w:space="0" w:color="B2B2B2" w:themeColor="accent2"/>
      </w:tblBorders>
    </w:tblPr>
    <w:tcPr>
      <w:shd w:val="clear" w:color="auto" w:fill="EFEFEF" w:themeFill="accent2" w:themeFillTint="33"/>
      <w:tcMar>
        <w:top w:w="170" w:type="dxa"/>
        <w:left w:w="170" w:type="dxa"/>
        <w:bottom w:w="170" w:type="dxa"/>
        <w:right w:w="170" w:type="dxa"/>
      </w:tcMar>
    </w:tcPr>
  </w:style>
  <w:style w:type="table" w:customStyle="1" w:styleId="PRMAKeyMessageAccent3">
    <w:name w:val="PRMA Key Message Accent 3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969696" w:themeColor="accent3"/>
        <w:insideV w:val="single" w:sz="4" w:space="0" w:color="969696" w:themeColor="accent3"/>
      </w:tblBorders>
    </w:tblPr>
    <w:tcPr>
      <w:shd w:val="clear" w:color="auto" w:fill="EAEAEA" w:themeFill="accent3" w:themeFillTint="33"/>
      <w:tcMar>
        <w:top w:w="170" w:type="dxa"/>
        <w:left w:w="170" w:type="dxa"/>
        <w:bottom w:w="170" w:type="dxa"/>
        <w:right w:w="170" w:type="dxa"/>
      </w:tcMar>
    </w:tcPr>
  </w:style>
  <w:style w:type="table" w:customStyle="1" w:styleId="PRMAKeyMessageAccent4">
    <w:name w:val="PRMA Key Message Accent 4"/>
    <w:basedOn w:val="TableNormal"/>
    <w:uiPriority w:val="99"/>
    <w:qFormat/>
    <w:rsid w:val="001D4439"/>
    <w:pPr>
      <w:spacing w:after="0" w:line="240" w:lineRule="auto"/>
    </w:pPr>
    <w:tblPr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808080" w:themeColor="accent4"/>
        <w:insideV w:val="single" w:sz="4" w:space="0" w:color="808080" w:themeColor="accent4"/>
      </w:tblBorders>
    </w:tblPr>
    <w:tcPr>
      <w:shd w:val="clear" w:color="auto" w:fill="E5E5E5" w:themeFill="accent4" w:themeFillTint="33"/>
      <w:tcMar>
        <w:top w:w="170" w:type="dxa"/>
        <w:left w:w="170" w:type="dxa"/>
        <w:bottom w:w="170" w:type="dxa"/>
        <w:right w:w="170" w:type="dxa"/>
      </w:tcMar>
    </w:tcPr>
  </w:style>
  <w:style w:type="paragraph" w:customStyle="1" w:styleId="KeyMessageHeading">
    <w:name w:val="Key Message Heading"/>
    <w:basedOn w:val="BodyText"/>
    <w:next w:val="BodyText"/>
    <w:uiPriority w:val="5"/>
    <w:qFormat/>
    <w:rsid w:val="001D4439"/>
    <w:pPr>
      <w:spacing w:before="0"/>
    </w:pPr>
    <w:rPr>
      <w:b/>
      <w:color w:val="000000" w:themeColor="text2"/>
    </w:rPr>
  </w:style>
  <w:style w:type="paragraph" w:customStyle="1" w:styleId="Footnote">
    <w:name w:val="Footnote"/>
    <w:basedOn w:val="BodyText"/>
    <w:next w:val="BodyText"/>
    <w:uiPriority w:val="69"/>
    <w:qFormat/>
    <w:rsid w:val="004017E3"/>
    <w:pPr>
      <w:spacing w:before="60" w:after="320"/>
      <w:contextualSpacing/>
    </w:pPr>
    <w:rPr>
      <w:sz w:val="19"/>
    </w:rPr>
  </w:style>
  <w:style w:type="character" w:customStyle="1" w:styleId="Bold">
    <w:name w:val="Bold"/>
    <w:basedOn w:val="DefaultParagraphFont"/>
    <w:uiPriority w:val="40"/>
    <w:qFormat/>
    <w:rsid w:val="001D4439"/>
    <w:rPr>
      <w:b/>
    </w:rPr>
  </w:style>
  <w:style w:type="paragraph" w:styleId="Caption">
    <w:name w:val="caption"/>
    <w:basedOn w:val="BodyText"/>
    <w:next w:val="Normal"/>
    <w:uiPriority w:val="68"/>
    <w:qFormat/>
    <w:rsid w:val="001D4439"/>
    <w:pPr>
      <w:keepNext/>
      <w:tabs>
        <w:tab w:val="left" w:pos="794"/>
        <w:tab w:val="left" w:pos="1077"/>
      </w:tabs>
      <w:spacing w:before="200" w:after="120"/>
      <w:contextualSpacing/>
    </w:pPr>
    <w:rPr>
      <w:bCs/>
      <w:color w:val="808080" w:themeColor="accent4"/>
      <w:sz w:val="20"/>
      <w:szCs w:val="18"/>
    </w:rPr>
  </w:style>
  <w:style w:type="paragraph" w:customStyle="1" w:styleId="TableBody">
    <w:name w:val="Table Body"/>
    <w:basedOn w:val="BodyText"/>
    <w:uiPriority w:val="61"/>
    <w:qFormat/>
    <w:rsid w:val="001D4439"/>
    <w:pPr>
      <w:spacing w:before="60" w:line="240" w:lineRule="auto"/>
    </w:pPr>
    <w:rPr>
      <w:sz w:val="20"/>
    </w:rPr>
  </w:style>
  <w:style w:type="paragraph" w:customStyle="1" w:styleId="TableBodyCentred">
    <w:name w:val="Table Body Centred"/>
    <w:basedOn w:val="TableBody"/>
    <w:uiPriority w:val="62"/>
    <w:qFormat/>
    <w:rsid w:val="001D4439"/>
    <w:pPr>
      <w:jc w:val="center"/>
    </w:pPr>
  </w:style>
  <w:style w:type="paragraph" w:customStyle="1" w:styleId="TableHeader">
    <w:name w:val="Table Header"/>
    <w:basedOn w:val="TableBody"/>
    <w:uiPriority w:val="59"/>
    <w:qFormat/>
    <w:rsid w:val="001D4439"/>
    <w:pPr>
      <w:keepNext/>
    </w:pPr>
    <w:rPr>
      <w:b/>
    </w:rPr>
  </w:style>
  <w:style w:type="paragraph" w:customStyle="1" w:styleId="TableHeaderCentred">
    <w:name w:val="Table Header Centred"/>
    <w:basedOn w:val="TableHeader"/>
    <w:uiPriority w:val="60"/>
    <w:qFormat/>
    <w:rsid w:val="001D4439"/>
    <w:pPr>
      <w:jc w:val="center"/>
    </w:pPr>
  </w:style>
  <w:style w:type="paragraph" w:customStyle="1" w:styleId="NumberBulletsTables">
    <w:name w:val="Number Bullets Tables"/>
    <w:basedOn w:val="TableBody"/>
    <w:semiHidden/>
    <w:qFormat/>
    <w:locked/>
    <w:rsid w:val="001D4439"/>
  </w:style>
  <w:style w:type="paragraph" w:customStyle="1" w:styleId="TableBullets">
    <w:name w:val="Table Bullets"/>
    <w:basedOn w:val="TableBody"/>
    <w:uiPriority w:val="63"/>
    <w:qFormat/>
    <w:rsid w:val="001D4439"/>
    <w:pPr>
      <w:numPr>
        <w:numId w:val="17"/>
      </w:numPr>
      <w:spacing w:before="20" w:after="60"/>
      <w:contextualSpacing/>
    </w:pPr>
  </w:style>
  <w:style w:type="numbering" w:customStyle="1" w:styleId="BulletsforTables">
    <w:name w:val="Bullets for Tables"/>
    <w:uiPriority w:val="99"/>
    <w:rsid w:val="001D4439"/>
    <w:pPr>
      <w:numPr>
        <w:numId w:val="7"/>
      </w:numPr>
    </w:pPr>
  </w:style>
  <w:style w:type="paragraph" w:customStyle="1" w:styleId="NumberListTables">
    <w:name w:val="Number List Tables"/>
    <w:basedOn w:val="TableBody"/>
    <w:semiHidden/>
    <w:qFormat/>
    <w:locked/>
    <w:rsid w:val="001D4439"/>
  </w:style>
  <w:style w:type="paragraph" w:customStyle="1" w:styleId="TableNumberedList">
    <w:name w:val="Table Numbered List"/>
    <w:basedOn w:val="TableBody"/>
    <w:uiPriority w:val="64"/>
    <w:qFormat/>
    <w:rsid w:val="001D4439"/>
    <w:pPr>
      <w:numPr>
        <w:numId w:val="18"/>
      </w:numPr>
      <w:spacing w:before="20" w:after="60"/>
      <w:contextualSpacing/>
    </w:pPr>
  </w:style>
  <w:style w:type="numbering" w:customStyle="1" w:styleId="NumberedListforTables">
    <w:name w:val="Numbered List for Tables"/>
    <w:uiPriority w:val="99"/>
    <w:rsid w:val="001D4439"/>
    <w:pPr>
      <w:numPr>
        <w:numId w:val="15"/>
      </w:numPr>
    </w:pPr>
  </w:style>
  <w:style w:type="paragraph" w:customStyle="1" w:styleId="NumberAlphaTables">
    <w:name w:val="Number Alpha Tables"/>
    <w:basedOn w:val="TableBody"/>
    <w:semiHidden/>
    <w:qFormat/>
    <w:locked/>
    <w:rsid w:val="001D4439"/>
  </w:style>
  <w:style w:type="paragraph" w:customStyle="1" w:styleId="TableAlphaList0">
    <w:name w:val="Table Alpha List"/>
    <w:basedOn w:val="TableBody"/>
    <w:uiPriority w:val="65"/>
    <w:semiHidden/>
    <w:qFormat/>
    <w:rsid w:val="001D4439"/>
    <w:pPr>
      <w:numPr>
        <w:numId w:val="16"/>
      </w:numPr>
      <w:spacing w:before="20" w:after="60"/>
      <w:contextualSpacing/>
    </w:pPr>
  </w:style>
  <w:style w:type="numbering" w:customStyle="1" w:styleId="TableAlphalist">
    <w:name w:val="Table Alpha list"/>
    <w:uiPriority w:val="99"/>
    <w:rsid w:val="001D4439"/>
    <w:pPr>
      <w:numPr>
        <w:numId w:val="16"/>
      </w:numPr>
    </w:pPr>
  </w:style>
  <w:style w:type="paragraph" w:styleId="BalloonText">
    <w:name w:val="Balloon Text"/>
    <w:basedOn w:val="Normal"/>
    <w:link w:val="BalloonTextChar"/>
    <w:uiPriority w:val="99"/>
    <w:semiHidden/>
    <w:locked/>
    <w:rsid w:val="001D44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39"/>
    <w:rPr>
      <w:rFonts w:ascii="Tahoma" w:hAnsi="Tahoma" w:cs="Tahoma"/>
      <w:sz w:val="16"/>
      <w:szCs w:val="16"/>
    </w:rPr>
  </w:style>
  <w:style w:type="paragraph" w:customStyle="1" w:styleId="Heading1Nonumber">
    <w:name w:val="Heading 1 No number"/>
    <w:basedOn w:val="Heading1"/>
    <w:next w:val="BodyText"/>
    <w:uiPriority w:val="3"/>
    <w:qFormat/>
    <w:rsid w:val="001D4439"/>
  </w:style>
  <w:style w:type="paragraph" w:customStyle="1" w:styleId="NumberedAppendix">
    <w:name w:val="Numbered Appendix"/>
    <w:basedOn w:val="BodyText"/>
    <w:semiHidden/>
    <w:qFormat/>
    <w:locked/>
    <w:rsid w:val="001D4439"/>
  </w:style>
  <w:style w:type="paragraph" w:customStyle="1" w:styleId="Appendix1">
    <w:name w:val="Appendix 1"/>
    <w:basedOn w:val="BodyText"/>
    <w:next w:val="Normal"/>
    <w:uiPriority w:val="73"/>
    <w:qFormat/>
    <w:rsid w:val="001D4439"/>
    <w:pPr>
      <w:keepNext/>
      <w:numPr>
        <w:numId w:val="2"/>
      </w:numPr>
      <w:spacing w:before="160"/>
    </w:pPr>
  </w:style>
  <w:style w:type="numbering" w:customStyle="1" w:styleId="AppendixList">
    <w:name w:val="Appendix List"/>
    <w:uiPriority w:val="99"/>
    <w:rsid w:val="001D4439"/>
    <w:pPr>
      <w:numPr>
        <w:numId w:val="3"/>
      </w:numPr>
    </w:pPr>
  </w:style>
  <w:style w:type="paragraph" w:customStyle="1" w:styleId="Appendix2">
    <w:name w:val="Appendix 2"/>
    <w:basedOn w:val="Appendix1"/>
    <w:uiPriority w:val="74"/>
    <w:qFormat/>
    <w:rsid w:val="001D4439"/>
    <w:pPr>
      <w:numPr>
        <w:ilvl w:val="1"/>
      </w:numPr>
      <w:spacing w:before="60"/>
    </w:pPr>
  </w:style>
  <w:style w:type="paragraph" w:customStyle="1" w:styleId="GlossaryBodyText">
    <w:name w:val="Glossary Body Text"/>
    <w:basedOn w:val="BodyText"/>
    <w:uiPriority w:val="75"/>
    <w:qFormat/>
    <w:rsid w:val="001D4439"/>
    <w:pPr>
      <w:spacing w:before="60"/>
      <w:ind w:left="1474" w:hanging="1474"/>
    </w:pPr>
  </w:style>
  <w:style w:type="character" w:customStyle="1" w:styleId="Italic">
    <w:name w:val="Italic"/>
    <w:basedOn w:val="DefaultParagraphFont"/>
    <w:uiPriority w:val="40"/>
    <w:qFormat/>
    <w:rsid w:val="001D4439"/>
    <w:rPr>
      <w:i/>
    </w:rPr>
  </w:style>
  <w:style w:type="character" w:customStyle="1" w:styleId="Highlight">
    <w:name w:val="Highlight"/>
    <w:basedOn w:val="DefaultParagraphFont"/>
    <w:uiPriority w:val="41"/>
    <w:qFormat/>
    <w:rsid w:val="001D4439"/>
    <w:rPr>
      <w:bdr w:val="none" w:sz="0" w:space="0" w:color="auto"/>
      <w:shd w:val="clear" w:color="auto" w:fill="FFFF00"/>
    </w:rPr>
  </w:style>
  <w:style w:type="character" w:customStyle="1" w:styleId="Superscript">
    <w:name w:val="Superscript"/>
    <w:basedOn w:val="DefaultParagraphFont"/>
    <w:uiPriority w:val="42"/>
    <w:qFormat/>
    <w:rsid w:val="001D4439"/>
    <w:rPr>
      <w:vertAlign w:val="superscript"/>
    </w:rPr>
  </w:style>
  <w:style w:type="character" w:customStyle="1" w:styleId="Subscript">
    <w:name w:val="Subscript"/>
    <w:basedOn w:val="DefaultParagraphFont"/>
    <w:uiPriority w:val="43"/>
    <w:qFormat/>
    <w:rsid w:val="001D4439"/>
    <w:rPr>
      <w:vertAlign w:val="subscript"/>
    </w:rPr>
  </w:style>
  <w:style w:type="character" w:styleId="Hyperlink">
    <w:name w:val="Hyperlink"/>
    <w:basedOn w:val="DefaultParagraphFont"/>
    <w:uiPriority w:val="99"/>
    <w:rsid w:val="001D4439"/>
    <w:rPr>
      <w:color w:val="5F5F5F" w:themeColor="hyperlink"/>
      <w:u w:val="single"/>
    </w:rPr>
  </w:style>
  <w:style w:type="paragraph" w:styleId="ListNumber">
    <w:name w:val="List Number"/>
    <w:basedOn w:val="Normal"/>
    <w:uiPriority w:val="99"/>
    <w:semiHidden/>
    <w:locked/>
    <w:rsid w:val="001D4439"/>
    <w:pPr>
      <w:numPr>
        <w:numId w:val="11"/>
      </w:numPr>
      <w:spacing w:after="0" w:line="276" w:lineRule="auto"/>
      <w:contextualSpacing/>
    </w:pPr>
  </w:style>
  <w:style w:type="character" w:customStyle="1" w:styleId="RemoveCharacterStyle">
    <w:name w:val="Remove Character Style"/>
    <w:uiPriority w:val="49"/>
    <w:qFormat/>
    <w:rsid w:val="001D4439"/>
  </w:style>
  <w:style w:type="paragraph" w:styleId="TOC2">
    <w:name w:val="toc 2"/>
    <w:basedOn w:val="Normal"/>
    <w:next w:val="Normal"/>
    <w:autoRedefine/>
    <w:uiPriority w:val="39"/>
    <w:semiHidden/>
    <w:qFormat/>
    <w:rsid w:val="001D4439"/>
    <w:pPr>
      <w:tabs>
        <w:tab w:val="right" w:leader="dot" w:pos="9016"/>
      </w:tabs>
      <w:spacing w:before="80" w:after="0"/>
      <w:ind w:left="2892" w:right="1021" w:hanging="1134"/>
    </w:pPr>
  </w:style>
  <w:style w:type="paragraph" w:styleId="TOC3">
    <w:name w:val="toc 3"/>
    <w:basedOn w:val="Normal"/>
    <w:next w:val="Normal"/>
    <w:autoRedefine/>
    <w:uiPriority w:val="39"/>
    <w:semiHidden/>
    <w:qFormat/>
    <w:rsid w:val="001D4439"/>
    <w:pPr>
      <w:spacing w:before="80" w:after="0"/>
      <w:ind w:left="2892" w:right="1021" w:hanging="1134"/>
    </w:pPr>
  </w:style>
  <w:style w:type="paragraph" w:styleId="TOC4">
    <w:name w:val="toc 4"/>
    <w:basedOn w:val="Normal"/>
    <w:next w:val="Normal"/>
    <w:autoRedefine/>
    <w:uiPriority w:val="39"/>
    <w:semiHidden/>
    <w:rsid w:val="001D4439"/>
    <w:pPr>
      <w:spacing w:before="80" w:after="0"/>
      <w:ind w:left="2892" w:right="1021" w:hanging="1134"/>
    </w:pPr>
  </w:style>
  <w:style w:type="paragraph" w:styleId="TOC5">
    <w:name w:val="toc 5"/>
    <w:basedOn w:val="Normal"/>
    <w:next w:val="Normal"/>
    <w:autoRedefine/>
    <w:uiPriority w:val="89"/>
    <w:semiHidden/>
    <w:rsid w:val="001D4439"/>
    <w:pPr>
      <w:spacing w:before="80" w:after="0"/>
      <w:ind w:left="2892" w:right="1021" w:hanging="1134"/>
    </w:pPr>
  </w:style>
  <w:style w:type="numbering" w:customStyle="1" w:styleId="Appendix">
    <w:name w:val="Appendix"/>
    <w:uiPriority w:val="99"/>
    <w:rsid w:val="001D4439"/>
    <w:pPr>
      <w:numPr>
        <w:numId w:val="1"/>
      </w:numPr>
    </w:pPr>
  </w:style>
  <w:style w:type="numbering" w:customStyle="1" w:styleId="VMAppendix">
    <w:name w:val="VM Appendix"/>
    <w:uiPriority w:val="99"/>
    <w:rsid w:val="001D4439"/>
    <w:pPr>
      <w:numPr>
        <w:numId w:val="19"/>
      </w:numPr>
    </w:pPr>
  </w:style>
  <w:style w:type="paragraph" w:styleId="TOCHeading">
    <w:name w:val="TOC Heading"/>
    <w:basedOn w:val="Heading1"/>
    <w:next w:val="Normal"/>
    <w:uiPriority w:val="39"/>
    <w:semiHidden/>
    <w:qFormat/>
    <w:rsid w:val="001D4439"/>
    <w:pPr>
      <w:spacing w:before="480" w:after="0" w:line="276" w:lineRule="auto"/>
      <w:outlineLvl w:val="9"/>
    </w:pPr>
    <w:rPr>
      <w:b/>
      <w:color w:val="A5A5A5" w:themeColor="accent1" w:themeShade="BF"/>
      <w:sz w:val="28"/>
      <w:lang w:val="en-US"/>
    </w:rPr>
  </w:style>
  <w:style w:type="paragraph" w:styleId="TableofFigures">
    <w:name w:val="table of figures"/>
    <w:aliases w:val="Table of Tables &amp; Figures"/>
    <w:basedOn w:val="Normal"/>
    <w:next w:val="Normal"/>
    <w:uiPriority w:val="99"/>
    <w:rsid w:val="001D4439"/>
    <w:pPr>
      <w:spacing w:after="120"/>
      <w:ind w:left="1843" w:right="1021" w:hanging="964"/>
    </w:pPr>
  </w:style>
  <w:style w:type="paragraph" w:styleId="TOC9">
    <w:name w:val="toc 9"/>
    <w:basedOn w:val="Normal"/>
    <w:next w:val="Normal"/>
    <w:autoRedefine/>
    <w:uiPriority w:val="39"/>
    <w:semiHidden/>
    <w:rsid w:val="001D4439"/>
    <w:pPr>
      <w:tabs>
        <w:tab w:val="left" w:pos="1758"/>
        <w:tab w:val="right" w:leader="dot" w:pos="9016"/>
      </w:tabs>
      <w:spacing w:before="160" w:after="240" w:line="360" w:lineRule="auto"/>
      <w:ind w:left="1758" w:right="1021" w:hanging="879"/>
      <w:contextualSpacing/>
    </w:pPr>
    <w:rPr>
      <w:color w:val="000000" w:themeColor="text2"/>
      <w:sz w:val="26"/>
    </w:rPr>
  </w:style>
  <w:style w:type="paragraph" w:styleId="Header">
    <w:name w:val="header"/>
    <w:basedOn w:val="Normal"/>
    <w:link w:val="HeaderChar"/>
    <w:uiPriority w:val="99"/>
    <w:semiHidden/>
    <w:locked/>
    <w:rsid w:val="001D44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439"/>
  </w:style>
  <w:style w:type="paragraph" w:styleId="Footer">
    <w:name w:val="footer"/>
    <w:basedOn w:val="Normal"/>
    <w:link w:val="FooterChar"/>
    <w:uiPriority w:val="82"/>
    <w:semiHidden/>
    <w:rsid w:val="001D4439"/>
    <w:pPr>
      <w:pBdr>
        <w:bottom w:val="single" w:sz="4" w:space="2" w:color="4D4D4D" w:themeColor="accent6"/>
      </w:pBdr>
      <w:tabs>
        <w:tab w:val="center" w:pos="4513"/>
        <w:tab w:val="right" w:pos="9026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82"/>
    <w:semiHidden/>
    <w:rsid w:val="001D4439"/>
  </w:style>
  <w:style w:type="paragraph" w:customStyle="1" w:styleId="PageNumber1">
    <w:name w:val="Page Number1"/>
    <w:autoRedefine/>
    <w:uiPriority w:val="81"/>
    <w:semiHidden/>
    <w:qFormat/>
    <w:rsid w:val="001D4439"/>
    <w:pPr>
      <w:spacing w:before="20" w:after="0" w:line="240" w:lineRule="auto"/>
      <w:ind w:right="85"/>
      <w:jc w:val="right"/>
    </w:pPr>
    <w:rPr>
      <w:color w:val="000000" w:themeColor="text1" w:themeShade="BF"/>
      <w:sz w:val="20"/>
    </w:rPr>
  </w:style>
  <w:style w:type="paragraph" w:styleId="Title">
    <w:name w:val="Title"/>
    <w:basedOn w:val="Normal"/>
    <w:next w:val="Normal"/>
    <w:link w:val="TitleChar"/>
    <w:uiPriority w:val="78"/>
    <w:qFormat/>
    <w:rsid w:val="001D4439"/>
    <w:pPr>
      <w:spacing w:before="2760" w:after="24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78"/>
    <w:rsid w:val="001D443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6"/>
      <w:szCs w:val="52"/>
    </w:rPr>
  </w:style>
  <w:style w:type="paragraph" w:customStyle="1" w:styleId="Titlesub">
    <w:name w:val="Title sub"/>
    <w:basedOn w:val="Normal"/>
    <w:uiPriority w:val="79"/>
    <w:semiHidden/>
    <w:qFormat/>
    <w:locked/>
    <w:rsid w:val="001D4439"/>
    <w:pPr>
      <w:spacing w:after="0" w:line="276" w:lineRule="auto"/>
    </w:pPr>
    <w:rPr>
      <w:b/>
      <w:color w:val="000000" w:themeColor="text2"/>
      <w:sz w:val="32"/>
    </w:rPr>
  </w:style>
  <w:style w:type="paragraph" w:customStyle="1" w:styleId="Documentinfotitle">
    <w:name w:val="Document info title"/>
    <w:basedOn w:val="Normal"/>
    <w:next w:val="Documentinfo"/>
    <w:uiPriority w:val="80"/>
    <w:semiHidden/>
    <w:qFormat/>
    <w:locked/>
    <w:rsid w:val="001D4439"/>
    <w:pPr>
      <w:spacing w:before="240" w:after="80"/>
    </w:pPr>
    <w:rPr>
      <w:b/>
      <w:color w:val="000000" w:themeColor="text2"/>
    </w:rPr>
  </w:style>
  <w:style w:type="paragraph" w:customStyle="1" w:styleId="Documentinfo">
    <w:name w:val="Document info"/>
    <w:basedOn w:val="Normal"/>
    <w:uiPriority w:val="80"/>
    <w:semiHidden/>
    <w:qFormat/>
    <w:locked/>
    <w:rsid w:val="001D4439"/>
    <w:pPr>
      <w:spacing w:after="0"/>
    </w:pPr>
    <w:rPr>
      <w:color w:val="000000" w:themeColor="text1"/>
    </w:rPr>
  </w:style>
  <w:style w:type="paragraph" w:customStyle="1" w:styleId="PageHeader">
    <w:name w:val="Page Header"/>
    <w:basedOn w:val="Normal"/>
    <w:uiPriority w:val="77"/>
    <w:semiHidden/>
    <w:qFormat/>
    <w:rsid w:val="001D4439"/>
    <w:pPr>
      <w:spacing w:after="0" w:line="276" w:lineRule="auto"/>
      <w:jc w:val="right"/>
    </w:pPr>
    <w:rPr>
      <w:b/>
      <w:color w:val="999999" w:themeColor="text1" w:themeTint="66"/>
    </w:rPr>
  </w:style>
  <w:style w:type="paragraph" w:styleId="ListParagraph">
    <w:name w:val="List Paragraph"/>
    <w:basedOn w:val="Normal"/>
    <w:uiPriority w:val="34"/>
    <w:qFormat/>
    <w:locked/>
    <w:rsid w:val="001D4439"/>
    <w:pPr>
      <w:spacing w:after="0" w:line="276" w:lineRule="auto"/>
      <w:ind w:left="720"/>
      <w:contextualSpacing/>
    </w:pPr>
  </w:style>
  <w:style w:type="paragraph" w:customStyle="1" w:styleId="Tablebullet">
    <w:name w:val="Table bullet"/>
    <w:basedOn w:val="Normal"/>
    <w:semiHidden/>
    <w:qFormat/>
    <w:rsid w:val="001D4439"/>
    <w:pPr>
      <w:spacing w:before="20" w:after="20"/>
      <w:ind w:left="170" w:hanging="170"/>
      <w:contextualSpacing/>
    </w:pPr>
    <w:rPr>
      <w:bCs/>
      <w:sz w:val="20"/>
    </w:rPr>
  </w:style>
  <w:style w:type="paragraph" w:styleId="ListBullet">
    <w:name w:val="List Bullet"/>
    <w:basedOn w:val="Normal"/>
    <w:uiPriority w:val="99"/>
    <w:semiHidden/>
    <w:locked/>
    <w:rsid w:val="001D4439"/>
    <w:pPr>
      <w:ind w:left="862" w:hanging="360"/>
      <w:contextualSpacing/>
    </w:pPr>
  </w:style>
  <w:style w:type="table" w:customStyle="1" w:styleId="LightList-Accent11">
    <w:name w:val="Light List - Accent 11"/>
    <w:basedOn w:val="TableNormal"/>
    <w:locked/>
    <w:rsid w:val="001D4439"/>
    <w:pPr>
      <w:spacing w:after="0" w:line="240" w:lineRule="auto"/>
    </w:pPr>
    <w:rPr>
      <w:rFonts w:ascii="Calibri" w:eastAsia="Verdana" w:hAnsi="Calibri" w:cs="Times New Roman"/>
      <w:color w:val="262626"/>
      <w:lang w:val="en-US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Heading">
    <w:name w:val="TableHeading"/>
    <w:basedOn w:val="Normal"/>
    <w:uiPriority w:val="3"/>
    <w:semiHidden/>
    <w:qFormat/>
    <w:rsid w:val="001D4439"/>
    <w:pPr>
      <w:keepNext/>
      <w:spacing w:before="80" w:after="80"/>
      <w:jc w:val="center"/>
    </w:pPr>
    <w:rPr>
      <w:rFonts w:ascii="Calibri" w:eastAsia="Verdana" w:hAnsi="Calibri" w:cs="Times New Roman"/>
      <w:b/>
      <w:color w:val="FFFFFF"/>
      <w:szCs w:val="20"/>
      <w:lang w:val="en-US"/>
    </w:rPr>
  </w:style>
  <w:style w:type="paragraph" w:customStyle="1" w:styleId="TableBody0">
    <w:name w:val="TableBody"/>
    <w:basedOn w:val="Normal"/>
    <w:uiPriority w:val="3"/>
    <w:semiHidden/>
    <w:qFormat/>
    <w:rsid w:val="001D4439"/>
    <w:pPr>
      <w:spacing w:before="60" w:after="60"/>
    </w:pPr>
    <w:rPr>
      <w:rFonts w:ascii="Calibri" w:eastAsia="Verdana" w:hAnsi="Calibri" w:cs="Times New Roman"/>
      <w:color w:val="484848"/>
      <w:sz w:val="20"/>
      <w:szCs w:val="20"/>
      <w:lang w:val="en-US"/>
    </w:rPr>
  </w:style>
  <w:style w:type="character" w:customStyle="1" w:styleId="ThinSpaceApplytoparagraphmark">
    <w:name w:val="Thin Space (Apply to paragraph mark)"/>
    <w:basedOn w:val="DefaultParagraphFont"/>
    <w:uiPriority w:val="3"/>
    <w:semiHidden/>
    <w:qFormat/>
    <w:rsid w:val="001D4439"/>
    <w:rPr>
      <w:sz w:val="10"/>
    </w:rPr>
  </w:style>
  <w:style w:type="paragraph" w:customStyle="1" w:styleId="BodyTextbeforeTableFigurewithnoCaption">
    <w:name w:val="Body Text before Table/Figure with no Caption"/>
    <w:basedOn w:val="BodyText"/>
    <w:next w:val="BodyText"/>
    <w:uiPriority w:val="21"/>
    <w:qFormat/>
    <w:rsid w:val="001D4439"/>
    <w:pPr>
      <w:spacing w:after="120"/>
    </w:pPr>
  </w:style>
  <w:style w:type="paragraph" w:customStyle="1" w:styleId="LOTLOFHeading">
    <w:name w:val="LOT/LOF Heading"/>
    <w:basedOn w:val="Preface"/>
    <w:next w:val="BodyText"/>
    <w:uiPriority w:val="1"/>
    <w:semiHidden/>
    <w:qFormat/>
    <w:rsid w:val="001D4439"/>
  </w:style>
  <w:style w:type="paragraph" w:customStyle="1" w:styleId="ReferenceBodyText">
    <w:name w:val="Reference Body Text"/>
    <w:basedOn w:val="BodyText"/>
    <w:uiPriority w:val="76"/>
    <w:qFormat/>
    <w:rsid w:val="002E6EAD"/>
    <w:pPr>
      <w:spacing w:before="40"/>
      <w:ind w:left="284" w:hanging="284"/>
    </w:pPr>
    <w:rPr>
      <w:sz w:val="20"/>
    </w:rPr>
  </w:style>
  <w:style w:type="character" w:styleId="CommentReference">
    <w:name w:val="annotation reference"/>
    <w:basedOn w:val="DefaultParagraphFont"/>
    <w:uiPriority w:val="99"/>
    <w:semiHidden/>
    <w:locked/>
    <w:rsid w:val="001D4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1D44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1D4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39"/>
    <w:rPr>
      <w:b/>
      <w:bCs/>
      <w:sz w:val="20"/>
      <w:szCs w:val="20"/>
    </w:rPr>
  </w:style>
  <w:style w:type="paragraph" w:customStyle="1" w:styleId="TableBullets2">
    <w:name w:val="Table Bullets 2"/>
    <w:basedOn w:val="TableBullets"/>
    <w:uiPriority w:val="63"/>
    <w:qFormat/>
    <w:rsid w:val="001D4439"/>
    <w:pPr>
      <w:numPr>
        <w:ilvl w:val="1"/>
      </w:numPr>
    </w:pPr>
  </w:style>
  <w:style w:type="paragraph" w:customStyle="1" w:styleId="NumberedList2">
    <w:name w:val="Numbered List 2"/>
    <w:basedOn w:val="NumberedList"/>
    <w:uiPriority w:val="24"/>
    <w:qFormat/>
    <w:rsid w:val="001D4439"/>
    <w:pPr>
      <w:numPr>
        <w:ilvl w:val="1"/>
        <w:numId w:val="14"/>
      </w:numPr>
    </w:pPr>
  </w:style>
  <w:style w:type="paragraph" w:customStyle="1" w:styleId="PRMARef">
    <w:name w:val="PRMA Ref"/>
    <w:basedOn w:val="Documentinfotitle"/>
    <w:uiPriority w:val="98"/>
    <w:semiHidden/>
    <w:qFormat/>
    <w:rsid w:val="001D4439"/>
    <w:rPr>
      <w:b w:val="0"/>
      <w:color w:val="000000" w:themeColor="text1"/>
      <w:sz w:val="18"/>
      <w:szCs w:val="18"/>
    </w:rPr>
  </w:style>
  <w:style w:type="paragraph" w:customStyle="1" w:styleId="BodytextdirectlyafterTableFigure">
    <w:name w:val="Body text directly after Table/Figure"/>
    <w:basedOn w:val="BodyText"/>
    <w:uiPriority w:val="21"/>
    <w:qFormat/>
    <w:rsid w:val="001D4439"/>
    <w:pPr>
      <w:spacing w:before="160"/>
    </w:pPr>
  </w:style>
  <w:style w:type="paragraph" w:customStyle="1" w:styleId="EndNoteBibliography">
    <w:name w:val="EndNote Bibliography"/>
    <w:basedOn w:val="Normal"/>
    <w:link w:val="EndNoteBibliographyChar"/>
    <w:uiPriority w:val="98"/>
    <w:unhideWhenUsed/>
    <w:rsid w:val="001D4439"/>
    <w:rPr>
      <w:rFonts w:ascii="Calibri" w:hAnsi="Calibri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uiPriority w:val="98"/>
    <w:rsid w:val="001D4439"/>
    <w:rPr>
      <w:rFonts w:ascii="Calibri" w:hAnsi="Calibri"/>
      <w:noProof/>
      <w:sz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1"/>
    <w:uiPriority w:val="98"/>
    <w:unhideWhenUsed/>
    <w:rsid w:val="001D4439"/>
    <w:pPr>
      <w:spacing w:after="0"/>
      <w:jc w:val="center"/>
    </w:pPr>
    <w:rPr>
      <w:rFonts w:ascii="Calibri" w:hAnsi="Calibri"/>
      <w:noProof/>
      <w:sz w:val="20"/>
      <w:lang w:val="en-US"/>
    </w:rPr>
  </w:style>
  <w:style w:type="character" w:customStyle="1" w:styleId="EndNoteBibliographyTitleChar1">
    <w:name w:val="EndNote Bibliography Title Char1"/>
    <w:basedOn w:val="DefaultParagraphFont"/>
    <w:link w:val="EndNoteBibliographyTitle"/>
    <w:uiPriority w:val="98"/>
    <w:rsid w:val="001D4439"/>
    <w:rPr>
      <w:rFonts w:ascii="Calibri" w:hAnsi="Calibri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uiPriority w:val="98"/>
    <w:unhideWhenUsed/>
    <w:rsid w:val="001D4439"/>
  </w:style>
  <w:style w:type="table" w:customStyle="1" w:styleId="PlainTable21">
    <w:name w:val="Plain Table 21"/>
    <w:basedOn w:val="TableNormal"/>
    <w:uiPriority w:val="42"/>
    <w:rsid w:val="005122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287726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376E6F"/>
    <w:rPr>
      <w:rFonts w:cs="Times New Roman"/>
      <w:szCs w:val="24"/>
    </w:rPr>
  </w:style>
  <w:style w:type="character" w:styleId="Emphasis">
    <w:name w:val="Emphasis"/>
    <w:basedOn w:val="DefaultParagraphFont"/>
    <w:uiPriority w:val="20"/>
    <w:semiHidden/>
    <w:qFormat/>
    <w:locked/>
    <w:rsid w:val="00F43ADC"/>
    <w:rPr>
      <w:i/>
      <w:iCs/>
    </w:rPr>
  </w:style>
  <w:style w:type="paragraph" w:customStyle="1" w:styleId="Heading2nonumber">
    <w:name w:val="Heading 2 no number"/>
    <w:basedOn w:val="Heading2"/>
    <w:link w:val="Heading2nonumberChar"/>
    <w:qFormat/>
    <w:rsid w:val="001D4439"/>
    <w:pPr>
      <w:keepNext w:val="0"/>
      <w:numPr>
        <w:ilvl w:val="0"/>
      </w:numPr>
    </w:pPr>
  </w:style>
  <w:style w:type="character" w:customStyle="1" w:styleId="Heading2nonumberChar">
    <w:name w:val="Heading 2 no number Char"/>
    <w:basedOn w:val="Heading2Char"/>
    <w:link w:val="Heading2nonumber"/>
    <w:rsid w:val="001D4439"/>
    <w:rPr>
      <w:rFonts w:asciiTheme="majorHAnsi" w:eastAsiaTheme="majorEastAsia" w:hAnsiTheme="majorHAnsi" w:cstheme="majorBidi"/>
      <w:b/>
      <w:bCs/>
      <w:color w:val="000000" w:themeColor="text2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158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56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546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85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64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85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6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634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302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0730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129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97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14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83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29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7105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507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516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68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762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307">
          <w:marLeft w:val="67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RMA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4bc137-96ed-491b-813e-5121a913f108">
      <UserInfo>
        <DisplayName/>
        <AccountId xsi:nil="true"/>
        <AccountType/>
      </UserInfo>
    </SharedWithUsers>
    <File xmlns="D857F76D-BEC5-4FFD-9413-07585841E66F">Manuscript</File>
    <Drawer xmlns="D857F76D-BEC5-4FFD-9413-07585841E66F">Submission to Melanoma Research</Draw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14194C809ED4BA67EF4EE46D24C90" ma:contentTypeVersion="" ma:contentTypeDescription="Create a new document." ma:contentTypeScope="" ma:versionID="424999bda3568e4f1698f067c010d1f2">
  <xsd:schema xmlns:xsd="http://www.w3.org/2001/XMLSchema" xmlns:xs="http://www.w3.org/2001/XMLSchema" xmlns:p="http://schemas.microsoft.com/office/2006/metadata/properties" xmlns:ns2="D857F76D-BEC5-4FFD-9413-07585841E66F" xmlns:ns3="984bc137-96ed-491b-813e-5121a913f108" targetNamespace="http://schemas.microsoft.com/office/2006/metadata/properties" ma:root="true" ma:fieldsID="4b06fa5651eb73799b2c55b8ce2c48f9" ns2:_="" ns3:_="">
    <xsd:import namespace="D857F76D-BEC5-4FFD-9413-07585841E66F"/>
    <xsd:import namespace="984bc137-96ed-491b-813e-5121a913f108"/>
    <xsd:element name="properties">
      <xsd:complexType>
        <xsd:sequence>
          <xsd:element name="documentManagement">
            <xsd:complexType>
              <xsd:all>
                <xsd:element ref="ns2:Drawer" minOccurs="0"/>
                <xsd:element ref="ns2:Fil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7F76D-BEC5-4FFD-9413-07585841E66F" elementFormDefault="qualified">
    <xsd:import namespace="http://schemas.microsoft.com/office/2006/documentManagement/types"/>
    <xsd:import namespace="http://schemas.microsoft.com/office/infopath/2007/PartnerControls"/>
    <xsd:element name="Drawer" ma:index="8" nillable="true" ma:displayName="Drawer" ma:internalName="Drawer">
      <xsd:simpleType>
        <xsd:restriction base="dms:Text">
          <xsd:maxLength value="255"/>
        </xsd:restriction>
      </xsd:simpleType>
    </xsd:element>
    <xsd:element name="File" ma:index="9" nillable="true" ma:displayName="File" ma:internalName="Fi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bc137-96ed-491b-813e-5121a913f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8331F-20A8-40F7-BA30-97F770E53E9E}">
  <ds:schemaRefs>
    <ds:schemaRef ds:uri="http://purl.org/dc/elements/1.1/"/>
    <ds:schemaRef ds:uri="D857F76D-BEC5-4FFD-9413-07585841E66F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984bc137-96ed-491b-813e-5121a913f1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CF0D46-7C33-4A28-A8B3-099D71960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7F76D-BEC5-4FFD-9413-07585841E66F"/>
    <ds:schemaRef ds:uri="984bc137-96ed-491b-813e-5121a913f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27E181-8618-4A5F-8438-19D3F72FB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4CFCB2-A97E-4B65-A384-AE8960B1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3866</Words>
  <Characters>22040</Characters>
  <Application>Microsoft Office Word</Application>
  <DocSecurity>0</DocSecurity>
  <Lines>183</Lines>
  <Paragraphs>51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External Publications</vt:lpstr>
      <vt:lpstr>External Publications</vt:lpstr>
      <vt:lpstr>External Publications</vt:lpstr>
    </vt:vector>
  </TitlesOfParts>
  <Company>PRMA Consulting Ltd</Company>
  <LinksUpToDate>false</LinksUpToDate>
  <CharactersWithSpaces>25855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Publications</dc:title>
  <dc:subject/>
  <dc:creator>PRMA Consulting Ltd</dc:creator>
  <cp:keywords/>
  <dc:description/>
  <cp:lastModifiedBy>Max Thomas</cp:lastModifiedBy>
  <cp:revision>2</cp:revision>
  <cp:lastPrinted>2017-09-26T14:07:00Z</cp:lastPrinted>
  <dcterms:created xsi:type="dcterms:W3CDTF">2018-03-08T07:41:00Z</dcterms:created>
  <dcterms:modified xsi:type="dcterms:W3CDTF">2018-03-08T07:41:00Z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0x0101007AD14194C809ED4BA67EF4EE46D24C90</vt:lpwstr>
  </property>
  <property fmtid="{D5CDD505-2E9C-101B-9397-08002B2CF9AE}" pid="3" name="_dlc_DocIdItemGuid">
    <vt:lpwstr>9209f629-447e-4c61-9fd3-5f2bd7cab361</vt:lpwstr>
  </property>
  <property fmtid="{D5CDD505-2E9C-101B-9397-08002B2CF9AE}" pid="4" name="Order">
    <vt:i4>300</vt:i4>
  </property>
  <property fmtid="{D5CDD505-2E9C-101B-9397-08002B2CF9AE}" pid="5" name="TaxCatchAll">
    <vt:lpwstr/>
  </property>
  <property fmtid="{D5CDD505-2E9C-101B-9397-08002B2CF9AE}" pid="6" name="Drawer">
    <vt:lpwstr/>
  </property>
  <property fmtid="{D5CDD505-2E9C-101B-9397-08002B2CF9AE}" pid="7" name="_NewReviewCycle">
    <vt:lpwstr/>
  </property>
</Properties>
</file>