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Appendix</w:t>
      </w:r>
      <w:r>
        <w:t xml:space="preserve"> </w:t>
      </w:r>
      <w:r>
        <w:t xml:space="preserve">to:</w:t>
      </w:r>
      <w:r>
        <w:t xml:space="preserve"> </w:t>
      </w:r>
      <w:r>
        <w:t xml:space="preserve">Novel</w:t>
      </w:r>
      <w:r>
        <w:t xml:space="preserve"> </w:t>
      </w:r>
      <w:r>
        <w:t xml:space="preserve">insights</w:t>
      </w:r>
      <w:r>
        <w:t xml:space="preserve"> </w:t>
      </w:r>
      <w:r>
        <w:t xml:space="preserve">into</w:t>
      </w:r>
      <w:r>
        <w:t xml:space="preserve"> </w:t>
      </w:r>
      <w:r>
        <w:t xml:space="preserve">activity</w:t>
      </w:r>
      <w:r>
        <w:t xml:space="preserve"> </w:t>
      </w:r>
      <w:r>
        <w:t xml:space="preserve">patterns</w:t>
      </w:r>
      <w:r>
        <w:t xml:space="preserve"> </w:t>
      </w:r>
      <w:r>
        <w:t xml:space="preserve">in</w:t>
      </w:r>
      <w:r>
        <w:t xml:space="preserve"> </w:t>
      </w:r>
      <w:r>
        <w:t xml:space="preserve">children,</w:t>
      </w:r>
      <w:r>
        <w:t xml:space="preserve"> </w:t>
      </w:r>
      <w:r>
        <w:t xml:space="preserve">found</w:t>
      </w:r>
      <w:r>
        <w:t xml:space="preserve"> </w:t>
      </w:r>
      <w:r>
        <w:t xml:space="preserve">using</w:t>
      </w:r>
      <w:r>
        <w:t xml:space="preserve"> </w:t>
      </w:r>
      <w:r>
        <w:t xml:space="preserve">functional</w:t>
      </w:r>
      <w:r>
        <w:t xml:space="preserve"> </w:t>
      </w:r>
      <w:r>
        <w:t xml:space="preserve">data</w:t>
      </w:r>
      <w:r>
        <w:t xml:space="preserve"> </w:t>
      </w:r>
      <w:r>
        <w:t xml:space="preserve">analyses</w:t>
      </w:r>
    </w:p>
    <w:p>
      <w:pPr>
        <w:pStyle w:val="Author"/>
      </w:pPr>
      <w:r>
        <w:t xml:space="preserve">Jeff</w:t>
      </w:r>
      <w:r>
        <w:t xml:space="preserve"> </w:t>
      </w:r>
      <w:r>
        <w:t xml:space="preserve">Goldsmith,</w:t>
      </w:r>
      <w:r>
        <w:t xml:space="preserve"> </w:t>
      </w:r>
      <w:r>
        <w:t xml:space="preserve">Xinyue</w:t>
      </w:r>
      <w:r>
        <w:t xml:space="preserve"> </w:t>
      </w:r>
      <w:r>
        <w:t xml:space="preserve">Liu,</w:t>
      </w:r>
      <w:r>
        <w:t xml:space="preserve"> </w:t>
      </w:r>
      <w:r>
        <w:t xml:space="preserve">Judith</w:t>
      </w:r>
      <w:r>
        <w:t xml:space="preserve"> </w:t>
      </w:r>
      <w:r>
        <w:t xml:space="preserve">Jacobson,</w:t>
      </w:r>
      <w:r>
        <w:t xml:space="preserve"> </w:t>
      </w:r>
      <w:r>
        <w:t xml:space="preserve">Andrew</w:t>
      </w:r>
      <w:r>
        <w:t xml:space="preserve"> </w:t>
      </w:r>
      <w:r>
        <w:t xml:space="preserve">Rundle</w:t>
      </w:r>
    </w:p>
    <w:p>
      <w:pPr>
        <w:pStyle w:val="Heading2"/>
      </w:pPr>
      <w:bookmarkStart w:id="21" w:name="a.1-estimation-of-the-function-on-scalar-regression-model"/>
      <w:bookmarkEnd w:id="21"/>
      <w:r>
        <w:t xml:space="preserve">A.1 Estimation of the Function-on-Scalar Regression model</w:t>
      </w:r>
    </w:p>
    <w:p>
      <w:r>
        <w:t xml:space="preserve">In Section 3, we describe the formulation and interpretation of the linear function-on-scalar regression model. The purpose of this Appendix is to provide the technical details for the estimation of this model, and our presentation closely follows that of</w:t>
      </w:r>
      <w:r>
        <w:t xml:space="preserve"> </w:t>
      </w:r>
      <w:r>
        <w:t xml:space="preserve">(Ramsay and Silverman 2005)</w:t>
      </w:r>
      <w:r>
        <w:t xml:space="preserve"> </w:t>
      </w:r>
      <w:r>
        <w:t xml:space="preserve">and</w:t>
      </w:r>
      <w:r>
        <w:t xml:space="preserve"> </w:t>
      </w:r>
      <w:r>
        <w:t xml:space="preserve">(Reiss, Huang, and Mennes 2010)</w:t>
      </w:r>
      <w:r>
        <w:t xml:space="preserve">.</w:t>
      </w:r>
    </w:p>
    <w:p>
      <w:r>
        <w:t xml:space="preserve">Briefly, for functional responses</w:t>
      </w:r>
      <w:r>
        <w:t xml:space="preserve"> </w:t>
      </w:r>
      <m:oMath>
        <m:sSub>
          <m:e>
            <m:r>
              <m:rPr>
                <m:sty m:val="p"/>
              </m:rPr>
              <m:t>y</m:t>
            </m:r>
          </m:e>
          <m:sub>
            <m:r>
              <m:rPr>
                <m:sty m:val="p"/>
              </m:rPr>
              <m:t>i</m:t>
            </m:r>
          </m:sub>
        </m:sSub>
        <m:r>
          <m:rPr>
            <m:sty m:val="p"/>
          </m:rPr>
          <m:t>(</m:t>
        </m:r>
        <m:r>
          <m:rPr>
            <m:sty m:val="p"/>
          </m:rPr>
          <m:t>t</m:t>
        </m:r>
        <m:r>
          <m:rPr>
            <m:sty m:val="p"/>
          </m:rPr>
          <m:t>)</m:t>
        </m:r>
      </m:oMath>
      <w:r>
        <w:t xml:space="preserve"> </w:t>
      </w:r>
      <w:r>
        <w:t xml:space="preserve">and scalar covariates</w:t>
      </w:r>
      <w:r>
        <w:t xml:space="preserve"> </w:t>
      </w:r>
      <m:oMath>
        <m:sSub>
          <m:e>
            <m:r>
              <m:rPr>
                <m:sty m:val="p"/>
              </m:rPr>
              <m:t>x</m:t>
            </m:r>
          </m:e>
          <m:sub>
            <m:r>
              <m:rPr>
                <m:sty m:val="p"/>
              </m:rPr>
              <m:t>i</m:t>
            </m:r>
            <m:r>
              <m:rPr>
                <m:sty m:val="p"/>
              </m:rPr>
              <m:t>1</m:t>
            </m:r>
          </m:sub>
        </m:sSub>
        <m:r>
          <m:rPr>
            <m:sty m:val="p"/>
          </m:rPr>
          <m:t>,</m:t>
        </m:r>
        <m:r>
          <m:rPr>
            <m:sty m:val="p"/>
          </m:rPr>
          <m:t>…</m:t>
        </m:r>
        <m:r>
          <m:rPr>
            <m:sty m:val="p"/>
          </m:rPr>
          <m:t>,</m:t>
        </m:r>
        <m:sSub>
          <m:e>
            <m:r>
              <m:rPr>
                <m:sty m:val="p"/>
              </m:rPr>
              <m:t>x</m:t>
            </m:r>
          </m:e>
          <m:sub>
            <m:r>
              <m:rPr>
                <m:sty m:val="p"/>
              </m:rPr>
              <m:t>i</m:t>
            </m:r>
            <m:r>
              <m:rPr>
                <m:sty m:val="p"/>
              </m:rPr>
              <m:t>p</m:t>
            </m:r>
          </m:sub>
        </m:sSub>
      </m:oMath>
      <w:r>
        <w:t xml:space="preserve"> </w:t>
      </w:r>
      <w:r>
        <w:t xml:space="preserve">(e.g. age, sex, asthma diagnosis), the linear function-on-scalar regression model is</w:t>
      </w:r>
    </w:p>
    <w:p>
      <m:oMathPara>
        <m:oMathParaPr>
          <m:jc m:val="center"/>
        </m:oMathParaPr>
        <m:oMath>
          <m:sSub>
            <m:e>
              <m:r>
                <m:rPr>
                  <m:sty m:val="p"/>
                </m:rPr>
                <m:t>y</m:t>
              </m:r>
            </m:e>
            <m:sub>
              <m:r>
                <m:rPr>
                  <m:sty m:val="p"/>
                </m:rPr>
                <m:t>i</m:t>
              </m:r>
            </m:sub>
          </m:sSub>
          <m:r>
            <m:rPr>
              <m:sty m:val="p"/>
            </m:rPr>
            <m:t>(</m:t>
          </m:r>
          <m:r>
            <m:rPr>
              <m:sty m:val="p"/>
            </m:rPr>
            <m:t>t</m:t>
          </m:r>
          <m:r>
            <m:rPr>
              <m:sty m:val="p"/>
            </m:rPr>
            <m:t>)</m:t>
          </m:r>
          <m:r>
            <m:rPr>
              <m:sty m:val="p"/>
            </m:rPr>
            <m:t>=</m:t>
          </m:r>
          <m:sSub>
            <m:e>
              <m:r>
                <m:rPr>
                  <m:sty m:val="p"/>
                </m:rPr>
                <m:t>β</m:t>
              </m:r>
            </m:e>
            <m:sub>
              <m:r>
                <m:rPr>
                  <m:sty m:val="p"/>
                </m:rPr>
                <m:t>0</m:t>
              </m:r>
            </m:sub>
          </m:sSub>
          <m:r>
            <m:rPr>
              <m:sty m:val="p"/>
            </m:rPr>
            <m:t>(</m:t>
          </m:r>
          <m:r>
            <m:rPr>
              <m:sty m:val="p"/>
            </m:rPr>
            <m:t>t</m:t>
          </m:r>
          <m:r>
            <m:rPr>
              <m:sty m:val="p"/>
            </m:rPr>
            <m:t>)</m:t>
          </m:r>
          <m:r>
            <m:rPr>
              <m:sty m:val="p"/>
            </m:rPr>
            <m:t>+</m:t>
          </m:r>
          <m:nary>
            <m:naryPr>
              <m:chr m:val="∑"/>
              <m:limLoc m:val="undOvr"/>
              <m:supHide m:val="off"/>
              <m:supHide m:val="off"/>
            </m:naryPr>
            <m:e>
              <m:sSub>
                <m:e>
                  <m:r>
                    <m:rPr>
                      <m:sty m:val="p"/>
                    </m:rPr>
                    <m:t>β</m:t>
                  </m:r>
                </m:e>
                <m:sub>
                  <m:r>
                    <m:rPr>
                      <m:sty m:val="p"/>
                    </m:rPr>
                    <m:t>k</m:t>
                  </m:r>
                </m:sub>
              </m:sSub>
            </m:e>
            <m:sub>
              <m:r>
                <m:rPr>
                  <m:sty m:val="p"/>
                </m:rPr>
                <m:t>k</m:t>
              </m:r>
              <m:r>
                <m:rPr>
                  <m:sty m:val="p"/>
                </m:rPr>
                <m:t>=</m:t>
              </m:r>
              <m:r>
                <m:rPr>
                  <m:sty m:val="p"/>
                </m:rPr>
                <m:t>1</m:t>
              </m:r>
            </m:sub>
            <m:sup>
              <m:r>
                <m:rPr>
                  <m:sty m:val="p"/>
                </m:rPr>
                <m:t>p</m:t>
              </m:r>
            </m:sup>
          </m:nary>
          <m:r>
            <m:rPr>
              <m:sty m:val="p"/>
            </m:rPr>
            <m:t>(</m:t>
          </m:r>
          <m:r>
            <m:rPr>
              <m:sty m:val="p"/>
            </m:rPr>
            <m:t>t</m:t>
          </m:r>
          <m:r>
            <m:rPr>
              <m:sty m:val="p"/>
            </m:rPr>
            <m:t>)</m:t>
          </m:r>
          <m:sSub>
            <m:e>
              <m:r>
                <m:rPr>
                  <m:sty m:val="p"/>
                </m:rPr>
                <m:t>x</m:t>
              </m:r>
            </m:e>
            <m:sub>
              <m:r>
                <m:rPr>
                  <m:sty m:val="p"/>
                </m:rPr>
                <m:t>i</m:t>
              </m:r>
              <m:r>
                <m:rPr>
                  <m:sty m:val="p"/>
                </m:rPr>
                <m:t>k</m:t>
              </m:r>
            </m:sub>
          </m:sSub>
          <m:r>
            <m:rPr>
              <m:sty m:val="p"/>
            </m:rPr>
            <m:t>+</m:t>
          </m:r>
          <m:sSub>
            <m:e>
              <m:r>
                <m:rPr>
                  <m:sty m:val="p"/>
                </m:rPr>
                <m:t>ϵ</m:t>
              </m:r>
            </m:e>
            <m:sub>
              <m:r>
                <m:rPr>
                  <m:sty m:val="p"/>
                </m:rPr>
                <m:t>i</m:t>
              </m:r>
            </m:sub>
          </m:sSub>
          <m:r>
            <m:rPr>
              <m:sty m:val="p"/>
            </m:rPr>
            <m:t>(</m:t>
          </m:r>
          <m:r>
            <m:rPr>
              <m:sty m:val="p"/>
            </m:rPr>
            <m:t>t</m:t>
          </m:r>
          <m:r>
            <m:rPr>
              <m:sty m:val="p"/>
            </m:rPr>
            <m:t>)</m:t>
          </m:r>
        </m:oMath>
      </m:oMathPara>
    </w:p>
    <w:p>
      <w:r>
        <w:t xml:space="preserve">with coefficient functions</w:t>
      </w:r>
      <w:r>
        <w:t xml:space="preserve"> </w:t>
      </w:r>
      <m:oMath>
        <m:sSub>
          <m:e>
            <m:r>
              <m:rPr>
                <m:sty m:val="p"/>
              </m:rPr>
              <m:t>β</m:t>
            </m:r>
          </m:e>
          <m:sub>
            <m:r>
              <m:rPr>
                <m:sty m:val="p"/>
              </m:rPr>
              <m:t>k</m:t>
            </m:r>
          </m:sub>
        </m:sSub>
        <m:r>
          <m:rPr>
            <m:sty m:val="p"/>
          </m:rPr>
          <m:t>(</m:t>
        </m:r>
        <m:r>
          <m:rPr>
            <m:sty m:val="p"/>
          </m:rPr>
          <m:t>t</m:t>
        </m:r>
        <m:r>
          <m:rPr>
            <m:sty m:val="p"/>
          </m:rPr>
          <m:t>)</m:t>
        </m:r>
      </m:oMath>
      <w:r>
        <w:t xml:space="preserve"> </w:t>
      </w:r>
      <w:r>
        <w:t xml:space="preserve">and residuals term</w:t>
      </w:r>
      <w:r>
        <w:t xml:space="preserve"> </w:t>
      </w:r>
      <m:oMath>
        <m:sSub>
          <m:e>
            <m:r>
              <m:rPr>
                <m:sty m:val="p"/>
              </m:rPr>
              <m:t>ϵ</m:t>
            </m:r>
          </m:e>
          <m:sub>
            <m:r>
              <m:rPr>
                <m:sty m:val="p"/>
              </m:rPr>
              <m:t>i</m:t>
            </m:r>
          </m:sub>
        </m:sSub>
        <m:r>
          <m:rPr>
            <m:sty m:val="p"/>
          </m:rPr>
          <m:t>(</m:t>
        </m:r>
        <m:r>
          <m:rPr>
            <m:sty m:val="p"/>
          </m:rPr>
          <m:t>t</m:t>
        </m:r>
        <m:r>
          <m:rPr>
            <m:sty m:val="p"/>
          </m:rPr>
          <m:t>)</m:t>
        </m:r>
      </m:oMath>
      <w:r>
        <w:t xml:space="preserve">. For estimation of this model, we expand the coefficient functions using a cubic B-spline basis</w:t>
      </w:r>
      <w:r>
        <w:t xml:space="preserve"> </w:t>
      </w:r>
      <m:oMath>
        <m:r>
          <m:rPr>
            <m:sty m:val="p"/>
          </m:rPr>
          <m:t>Θ</m:t>
        </m:r>
        <m:r>
          <m:rPr>
            <m:sty m:val="p"/>
          </m:rPr>
          <m:t>(</m:t>
        </m:r>
        <m:r>
          <m:rPr>
            <m:sty m:val="p"/>
          </m:rPr>
          <m:t>t</m:t>
        </m:r>
        <m:r>
          <m:rPr>
            <m:sty m:val="p"/>
          </m:rPr>
          <m:t>)</m:t>
        </m:r>
      </m:oMath>
      <w:r>
        <w:t xml:space="preserve"> </w:t>
      </w:r>
      <w:r>
        <w:t xml:space="preserve">with</w:t>
      </w:r>
      <w:r>
        <w:t xml:space="preserve"> </w:t>
      </w:r>
      <m:oMath>
        <m:r>
          <m:rPr>
            <m:sty m:val="p"/>
          </m:rPr>
          <m:t>M</m:t>
        </m:r>
      </m:oMath>
      <w:r>
        <w:t xml:space="preserve"> </w:t>
      </w:r>
      <w:r>
        <w:t xml:space="preserve">basis functions, so that</w:t>
      </w:r>
      <w:r>
        <w:t xml:space="preserve"> </w:t>
      </w:r>
      <m:oMath>
        <m:sSub>
          <m:e>
            <m:r>
              <m:rPr>
                <m:sty m:val="p"/>
              </m:rPr>
              <m:t>β</m:t>
            </m:r>
          </m:e>
          <m:sub>
            <m:r>
              <m:rPr>
                <m:sty m:val="p"/>
              </m:rPr>
              <m:t>k</m:t>
            </m:r>
          </m:sub>
        </m:sSub>
        <m:r>
          <m:rPr>
            <m:sty m:val="p"/>
          </m:rPr>
          <m:t>(</m:t>
        </m:r>
        <m:r>
          <m:rPr>
            <m:sty m:val="p"/>
          </m:rPr>
          <m:t>t</m:t>
        </m:r>
        <m:r>
          <m:rPr>
            <m:sty m:val="p"/>
          </m:rPr>
          <m:t>)</m:t>
        </m:r>
        <m:r>
          <m:rPr>
            <m:sty m:val="p"/>
          </m:rPr>
          <m:t>=</m:t>
        </m:r>
        <m:sSubSup>
          <m:e>
            <m:r>
              <m:rPr>
                <m:sty m:val="p"/>
              </m:rPr>
              <m:t>β</m:t>
            </m:r>
          </m:e>
          <m:sub>
            <m:r>
              <m:rPr>
                <m:sty m:val="p"/>
              </m:rPr>
              <m:t>k</m:t>
            </m:r>
          </m:sub>
          <m:sup>
            <m:r>
              <m:rPr>
                <m:sty m:val="p"/>
              </m:rPr>
              <m:t>T</m:t>
            </m:r>
          </m:sup>
        </m:sSubSup>
        <m:r>
          <m:rPr>
            <m:sty m:val="p"/>
          </m:rPr>
          <m:t>Θ</m:t>
        </m:r>
        <m:r>
          <m:rPr>
            <m:sty m:val="p"/>
          </m:rPr>
          <m:t>(</m:t>
        </m:r>
        <m:r>
          <m:rPr>
            <m:sty m:val="p"/>
          </m:rPr>
          <m:t>t</m:t>
        </m:r>
        <m:r>
          <m:rPr>
            <m:sty m:val="p"/>
          </m:rPr>
          <m:t>)</m:t>
        </m:r>
      </m:oMath>
      <w:r>
        <w:t xml:space="preserve">; notationally,</w:t>
      </w:r>
      <w:r>
        <w:t xml:space="preserve"> </w:t>
      </w:r>
      <m:oMath>
        <m:r>
          <m:rPr>
            <m:sty m:val="p"/>
          </m:rPr>
          <m:t>Θ</m:t>
        </m:r>
        <m:r>
          <m:rPr>
            <m:sty m:val="p"/>
          </m:rPr>
          <m:t>(</m:t>
        </m:r>
        <m:r>
          <m:rPr>
            <m:sty m:val="p"/>
          </m:rPr>
          <m:t>t</m:t>
        </m:r>
        <m:r>
          <m:rPr>
            <m:sty m:val="p"/>
          </m:rPr>
          <m:t>)</m:t>
        </m:r>
      </m:oMath>
      <w:r>
        <w:t xml:space="preserve"> </w:t>
      </w:r>
      <w:r>
        <w:t xml:space="preserve">contains basis functions as rows and</w:t>
      </w:r>
      <w:r>
        <w:t xml:space="preserve"> </w:t>
      </w:r>
      <m:oMath>
        <m:sSub>
          <m:e>
            <m:r>
              <m:rPr>
                <m:sty m:val="p"/>
              </m:rPr>
              <m:t>β</m:t>
            </m:r>
          </m:e>
          <m:sub>
            <m:r>
              <m:rPr>
                <m:sty m:val="p"/>
              </m:rPr>
              <m:t>k</m:t>
            </m:r>
          </m:sub>
        </m:sSub>
      </m:oMath>
      <w:r>
        <w:t xml:space="preserve"> </w:t>
      </w:r>
      <w:r>
        <w:t xml:space="preserve">is a length-</w:t>
      </w:r>
      <m:oMath>
        <m:r>
          <m:rPr>
            <m:sty m:val="p"/>
          </m:rPr>
          <m:t>M</m:t>
        </m:r>
      </m:oMath>
      <w:r>
        <w:t xml:space="preserve"> </w:t>
      </w:r>
      <w:r>
        <w:t xml:space="preserve">column vector.</w:t>
      </w:r>
    </w:p>
    <w:p>
      <w:r>
        <w:t xml:space="preserve">The inclusion of the parameter</w:t>
      </w:r>
      <w:r>
        <w:t xml:space="preserve"> </w:t>
      </w:r>
      <m:oMath>
        <m:r>
          <m:rPr>
            <m:sty m:val="p"/>
          </m:rPr>
          <m:t>t</m:t>
        </m:r>
      </m:oMath>
      <w:r>
        <w:t xml:space="preserve"> </w:t>
      </w:r>
      <w:r>
        <w:t xml:space="preserve">in the preceding emphasizes the conceptual framework for functional data analyses, but in practice functional responses are observed on a finite grid; in our example, activity counts are averaged into 10 minute epochs between midnight and midnight. Similarly, coefficient functions and residuals are estimated on a finite grid. With this in mind, we re-express the function-on-scalar regression using matrices:</w:t>
      </w:r>
    </w:p>
    <w:p>
      <m:oMathPara>
        <m:oMathParaPr>
          <m:jc m:val="center"/>
        </m:oMathParaPr>
        <m:oMath>
          <m:r>
            <m:rPr>
              <m:sty m:val="b"/>
            </m:rPr>
            <m:t>Y</m:t>
          </m:r>
          <m:r>
            <m:rPr>
              <m:sty m:val="p"/>
            </m:rPr>
            <m:t>=</m:t>
          </m:r>
          <m:r>
            <m:rPr>
              <m:sty m:val="b"/>
            </m:rPr>
            <m:t>X</m:t>
          </m:r>
          <m:sSup>
            <m:e>
              <m:r>
                <m:rPr>
                  <m:sty m:val="b"/>
                </m:rPr>
                <m:t>β</m:t>
              </m:r>
            </m:e>
            <m:sup>
              <m:r>
                <m:rPr>
                  <m:sty m:val="b"/>
                </m:rPr>
                <m:t>T</m:t>
              </m:r>
            </m:sup>
          </m:sSup>
          <m:r>
            <m:rPr>
              <m:sty m:val="b"/>
            </m:rPr>
            <m:t>Θ</m:t>
          </m:r>
          <m:r>
            <m:rPr>
              <m:sty m:val="p"/>
            </m:rPr>
            <m:t>+</m:t>
          </m:r>
          <m:r>
            <m:rPr>
              <m:sty m:val="b"/>
            </m:rPr>
            <m:t>ϵ</m:t>
          </m:r>
        </m:oMath>
      </m:oMathPara>
    </w:p>
    <w:p>
      <w:r>
        <w:t xml:space="preserve">where</w:t>
      </w:r>
      <w:r>
        <w:t xml:space="preserve"> </w:t>
      </w:r>
      <m:oMath>
        <m:r>
          <m:rPr>
            <m:sty m:val="b"/>
          </m:rPr>
          <m:t>Y</m:t>
        </m:r>
      </m:oMath>
      <w:r>
        <w:t xml:space="preserve"> </w:t>
      </w:r>
      <w:r>
        <w:t xml:space="preserve">is the matrix constructed by row-stacking the observed functional responses over the finite grid,</w:t>
      </w:r>
      <w:r>
        <w:t xml:space="preserve"> </w:t>
      </w:r>
      <m:oMath>
        <m:r>
          <m:rPr>
            <m:sty m:val="b"/>
          </m:rPr>
          <m:t>X</m:t>
        </m:r>
      </m:oMath>
      <w:r>
        <w:t xml:space="preserve"> </w:t>
      </w:r>
      <w:r>
        <w:t xml:space="preserve">is the design matrix constructed by row-stacking the observed vectors of covariates (the first column is understood to be 1 for all subjects to allow the intercept),</w:t>
      </w:r>
      <w:r>
        <w:t xml:space="preserve"> </w:t>
      </w:r>
      <m:oMath>
        <m:r>
          <m:rPr>
            <m:sty m:val="b"/>
          </m:rPr>
          <m:t>Θ</m:t>
        </m:r>
      </m:oMath>
      <w:r>
        <w:t xml:space="preserve"> </w:t>
      </w:r>
      <w:r>
        <w:t xml:space="preserve">is the matrix containing B-spline basis functions evaluated over the finite grid as rows,</w:t>
      </w:r>
      <w:r>
        <w:t xml:space="preserve"> </w:t>
      </w:r>
      <m:oMath>
        <m:r>
          <m:rPr>
            <m:sty m:val="b"/>
          </m:rPr>
          <m:t>β</m:t>
        </m:r>
      </m:oMath>
      <w:r>
        <w:t xml:space="preserve"> </w:t>
      </w:r>
      <w:r>
        <w:t xml:space="preserve">is the matrix containing spline coefficient vectors as columns, and</w:t>
      </w:r>
      <w:r>
        <w:t xml:space="preserve"> </w:t>
      </w:r>
      <m:oMath>
        <m:r>
          <m:rPr>
            <m:sty m:val="b"/>
          </m:rPr>
          <m:t>ϵ</m:t>
        </m:r>
      </m:oMath>
      <w:r>
        <w:t xml:space="preserve"> </w:t>
      </w:r>
      <w:r>
        <w:t xml:space="preserve">is the matrix of row-stacked residual functions evaluated over the finite grid. Define, for matrices</w:t>
      </w:r>
      <w:r>
        <w:t xml:space="preserve"> </w:t>
      </w:r>
      <m:oMath>
        <m:r>
          <m:rPr>
            <m:sty m:val="b"/>
          </m:rPr>
          <m:t>A</m:t>
        </m:r>
      </m:oMath>
      <w:r>
        <w:t xml:space="preserve"> </w:t>
      </w:r>
      <w:r>
        <w:t xml:space="preserve">and</w:t>
      </w:r>
      <w:r>
        <w:t xml:space="preserve"> </w:t>
      </w:r>
      <m:oMath>
        <m:r>
          <m:rPr>
            <m:sty m:val="b"/>
          </m:rPr>
          <m:t>B</m:t>
        </m:r>
      </m:oMath>
      <w:r>
        <w:t xml:space="preserve">,</w:t>
      </w:r>
      <w:r>
        <w:t xml:space="preserve"> </w:t>
      </w:r>
      <m:oMath>
        <m:r>
          <m:rPr>
            <m:sty m:val="p"/>
          </m:rPr>
          <m:t>v</m:t>
        </m:r>
        <m:r>
          <m:rPr>
            <m:sty m:val="p"/>
          </m:rPr>
          <m:t>e</m:t>
        </m:r>
        <m:r>
          <m:rPr>
            <m:sty m:val="p"/>
          </m:rPr>
          <m:t>c</m:t>
        </m:r>
        <m:r>
          <m:rPr>
            <m:sty m:val="p"/>
          </m:rPr>
          <m:t>(</m:t>
        </m:r>
        <m:r>
          <m:rPr>
            <m:sty m:val="b"/>
          </m:rPr>
          <m:t>A</m:t>
        </m:r>
        <m:r>
          <m:rPr>
            <m:sty m:val="p"/>
          </m:rPr>
          <m:t>)</m:t>
        </m:r>
      </m:oMath>
      <w:r>
        <w:t xml:space="preserve"> </w:t>
      </w:r>
      <w:r>
        <w:t xml:space="preserve">to be the vector constructed by concatenating the columns of</w:t>
      </w:r>
      <w:r>
        <w:t xml:space="preserve"> </w:t>
      </w:r>
      <m:oMath>
        <m:r>
          <m:rPr>
            <m:sty m:val="b"/>
          </m:rPr>
          <m:t>A</m:t>
        </m:r>
      </m:oMath>
      <w:r>
        <w:t xml:space="preserve"> </w:t>
      </w:r>
      <w:r>
        <w:t xml:space="preserve">and</w:t>
      </w:r>
      <w:r>
        <w:t xml:space="preserve"> </w:t>
      </w:r>
      <m:oMath>
        <m:r>
          <m:rPr>
            <m:sty m:val="b"/>
          </m:rPr>
          <m:t>A</m:t>
        </m:r>
        <m:r>
          <m:rPr>
            <m:sty m:val="p"/>
          </m:rPr>
          <m:t>⊗</m:t>
        </m:r>
        <m:r>
          <m:rPr>
            <m:sty m:val="b"/>
          </m:rPr>
          <m:t>B</m:t>
        </m:r>
      </m:oMath>
      <w:r>
        <w:t xml:space="preserve"> </w:t>
      </w:r>
      <w:r>
        <w:t xml:space="preserve">to be the Kronecker product of</w:t>
      </w:r>
      <w:r>
        <w:t xml:space="preserve"> </w:t>
      </w:r>
      <m:oMath>
        <m:r>
          <m:rPr>
            <m:sty m:val="b"/>
          </m:rPr>
          <m:t>A</m:t>
        </m:r>
      </m:oMath>
      <w:r>
        <w:t xml:space="preserve"> </w:t>
      </w:r>
      <w:r>
        <w:t xml:space="preserve">and</w:t>
      </w:r>
      <w:r>
        <w:t xml:space="preserve"> </w:t>
      </w:r>
      <m:oMath>
        <m:r>
          <m:rPr>
            <m:sty m:val="b"/>
          </m:rPr>
          <m:t>B</m:t>
        </m:r>
      </m:oMath>
      <w:r>
        <w:t xml:space="preserve">. The matrix formulation of the function-on-scalar regression can be re-expressed as</w:t>
      </w:r>
    </w:p>
    <w:p>
      <m:oMathPara>
        <m:oMathParaPr>
          <m:jc m:val="center"/>
        </m:oMathParaPr>
        <m:oMath>
          <m:r>
            <m:rPr>
              <m:sty m:val="p"/>
            </m:rPr>
            <m:t>v</m:t>
          </m:r>
          <m:r>
            <m:rPr>
              <m:sty m:val="p"/>
            </m:rPr>
            <m:t>e</m:t>
          </m:r>
          <m:r>
            <m:rPr>
              <m:sty m:val="p"/>
            </m:rPr>
            <m:t>c</m:t>
          </m:r>
          <m:r>
            <m:rPr>
              <m:sty m:val="p"/>
            </m:rPr>
            <m:t>(</m:t>
          </m:r>
          <m:sSup>
            <m:e>
              <m:r>
                <m:rPr>
                  <m:sty m:val="b"/>
                </m:rPr>
                <m:t>Y</m:t>
              </m:r>
            </m:e>
            <m:sup>
              <m:r>
                <m:rPr>
                  <m:sty m:val="p"/>
                </m:rPr>
                <m:t>T</m:t>
              </m:r>
            </m:sup>
          </m:sSup>
          <m:r>
            <m:rPr>
              <m:sty m:val="p"/>
            </m:rPr>
            <m:t>)</m:t>
          </m:r>
          <m:r>
            <m:rPr>
              <m:sty m:val="p"/>
            </m:rPr>
            <m:t>=</m:t>
          </m:r>
          <m:r>
            <m:rPr>
              <m:sty m:val="p"/>
            </m:rPr>
            <m:t>(</m:t>
          </m:r>
          <m:r>
            <m:rPr>
              <m:sty m:val="b"/>
            </m:rPr>
            <m:t>X</m:t>
          </m:r>
          <m:r>
            <m:rPr>
              <m:sty m:val="p"/>
            </m:rPr>
            <m:t>⊗</m:t>
          </m:r>
          <m:sSup>
            <m:e>
              <m:r>
                <m:rPr>
                  <m:sty m:val="b"/>
                </m:rPr>
                <m:t>Θ</m:t>
              </m:r>
            </m:e>
            <m:sup>
              <m:r>
                <m:rPr>
                  <m:sty m:val="p"/>
                </m:rPr>
                <m:t>T</m:t>
              </m:r>
            </m:sup>
          </m:sSup>
          <m:r>
            <m:rPr>
              <m:sty m:val="p"/>
            </m:rPr>
            <m:t>)</m:t>
          </m:r>
          <m:r>
            <m:rPr>
              <m:sty m:val="p"/>
            </m:rPr>
            <m:t>v</m:t>
          </m:r>
          <m:r>
            <m:rPr>
              <m:sty m:val="p"/>
            </m:rPr>
            <m:t>e</m:t>
          </m:r>
          <m:r>
            <m:rPr>
              <m:sty m:val="p"/>
            </m:rPr>
            <m:t>c</m:t>
          </m:r>
          <m:r>
            <m:rPr>
              <m:sty m:val="p"/>
            </m:rPr>
            <m:t>(</m:t>
          </m:r>
          <m:r>
            <m:rPr>
              <m:sty m:val="b"/>
            </m:rPr>
            <m:t>β</m:t>
          </m:r>
          <m:r>
            <m:rPr>
              <m:sty m:val="p"/>
            </m:rPr>
            <m:t>)</m:t>
          </m:r>
          <m:r>
            <m:rPr>
              <m:sty m:val="p"/>
            </m:rPr>
            <m:t>+</m:t>
          </m:r>
          <m:r>
            <m:rPr>
              <m:sty m:val="p"/>
            </m:rPr>
            <m:t>v</m:t>
          </m:r>
          <m:r>
            <m:rPr>
              <m:sty m:val="p"/>
            </m:rPr>
            <m:t>e</m:t>
          </m:r>
          <m:r>
            <m:rPr>
              <m:sty m:val="p"/>
            </m:rPr>
            <m:t>c</m:t>
          </m:r>
          <m:r>
            <m:rPr>
              <m:sty m:val="p"/>
            </m:rPr>
            <m:t>(</m:t>
          </m:r>
          <m:sSup>
            <m:e>
              <m:r>
                <m:rPr>
                  <m:sty m:val="b"/>
                </m:rPr>
                <m:t>ϵ</m:t>
              </m:r>
            </m:e>
            <m:sup>
              <m:r>
                <m:rPr>
                  <m:sty m:val="p"/>
                </m:rPr>
                <m:t>T</m:t>
              </m:r>
            </m:sup>
          </m:sSup>
          <m:r>
            <m:rPr>
              <m:sty m:val="p"/>
            </m:rPr>
            <m:t>)</m:t>
          </m:r>
          <m:r>
            <m:rPr>
              <m:sty m:val="p"/>
            </m:rPr>
            <m:t>.</m:t>
          </m:r>
        </m:oMath>
      </m:oMathPara>
    </w:p>
    <w:p>
      <w:r>
        <w:t xml:space="preserve">In this formulation the vector of unknown parameters is</w:t>
      </w:r>
      <w:r>
        <w:t xml:space="preserve"> </w:t>
      </w:r>
      <m:oMath>
        <m:r>
          <m:rPr>
            <m:sty m:val="p"/>
          </m:rPr>
          <m:t>v</m:t>
        </m:r>
        <m:r>
          <m:rPr>
            <m:sty m:val="p"/>
          </m:rPr>
          <m:t>e</m:t>
        </m:r>
        <m:r>
          <m:rPr>
            <m:sty m:val="p"/>
          </m:rPr>
          <m:t>c</m:t>
        </m:r>
        <m:r>
          <m:rPr>
            <m:sty m:val="p"/>
          </m:rPr>
          <m:t>(</m:t>
        </m:r>
        <m:r>
          <m:rPr>
            <m:sty m:val="b"/>
          </m:rPr>
          <m:t>β</m:t>
        </m:r>
        <m:r>
          <m:rPr>
            <m:sty m:val="p"/>
          </m:rPr>
          <m:t>)</m:t>
        </m:r>
      </m:oMath>
      <w:r>
        <w:t xml:space="preserve">; the response vector</w:t>
      </w:r>
      <w:r>
        <w:t xml:space="preserve"> </w:t>
      </w:r>
      <m:oMath>
        <m:r>
          <m:rPr>
            <m:sty m:val="p"/>
          </m:rPr>
          <m:t>v</m:t>
        </m:r>
        <m:r>
          <m:rPr>
            <m:sty m:val="p"/>
          </m:rPr>
          <m:t>e</m:t>
        </m:r>
        <m:r>
          <m:rPr>
            <m:sty m:val="p"/>
          </m:rPr>
          <m:t>c</m:t>
        </m:r>
        <m:r>
          <m:rPr>
            <m:sty m:val="p"/>
          </m:rPr>
          <m:t>(</m:t>
        </m:r>
        <m:sSup>
          <m:e>
            <m:r>
              <m:rPr>
                <m:sty m:val="b"/>
              </m:rPr>
              <m:t>Y</m:t>
            </m:r>
          </m:e>
          <m:sup>
            <m:r>
              <m:rPr>
                <m:sty m:val="p"/>
              </m:rPr>
              <m:t>T</m:t>
            </m:r>
          </m:sup>
        </m:sSup>
        <m:r>
          <m:rPr>
            <m:sty m:val="p"/>
          </m:rPr>
          <m:t>)</m:t>
        </m:r>
      </m:oMath>
      <w:r>
        <w:t xml:space="preserve"> </w:t>
      </w:r>
      <w:r>
        <w:t xml:space="preserve">and design matrix</w:t>
      </w:r>
      <w:r>
        <w:t xml:space="preserve"> </w:t>
      </w:r>
      <m:oMath>
        <m:r>
          <m:rPr>
            <m:sty m:val="p"/>
          </m:rPr>
          <m:t>(</m:t>
        </m:r>
        <m:r>
          <m:rPr>
            <m:sty m:val="b"/>
          </m:rPr>
          <m:t>X</m:t>
        </m:r>
        <m:r>
          <m:rPr>
            <m:sty m:val="p"/>
          </m:rPr>
          <m:t>⊗</m:t>
        </m:r>
        <m:sSup>
          <m:e>
            <m:r>
              <m:rPr>
                <m:sty m:val="b"/>
              </m:rPr>
              <m:t>Θ</m:t>
            </m:r>
          </m:e>
          <m:sup>
            <m:r>
              <m:rPr>
                <m:sty m:val="p"/>
              </m:rPr>
              <m:t>T</m:t>
            </m:r>
          </m:sup>
        </m:sSup>
        <m:r>
          <m:rPr>
            <m:sty m:val="p"/>
          </m:rPr>
          <m:t>)</m:t>
        </m:r>
      </m:oMath>
      <w:r>
        <w:t xml:space="preserve"> </w:t>
      </w:r>
      <w:r>
        <w:t xml:space="preserve">are observed, and standard techniques can be used for estimation of spline coefficients. In particular, two options are available:</w:t>
      </w:r>
      <w:r>
        <w:br w:type="textWrapping"/>
      </w:r>
      <w:r>
        <w:t xml:space="preserve"> </w:t>
      </w:r>
      <w:r>
        <w:t xml:space="preserve">* Ordinary least squares, which assumes that errors in</w:t>
      </w:r>
      <w:r>
        <w:t xml:space="preserve"> </w:t>
      </w:r>
      <m:oMath>
        <m:r>
          <m:rPr>
            <m:sty m:val="b"/>
          </m:rPr>
          <m:t>ϵ</m:t>
        </m:r>
      </m:oMath>
      <w:r>
        <w:t xml:space="preserve"> </w:t>
      </w:r>
      <w:r>
        <w:t xml:space="preserve">are uncorrelated and share a common error variance across all times of day, and</w:t>
      </w:r>
      <w:r>
        <w:br w:type="textWrapping"/>
      </w:r>
      <w:r>
        <w:t xml:space="preserve"> </w:t>
      </w:r>
      <w:r>
        <w:t xml:space="preserve">* Generalized least squares, which allows for correlation over time and also for non-constant variance. We prefer to use GLS for estimation and inference, because doing so is more accurate and produces estimates with lower variance. However, we do note that (for completely observed curves) the use of OLS will result in perfect agreement between</w:t>
      </w:r>
      <w:r>
        <w:t xml:space="preserve"> </w:t>
      </w:r>
      <m:oMath>
        <m:r>
          <m:rPr>
            <m:sty m:val="p"/>
          </m:rPr>
          <m:t>∫</m:t>
        </m:r>
        <m:sSub>
          <m:e>
            <m:r>
              <m:rPr>
                <m:sty m:val="p"/>
              </m:rPr>
              <m:t>β</m:t>
            </m:r>
          </m:e>
          <m:sub>
            <m:r>
              <m:rPr>
                <m:sty m:val="p"/>
              </m:rPr>
              <m:t>k</m:t>
            </m:r>
          </m:sub>
        </m:sSub>
        <m:r>
          <m:rPr>
            <m:sty m:val="p"/>
          </m:rPr>
          <m:t>(</m:t>
        </m:r>
        <m:r>
          <m:rPr>
            <m:sty m:val="p"/>
          </m:rPr>
          <m:t>t</m:t>
        </m:r>
        <m:r>
          <m:rPr>
            <m:sty m:val="p"/>
          </m:rPr>
          <m:t>)</m:t>
        </m:r>
        <m:r>
          <m:rPr>
            <m:sty m:val="p"/>
          </m:rPr>
          <m:t> </m:t>
        </m:r>
        <m:r>
          <m:rPr>
            <m:sty m:val="p"/>
          </m:rPr>
          <m:t>d</m:t>
        </m:r>
        <m:r>
          <m:rPr>
            <m:sty m:val="p"/>
          </m:rPr>
          <m:t>t</m:t>
        </m:r>
        <m:r>
          <m:rPr>
            <m:sty m:val="p"/>
          </m:rPr>
          <m:t>=</m:t>
        </m:r>
        <m:sSub>
          <m:e>
            <m:bar>
              <m:barPr>
                <m:pos m:val="top"/>
              </m:barPr>
              <m:e>
                <m:r>
                  <m:rPr>
                    <m:sty m:val="p"/>
                  </m:rPr>
                  <m:t>β</m:t>
                </m:r>
              </m:e>
            </m:bar>
          </m:e>
          <m:sub>
            <m:r>
              <m:rPr>
                <m:sty m:val="p"/>
              </m:rPr>
              <m:t>k</m:t>
            </m:r>
          </m:sub>
        </m:sSub>
      </m:oMath>
      <w:r>
        <w:t xml:space="preserve"> </w:t>
      </w:r>
      <w:r>
        <w:t xml:space="preserve">and regression coefficients</w:t>
      </w:r>
      <w:r>
        <w:t xml:space="preserve"> </w:t>
      </w:r>
      <m:oMath>
        <m:sSub>
          <m:e>
            <m:r>
              <m:rPr>
                <m:sty m:val="p"/>
              </m:rPr>
              <m:t>β</m:t>
            </m:r>
          </m:e>
          <m:sub>
            <m:r>
              <m:rPr>
                <m:sty m:val="p"/>
              </m:rPr>
              <m:t>k</m:t>
            </m:r>
          </m:sub>
        </m:sSub>
      </m:oMath>
      <w:r>
        <w:t xml:space="preserve"> </w:t>
      </w:r>
      <w:r>
        <w:t xml:space="preserve">resulting from a multiple linear regression analysis fit to the average activity count. This perhaps surprising result stems from the equivalence between the residual sum of squares minimized in both cases.</w:t>
      </w:r>
    </w:p>
    <w:p>
      <w:r>
        <w:t xml:space="preserve">Hypothesis tests for coefficient functions</w:t>
      </w:r>
      <w:r>
        <w:t xml:space="preserve"> </w:t>
      </w:r>
      <m:oMath>
        <m:sSub>
          <m:e>
            <m:r>
              <m:rPr>
                <m:sty m:val="p"/>
              </m:rPr>
              <m:t>β</m:t>
            </m:r>
          </m:e>
          <m:sub>
            <m:r>
              <m:rPr>
                <m:sty m:val="p"/>
              </m:rPr>
              <m:t>k</m:t>
            </m:r>
          </m:sub>
        </m:sSub>
        <m:r>
          <m:rPr>
            <m:sty m:val="p"/>
          </m:rPr>
          <m:t>(</m:t>
        </m:r>
        <m:r>
          <m:rPr>
            <m:sty m:val="p"/>
          </m:rPr>
          <m:t>t</m:t>
        </m:r>
        <m:r>
          <m:rPr>
            <m:sty m:val="p"/>
          </m:rPr>
          <m:t>)</m:t>
        </m:r>
      </m:oMath>
      <w:r>
        <w:t xml:space="preserve"> </w:t>
      </w:r>
      <w:r>
        <w:t xml:space="preserve">can be performed as</w:t>
      </w:r>
      <w:r>
        <w:t xml:space="preserve"> </w:t>
      </w:r>
      <m:oMath>
        <m:r>
          <m:rPr>
            <m:sty m:val="p"/>
          </m:rPr>
          <m:t>F</m:t>
        </m:r>
      </m:oMath>
      <w:r>
        <w:t xml:space="preserve">-tests of the null hypothesis</w:t>
      </w:r>
      <w:r>
        <w:t xml:space="preserve"> </w:t>
      </w:r>
      <m:oMath>
        <m:sSub>
          <m:e>
            <m:r>
              <m:rPr>
                <m:sty m:val="p"/>
              </m:rPr>
              <m:t>H</m:t>
            </m:r>
          </m:e>
          <m:sub>
            <m:r>
              <m:rPr>
                <m:sty m:val="p"/>
              </m:rPr>
              <m:t>0</m:t>
            </m:r>
          </m:sub>
        </m:sSub>
        <m:r>
          <m:rPr>
            <m:sty m:val="p"/>
          </m:rPr>
          <m:t>:</m:t>
        </m:r>
        <m:sSub>
          <m:e>
            <m:r>
              <m:rPr>
                <m:sty m:val="p"/>
              </m:rPr>
              <m:t>β</m:t>
            </m:r>
          </m:e>
          <m:sub>
            <m:r>
              <m:rPr>
                <m:sty m:val="p"/>
              </m:rPr>
              <m:t>k</m:t>
            </m:r>
          </m:sub>
        </m:sSub>
        <m:r>
          <m:rPr>
            <m:sty m:val="p"/>
          </m:rPr>
          <m:t>=</m:t>
        </m:r>
        <m:r>
          <m:rPr>
            <m:sty m:val="p"/>
          </m:rPr>
          <m:t>0</m:t>
        </m:r>
      </m:oMath>
      <w:r>
        <w:t xml:space="preserve">. In practice, GLS requires the estimation of the residual covariance, which can introduce an additional source of uncertainty. For this reason, an alternative approach to testing is to focus on the test statistic</w:t>
      </w:r>
      <w:r>
        <w:t xml:space="preserve"> </w:t>
      </w:r>
      <m:oMath>
        <m:r>
          <m:rPr>
            <m:sty m:val="p"/>
          </m:rPr>
          <m:t>∫</m:t>
        </m:r>
        <m:sSubSup>
          <m:e>
            <m:acc>
              <m:accPr>
                <m:chr m:val="^"/>
              </m:accPr>
              <m:e>
                <m:r>
                  <m:rPr>
                    <m:sty m:val="p"/>
                  </m:rPr>
                  <m:t>β</m:t>
                </m:r>
              </m:e>
            </m:acc>
          </m:e>
          <m:sub>
            <m:r>
              <m:rPr>
                <m:sty m:val="p"/>
              </m:rPr>
              <m:t>k</m:t>
            </m:r>
          </m:sub>
          <m:sup>
            <m:r>
              <m:rPr>
                <m:sty m:val="p"/>
              </m:rPr>
              <m:t>2</m:t>
            </m:r>
          </m:sup>
        </m:sSubSup>
        <m:r>
          <m:rPr>
            <m:sty m:val="p"/>
          </m:rPr>
          <m:t>(</m:t>
        </m:r>
        <m:r>
          <m:rPr>
            <m:sty m:val="p"/>
          </m:rPr>
          <m:t>t</m:t>
        </m:r>
        <m:r>
          <m:rPr>
            <m:sty m:val="p"/>
          </m:rPr>
          <m:t>)</m:t>
        </m:r>
        <m:r>
          <m:rPr>
            <m:sty m:val="p"/>
          </m:rPr>
          <m:t>d</m:t>
        </m:r>
        <m:r>
          <m:rPr>
            <m:sty m:val="p"/>
          </m:rPr>
          <m:t>t</m:t>
        </m:r>
      </m:oMath>
      <w:r>
        <w:t xml:space="preserve"> </w:t>
      </w:r>
      <w:r>
        <w:t xml:space="preserve">and to derive the null distribution of the test statistic using a bootstrap procedure</w:t>
      </w:r>
      <w:r>
        <w:t xml:space="preserve"> </w:t>
      </w:r>
      <w:r>
        <w:t xml:space="preserve">(Zhu et al. 2007)</w:t>
      </w:r>
      <w:r>
        <w:t xml:space="preserve">. In our analysis, we focus on the latter approach to testing and inference.</w:t>
      </w:r>
    </w:p>
    <w:p>
      <w:r>
        <w:t xml:space="preserve">This estimation strategy assumes that</w:t>
      </w:r>
      <w:r>
        <w:t xml:space="preserve"> </w:t>
      </w:r>
      <m:oMath>
        <m:r>
          <m:rPr>
            <m:sty m:val="p"/>
          </m:rPr>
          <m:t>M</m:t>
        </m:r>
      </m:oMath>
      <w:r>
        <w:t xml:space="preserve"> </w:t>
      </w:r>
      <w:r>
        <w:t xml:space="preserve">basis functions suffice to estimate the coefficient function</w:t>
      </w:r>
      <w:r>
        <w:t xml:space="preserve"> </w:t>
      </w:r>
      <m:oMath>
        <m:sSub>
          <m:e>
            <m:r>
              <m:rPr>
                <m:sty m:val="p"/>
              </m:rPr>
              <m:t>β</m:t>
            </m:r>
          </m:e>
          <m:sub>
            <m:r>
              <m:rPr>
                <m:sty m:val="p"/>
              </m:rPr>
              <m:t>k</m:t>
            </m:r>
          </m:sub>
        </m:sSub>
        <m:r>
          <m:rPr>
            <m:sty m:val="p"/>
          </m:rPr>
          <m:t>(</m:t>
        </m:r>
        <m:r>
          <m:rPr>
            <m:sty m:val="p"/>
          </m:rPr>
          <m:t>t</m:t>
        </m:r>
        <m:r>
          <m:rPr>
            <m:sty m:val="p"/>
          </m:rPr>
          <m:t>)</m:t>
        </m:r>
      </m:oMath>
      <w:r>
        <w:t xml:space="preserve">, and the constant</w:t>
      </w:r>
      <w:r>
        <w:t xml:space="preserve"> </w:t>
      </w:r>
      <m:oMath>
        <m:r>
          <m:rPr>
            <m:sty m:val="p"/>
          </m:rPr>
          <m:t>M</m:t>
        </m:r>
      </m:oMath>
      <w:r>
        <w:t xml:space="preserve"> </w:t>
      </w:r>
      <w:r>
        <w:t xml:space="preserve">should be chosen with some care: if</w:t>
      </w:r>
      <w:r>
        <w:t xml:space="preserve"> </w:t>
      </w:r>
      <m:oMath>
        <m:r>
          <m:rPr>
            <m:sty m:val="p"/>
          </m:rPr>
          <m:t>M</m:t>
        </m:r>
      </m:oMath>
      <w:r>
        <w:t xml:space="preserve"> </w:t>
      </w:r>
      <w:r>
        <w:t xml:space="preserve">is too small, the resulting estimates may "over-smooth" the coefficient functions, while if</w:t>
      </w:r>
      <w:r>
        <w:t xml:space="preserve"> </w:t>
      </w:r>
      <m:oMath>
        <m:r>
          <m:rPr>
            <m:sty m:val="p"/>
          </m:rPr>
          <m:t>M</m:t>
        </m:r>
      </m:oMath>
      <w:r>
        <w:t xml:space="preserve"> </w:t>
      </w:r>
      <w:r>
        <w:t xml:space="preserve">is too large, the resulting estimates may "under-smooth". Alternatives that use a large</w:t>
      </w:r>
      <w:r>
        <w:t xml:space="preserve"> </w:t>
      </w:r>
      <m:oMath>
        <m:r>
          <m:rPr>
            <m:sty m:val="p"/>
          </m:rPr>
          <m:t>M</m:t>
        </m:r>
      </m:oMath>
      <w:r>
        <w:t xml:space="preserve"> </w:t>
      </w:r>
      <w:r>
        <w:t xml:space="preserve">but explicitly impose smoothness constraints are available, although hypothesis tests and inference for such approaches are not yet well-established.</w:t>
      </w:r>
    </w:p>
    <w:p>
      <w:pPr>
        <w:pStyle w:val="Heading1"/>
      </w:pPr>
      <w:bookmarkStart w:id="22" w:name="references"/>
      <w:bookmarkEnd w:id="22"/>
      <w:r>
        <w:t xml:space="preserve">References</w:t>
      </w:r>
    </w:p>
    <w:p>
      <w:pPr>
        <w:pStyle w:val="Bibliography"/>
      </w:pPr>
      <w:r>
        <w:t xml:space="preserve">Ramsay, J O, and B W Silverman. 2005.</w:t>
      </w:r>
      <w:r>
        <w:t xml:space="preserve"> </w:t>
      </w:r>
      <w:r>
        <w:rPr>
          <w:i/>
        </w:rPr>
        <w:t xml:space="preserve">Functional Data Analysis</w:t>
      </w:r>
      <w:r>
        <w:t xml:space="preserve">. New York: Springer.</w:t>
      </w:r>
    </w:p>
    <w:p>
      <w:pPr>
        <w:pStyle w:val="Bibliography"/>
      </w:pPr>
      <w:r>
        <w:t xml:space="preserve">Reiss, P T, L Huang, and M Mennes. 2010. “Fast Function-on-Scalar Regression with Penalized Basis Expansions.”</w:t>
      </w:r>
      <w:r>
        <w:t xml:space="preserve"> </w:t>
      </w:r>
      <w:r>
        <w:rPr>
          <w:i/>
        </w:rPr>
        <w:t xml:space="preserve">International Journal of Biostatistics</w:t>
      </w:r>
      <w:r>
        <w:t xml:space="preserve"> </w:t>
      </w:r>
      <w:r>
        <w:t xml:space="preserve">6: Article 28.</w:t>
      </w:r>
    </w:p>
    <w:p>
      <w:pPr>
        <w:pStyle w:val="Bibliography"/>
      </w:pPr>
      <w:r>
        <w:t xml:space="preserve">Zhu, H, J G Ibrahim, N Tang, D B Rowe, X Hao, R Bansal, and B S Peterson. 2007. “A Statistical Analysis of Brain Morphology Using Wild Bootstrapping.”</w:t>
      </w:r>
      <w:r>
        <w:t xml:space="preserve"> </w:t>
      </w:r>
      <w:r>
        <w:rPr>
          <w:i/>
        </w:rPr>
        <w:t xml:space="preserve">IEEE Transactions onMedical Imaging</w:t>
      </w:r>
      <w:r>
        <w:t xml:space="preserve"> </w:t>
      </w:r>
      <w:r>
        <w:t xml:space="preserve">26 (7): 954–66.</w:t>
      </w:r>
    </w:p>
    <w:sectPr w:rsidR="00DD18F5" w:rsidRPr="004F1D24" w:rsidSect="004F1D24">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7F69BA"/>
    <w:multiLevelType w:val="multilevel"/>
    <w:tmpl w:val="7086615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70BBB557"/>
    <w:multiLevelType w:val="multilevel"/>
    <w:tmpl w:val="01125A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7694f14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customStyle="1" w:styleId="SourceCode">
    <w:name w:val="Source Code"/>
    <w:basedOn w:val="Normal"/>
    <w:link w:val="VerbatimChar"/>
    <w:pPr>
      <w:shd w:val="clear" w:color="auto" w:fill="F8F8F8"/>
      <w:wordWrap w:val="0"/>
    </w:pPr>
  </w:style>
  <w:style w:type="character" w:customStyle="1" w:styleId="KeywordTok0">
    <w:name w:val="KeywordTok"/>
    <w:basedOn w:val="VerbatimChar"/>
    <w:rPr>
      <w:rFonts w:ascii="Consolas" w:hAnsi="Consolas"/>
      <w:b/>
      <w:color w:val="204A87"/>
      <w:sz w:val="22"/>
      <w:shd w:val="clear" w:color="auto" w:fill="F8F8F8"/>
    </w:rPr>
  </w:style>
  <w:style w:type="character" w:customStyle="1" w:styleId="DataTypeTok0">
    <w:name w:val="DataTypeTok"/>
    <w:basedOn w:val="VerbatimChar"/>
    <w:rPr>
      <w:rFonts w:ascii="Consolas" w:hAnsi="Consolas"/>
      <w:color w:val="204A87"/>
      <w:sz w:val="22"/>
      <w:shd w:val="clear" w:color="auto" w:fill="F8F8F8"/>
    </w:rPr>
  </w:style>
  <w:style w:type="character" w:customStyle="1" w:styleId="DecValTok0">
    <w:name w:val="DecValTok"/>
    <w:basedOn w:val="VerbatimChar"/>
    <w:rPr>
      <w:rFonts w:ascii="Consolas" w:hAnsi="Consolas"/>
      <w:color w:val="0000CF"/>
      <w:sz w:val="22"/>
      <w:shd w:val="clear" w:color="auto" w:fill="F8F8F8"/>
    </w:rPr>
  </w:style>
  <w:style w:type="character" w:customStyle="1" w:styleId="BaseNTok0">
    <w:name w:val="BaseNTok"/>
    <w:basedOn w:val="VerbatimChar"/>
    <w:rPr>
      <w:rFonts w:ascii="Consolas" w:hAnsi="Consolas"/>
      <w:color w:val="0000CF"/>
      <w:sz w:val="22"/>
      <w:shd w:val="clear" w:color="auto" w:fill="F8F8F8"/>
    </w:rPr>
  </w:style>
  <w:style w:type="character" w:customStyle="1" w:styleId="FloatTok0">
    <w:name w:val="FloatTok"/>
    <w:basedOn w:val="VerbatimChar"/>
    <w:rPr>
      <w:rFonts w:ascii="Consolas" w:hAnsi="Consolas"/>
      <w:color w:val="0000CF"/>
      <w:sz w:val="22"/>
      <w:shd w:val="clear" w:color="auto" w:fill="F8F8F8"/>
    </w:rPr>
  </w:style>
  <w:style w:type="character" w:customStyle="1" w:styleId="CharTok0">
    <w:name w:val="CharTok"/>
    <w:basedOn w:val="VerbatimChar"/>
    <w:rPr>
      <w:rFonts w:ascii="Consolas" w:hAnsi="Consolas"/>
      <w:color w:val="4E9A06"/>
      <w:sz w:val="22"/>
      <w:shd w:val="clear" w:color="auto" w:fill="F8F8F8"/>
    </w:rPr>
  </w:style>
  <w:style w:type="character" w:customStyle="1" w:styleId="StringTok0">
    <w:name w:val="StringTok"/>
    <w:basedOn w:val="VerbatimChar"/>
    <w:rPr>
      <w:rFonts w:ascii="Consolas" w:hAnsi="Consolas"/>
      <w:color w:val="4E9A06"/>
      <w:sz w:val="22"/>
      <w:shd w:val="clear" w:color="auto" w:fill="F8F8F8"/>
    </w:rPr>
  </w:style>
  <w:style w:type="character" w:customStyle="1" w:styleId="CommentTok0">
    <w:name w:val="CommentTok"/>
    <w:basedOn w:val="VerbatimChar"/>
    <w:rPr>
      <w:rFonts w:ascii="Consolas" w:hAnsi="Consolas"/>
      <w:i/>
      <w:color w:val="8F5902"/>
      <w:sz w:val="22"/>
      <w:shd w:val="clear" w:color="auto" w:fill="F8F8F8"/>
    </w:rPr>
  </w:style>
  <w:style w:type="character" w:customStyle="1" w:styleId="OtherTok0">
    <w:name w:val="OtherTok"/>
    <w:basedOn w:val="VerbatimChar"/>
    <w:rPr>
      <w:rFonts w:ascii="Consolas" w:hAnsi="Consolas"/>
      <w:color w:val="8F5902"/>
      <w:sz w:val="22"/>
      <w:shd w:val="clear" w:color="auto" w:fill="F8F8F8"/>
    </w:rPr>
  </w:style>
  <w:style w:type="character" w:customStyle="1" w:styleId="AlertTok0">
    <w:name w:val="AlertTok"/>
    <w:basedOn w:val="VerbatimChar"/>
    <w:rPr>
      <w:rFonts w:ascii="Consolas" w:hAnsi="Consolas"/>
      <w:color w:val="EF2929"/>
      <w:sz w:val="22"/>
      <w:shd w:val="clear" w:color="auto" w:fill="F8F8F8"/>
    </w:rPr>
  </w:style>
  <w:style w:type="character" w:customStyle="1" w:styleId="FunctionTok0">
    <w:name w:val="FunctionTok"/>
    <w:basedOn w:val="VerbatimChar"/>
    <w:rPr>
      <w:rFonts w:ascii="Consolas" w:hAnsi="Consolas"/>
      <w:color w:val="000000"/>
      <w:sz w:val="22"/>
      <w:shd w:val="clear" w:color="auto" w:fill="F8F8F8"/>
    </w:rPr>
  </w:style>
  <w:style w:type="character" w:customStyle="1" w:styleId="RegionMarkerTok0">
    <w:name w:val="RegionMarkerTok"/>
    <w:basedOn w:val="VerbatimChar"/>
    <w:rPr>
      <w:rFonts w:ascii="Consolas" w:hAnsi="Consolas"/>
      <w:sz w:val="22"/>
      <w:shd w:val="clear" w:color="auto" w:fill="F8F8F8"/>
    </w:rPr>
  </w:style>
  <w:style w:type="character" w:customStyle="1" w:styleId="ErrorTok0">
    <w:name w:val="ErrorTok"/>
    <w:basedOn w:val="VerbatimChar"/>
    <w:rPr>
      <w:rFonts w:ascii="Consolas" w:hAnsi="Consolas"/>
      <w:b/>
      <w:sz w:val="22"/>
      <w:shd w:val="clear" w:color="auto" w:fill="F8F8F8"/>
    </w:rPr>
  </w:style>
  <w:style w:type="character" w:customStyle="1" w:styleId="NormalTok0">
    <w:name w:val="NormalTok"/>
    <w:basedOn w:val="VerbatimChar"/>
    <w:rPr>
      <w:rFonts w:ascii="Consolas" w:hAnsi="Consolas"/>
      <w:sz w:val="22"/>
      <w:shd w:val="clear" w:color="auto" w:fill="F8F8F8"/>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harTok">
    <w:name w:val="CharTok"/>
    <w:basedOn w:val="VerbatimChar"/>
    <w:rPr>
      <w:color w:val="4e9a06"/>
      <w:shd w:val="clear" w:fill="f8f8f8"/>
    </w:rPr>
  </w:style>
  <w:style w:type="character" w:customStyle="1" w:styleId="StringTok">
    <w:name w:val="StringTok"/>
    <w:basedOn w:val="VerbatimChar"/>
    <w:rPr>
      <w:color w:val="4e9a06"/>
      <w:shd w:val="clear" w:fill="f8f8f8"/>
    </w:rPr>
  </w:style>
  <w:style w:type="character" w:customStyle="1" w:styleId="CommentTok">
    <w:name w:val="CommentTok"/>
    <w:basedOn w:val="VerbatimChar"/>
    <w:rPr>
      <w:color w:val="8f5902"/>
      <w:shd w:val="clear" w:fill="f8f8f8"/>
      <w:i/>
    </w:rPr>
  </w:style>
  <w:style w:type="character" w:customStyle="1" w:styleId="OtherTok">
    <w:name w:val="OtherTok"/>
    <w:basedOn w:val="VerbatimChar"/>
    <w:rPr>
      <w:color w:val="8f5902"/>
      <w:shd w:val="clear" w:fill="f8f8f8"/>
    </w:rPr>
  </w:style>
  <w:style w:type="character" w:customStyle="1" w:styleId="AlertTok">
    <w:name w:val="AlertTok"/>
    <w:basedOn w:val="VerbatimChar"/>
    <w:rPr>
      <w:color w:val="ef2929"/>
      <w:shd w:val="clear" w:fill="f8f8f8"/>
    </w:rPr>
  </w:style>
  <w:style w:type="character" w:customStyle="1" w:styleId="FunctionTok">
    <w:name w:val="FunctionTok"/>
    <w:basedOn w:val="VerbatimChar"/>
    <w:rPr>
      <w:color w:val="000000"/>
      <w:shd w:val="clear" w:fill="f8f8f8"/>
    </w:rPr>
  </w:style>
  <w:style w:type="character" w:customStyle="1" w:styleId="RegionMarkerTok">
    <w:name w:val="RegionMarkerTok"/>
    <w:basedOn w:val="VerbatimChar"/>
    <w:rPr>
      <w:shd w:val="clear" w:fill="f8f8f8"/>
    </w:rPr>
  </w:style>
  <w:style w:type="character" w:customStyle="1" w:styleId="ErrorTok">
    <w:name w:val="ErrorTok"/>
    <w:basedOn w:val="VerbatimChar"/>
    <w:rPr>
      <w:shd w:val="clear" w:fill="f8f8f8"/>
      <w:b/>
    </w:rPr>
  </w:style>
  <w:style w:type="character" w:customStyle="1" w:styleId="NormalTok">
    <w:name w:val="NormalTok"/>
    <w:basedOn w:val="VerbatimChar"/>
    <w:rPr>
      <w:shd w:val="clear"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203</Words>
  <Characters>1159</Characters>
  <Application>Microsoft Macintosh Word</Application>
  <DocSecurity>0</DocSecurity>
  <Lines>9</Lines>
  <Paragraphs>2</Paragraphs>
  <ScaleCrop>false</ScaleCrop>
  <Company>Johns Hopkins</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to: Novel insights into activity patterns in children, found using functional data analyses</dc:title>
  <dc:creator>Jeff Goldsmith, Xinyue Liu, Judith Jacobson, Andrew Rundle</dc:creator>
</cp:coreProperties>
</file>