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52" w:rsidRPr="00031B57" w:rsidRDefault="007A2B81" w:rsidP="00C6025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Pr="00031B57">
        <w:rPr>
          <w:rFonts w:ascii="Times New Roman" w:hAnsi="Times New Roman" w:cs="Times New Roman"/>
          <w:sz w:val="24"/>
          <w:szCs w:val="24"/>
          <w:lang w:val="en-GB"/>
        </w:rPr>
        <w:t>S1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>: Associations of sedentary time, standing, and stepping with cardio-metabolic outcomes</w:t>
      </w:r>
    </w:p>
    <w:tbl>
      <w:tblPr>
        <w:tblW w:w="10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927"/>
        <w:gridCol w:w="1560"/>
        <w:gridCol w:w="827"/>
        <w:gridCol w:w="1560"/>
        <w:gridCol w:w="907"/>
        <w:gridCol w:w="1560"/>
      </w:tblGrid>
      <w:tr w:rsidR="000C2F7E" w:rsidRPr="00031B57" w:rsidTr="00031B57">
        <w:trPr>
          <w:trHeight w:val="26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6324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Sedentary time</w:t>
            </w:r>
          </w:p>
          <w:p w:rsidR="000C2F7E" w:rsidRPr="00031B57" w:rsidRDefault="000C2F7E" w:rsidP="006324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(30 min/day)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6324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Standing </w:t>
            </w:r>
          </w:p>
          <w:p w:rsidR="000C2F7E" w:rsidRPr="00031B57" w:rsidRDefault="000C2F7E" w:rsidP="006324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(30 min/day)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6324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Stepping </w:t>
            </w:r>
          </w:p>
          <w:p w:rsidR="000C2F7E" w:rsidRPr="00031B57" w:rsidRDefault="000C2F7E" w:rsidP="006324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(30 min/day)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7E" w:rsidRPr="00031B57" w:rsidRDefault="000C2F7E" w:rsidP="002225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7E" w:rsidRPr="00031B57" w:rsidRDefault="000C2F7E" w:rsidP="002225CD">
            <w:pPr>
              <w:spacing w:before="24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7E" w:rsidRPr="00031B57" w:rsidRDefault="000C2F7E" w:rsidP="002225C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(95% CI)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7E" w:rsidRPr="00031B57" w:rsidRDefault="000C2F7E" w:rsidP="002225CD">
            <w:pPr>
              <w:spacing w:before="24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7E" w:rsidRPr="00031B57" w:rsidRDefault="000C2F7E" w:rsidP="002225C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(95% CI)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7E" w:rsidRPr="00031B57" w:rsidRDefault="000C2F7E" w:rsidP="002225CD">
            <w:pPr>
              <w:spacing w:before="24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7E" w:rsidRPr="00031B57" w:rsidRDefault="000C2F7E" w:rsidP="002225C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(95% CI)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2225C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Waist circumference (cm)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2225CD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0.686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2225CD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(0.54; 0.83)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2225CD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-0.627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2225CD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(-0.81; -0.44)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2225CD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-1.644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2225CD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(-1.99; -1.30)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BMI (kg/m</w:t>
            </w: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NL"/>
              </w:rPr>
              <w:t>2</w:t>
            </w: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0.160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(0.11; 0.22)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-0.113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(-0.18; -0.04)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-0.501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(-0.63; -0.37)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Systolic blood pressure (mmHg)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-0.209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(-0.44; 0.02)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0.247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(-0.05; 0.54)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0.299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(-0.25; 0.85)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Diastolic blood pressure (mmHg)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0.052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(-0.08; 0.18)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-0.114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(-0.28; 0.05)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0.113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(-0.20; 0.43)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HDL cholesterol (mmol/L)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-0.015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(-0.02; -0.01)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0.011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(0.00; 0.02)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0.043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(0.03; 0.06)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nl-NL"/>
              </w:rPr>
              <w:t>Total-to-HDL cholesterol ratio*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1.010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(1.01; 1.01)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0.990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(0.99; 1.00)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0.977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(0.97; 0.99)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Triacylglycerol (mmol/L)*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1.013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(1.01; 1.02)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0.987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(0.98; 1.00)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(0.96; 0.99)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Fasting glucose</w:t>
            </w: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(mmol/L)*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1.001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(1.00; 1.00)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0.999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(1.00; 1.00)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0.997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(0.99; 1.00)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 h post-load</w:t>
            </w: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nl-NL"/>
              </w:rPr>
              <w:t xml:space="preserve"> glucose (</w:t>
            </w:r>
            <w:proofErr w:type="spellStart"/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nl-NL"/>
              </w:rPr>
              <w:t>mmol</w:t>
            </w:r>
            <w:proofErr w:type="spellEnd"/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nl-NL"/>
              </w:rPr>
              <w:t>/L)*†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1.006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(1.00; 1.01</w:t>
            </w: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0.997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(0.99; 1.00)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0.981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(0.97; 0.99)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Fasting insulin (p</w:t>
            </w: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mol/L)</w:t>
            </w:r>
            <w:r w:rsidRPr="00031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*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1.018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(1.01; 1.03)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0.982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(0.97; 0.99)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(0.95; 0.98)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0C1C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HbA1c (</w:t>
            </w: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mmol/mol)*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(1.00; 1.00)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1.001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(1.00; 1.00)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0.997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7E" w:rsidRPr="00031B57" w:rsidRDefault="000C2F7E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(0.99; 1.00)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(95% CI)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(95% CI)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OR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2F7E" w:rsidP="006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(95% CI)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F7E" w:rsidRPr="00031B57" w:rsidRDefault="000C1CED" w:rsidP="002225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Metabolic syndrome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2225C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1.154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2225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(1.12; 1.19)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2225C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0.882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2225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(0.85; 0.92)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2225C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0.689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2225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(0.64; 0.75)</w:t>
            </w:r>
          </w:p>
        </w:tc>
      </w:tr>
      <w:tr w:rsidR="000C2F7E" w:rsidRPr="00031B57" w:rsidTr="00031B57">
        <w:trPr>
          <w:trHeight w:val="248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F7E" w:rsidRPr="00031B57" w:rsidRDefault="000C1CED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Type 2 diabetes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F14C85" w:rsidP="000C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1.115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(1.07; 1.16)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0C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0.905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(0.86; 0.95)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0C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0.761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E" w:rsidRPr="00031B57" w:rsidRDefault="000C1CED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031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NL"/>
              </w:rPr>
              <w:t>(0.69; 0.84)</w:t>
            </w:r>
          </w:p>
        </w:tc>
      </w:tr>
    </w:tbl>
    <w:p w:rsidR="00511C50" w:rsidRPr="00031B57" w:rsidRDefault="0070112D" w:rsidP="00031B57">
      <w:pPr>
        <w:spacing w:before="240" w:line="276" w:lineRule="auto"/>
        <w:ind w:right="32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B5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>egression results are presented as unstandardized coefficients (B)</w:t>
      </w:r>
      <w:r w:rsidR="000C2F7E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 and odds ratios (OR)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. *Scores are back-transformed from the natural log scale. </w:t>
      </w:r>
      <w:r w:rsidR="003E0404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†N=2,048. 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>Boldface indicates statistical significance (P&lt;0.05). The associations were adjusted for sex, age, level of education, waking time, glucose metabolism status</w:t>
      </w:r>
      <w:r w:rsidR="000C2F7E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 (except the </w:t>
      </w:r>
      <w:r w:rsidR="000C2F7E" w:rsidRPr="00031B5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metabolic syndrome and type 2 diabetes), 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>smoking status, alcohol consumption, energy intake, mobility limitation, prevalent cardiovascular disease, depression, and antihypertensive and lipid-modifying medication</w:t>
      </w:r>
      <w:r w:rsidR="00001EA3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 (except the metabolic syndrome and type 2 diabetes)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>. All associations except</w:t>
      </w:r>
      <w:r w:rsidR="000C2F7E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 those </w:t>
      </w:r>
      <w:r w:rsidR="00001EA3" w:rsidRPr="00031B57">
        <w:rPr>
          <w:rFonts w:ascii="Times New Roman" w:hAnsi="Times New Roman" w:cs="Times New Roman"/>
          <w:sz w:val="24"/>
          <w:szCs w:val="24"/>
          <w:lang w:val="en-GB"/>
        </w:rPr>
        <w:t>describing</w:t>
      </w:r>
      <w:r w:rsidR="000C2F7E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 waist circumference, 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>BMI</w:t>
      </w:r>
      <w:r w:rsidR="000C2F7E" w:rsidRPr="00031B57">
        <w:rPr>
          <w:rFonts w:ascii="Times New Roman" w:hAnsi="Times New Roman" w:cs="Times New Roman"/>
          <w:sz w:val="24"/>
          <w:szCs w:val="24"/>
          <w:lang w:val="en-GB"/>
        </w:rPr>
        <w:t>, and the metabolic syndrome</w:t>
      </w:r>
      <w:r w:rsidR="00C60252" w:rsidRPr="00031B57">
        <w:rPr>
          <w:rFonts w:ascii="Times New Roman" w:hAnsi="Times New Roman" w:cs="Times New Roman"/>
          <w:sz w:val="24"/>
          <w:szCs w:val="24"/>
          <w:lang w:val="en-GB"/>
        </w:rPr>
        <w:t xml:space="preserve"> were also adjusted for BMI. </w:t>
      </w:r>
    </w:p>
    <w:sectPr w:rsidR="00511C50" w:rsidRPr="00031B57" w:rsidSect="009C0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52"/>
    <w:rsid w:val="00001EA3"/>
    <w:rsid w:val="00024325"/>
    <w:rsid w:val="00031B57"/>
    <w:rsid w:val="000C1CED"/>
    <w:rsid w:val="000C2F7E"/>
    <w:rsid w:val="002225CD"/>
    <w:rsid w:val="003E0404"/>
    <w:rsid w:val="004A0FB2"/>
    <w:rsid w:val="00511C50"/>
    <w:rsid w:val="0070112D"/>
    <w:rsid w:val="007A2B81"/>
    <w:rsid w:val="00926428"/>
    <w:rsid w:val="009C085B"/>
    <w:rsid w:val="00C56AB2"/>
    <w:rsid w:val="00C60252"/>
    <w:rsid w:val="00D06C41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4A88D-FCA7-49C5-A32B-31A557D5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0252"/>
    <w:pPr>
      <w:spacing w:line="36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van der Berg</dc:creator>
  <cp:lastModifiedBy>Ken Wilson</cp:lastModifiedBy>
  <cp:revision>2</cp:revision>
  <dcterms:created xsi:type="dcterms:W3CDTF">2017-02-15T12:21:00Z</dcterms:created>
  <dcterms:modified xsi:type="dcterms:W3CDTF">2017-02-15T12:21:00Z</dcterms:modified>
</cp:coreProperties>
</file>