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2667" w:rsidRPr="00296DCB" w:rsidRDefault="00296DCB">
      <w:pPr>
        <w:rPr>
          <w:rFonts w:ascii="Times New Roman" w:hAnsi="Times New Roman" w:cs="Times New Roman"/>
          <w:b/>
          <w:lang w:val="en-US"/>
        </w:rPr>
      </w:pPr>
      <w:r w:rsidRPr="00296DCB">
        <w:rPr>
          <w:rFonts w:ascii="Times New Roman" w:hAnsi="Times New Roman" w:cs="Times New Roman"/>
          <w:b/>
          <w:lang w:val="en-US"/>
        </w:rPr>
        <w:t>Supplementary Material</w:t>
      </w:r>
      <w:bookmarkStart w:id="0" w:name="_GoBack"/>
      <w:bookmarkEnd w:id="0"/>
    </w:p>
    <w:p w:rsidR="00296DCB" w:rsidRDefault="00296DCB">
      <w:pPr>
        <w:rPr>
          <w:lang w:val="en-US"/>
        </w:rPr>
      </w:pPr>
    </w:p>
    <w:p w:rsidR="00296DCB" w:rsidRDefault="00296DCB">
      <w:pPr>
        <w:rPr>
          <w:lang w:val="en-US"/>
        </w:rPr>
      </w:pPr>
      <w:r>
        <w:rPr>
          <w:noProof/>
          <w:lang w:val="en-US"/>
        </w:rPr>
        <w:drawing>
          <wp:inline distT="0" distB="0" distL="0" distR="0">
            <wp:extent cx="4826000" cy="563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5_Supplementary.tiff"/>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26000" cy="5638800"/>
                    </a:xfrm>
                    <a:prstGeom prst="rect">
                      <a:avLst/>
                    </a:prstGeom>
                  </pic:spPr>
                </pic:pic>
              </a:graphicData>
            </a:graphic>
          </wp:inline>
        </w:drawing>
      </w:r>
    </w:p>
    <w:p w:rsidR="00296DCB" w:rsidRDefault="00296DCB">
      <w:pPr>
        <w:rPr>
          <w:lang w:val="en-US"/>
        </w:rPr>
      </w:pPr>
    </w:p>
    <w:p w:rsidR="00296DCB" w:rsidRPr="00296DCB" w:rsidRDefault="00296DCB">
      <w:pPr>
        <w:rPr>
          <w:rFonts w:ascii="Times New Roman" w:hAnsi="Times New Roman" w:cs="Times New Roman"/>
          <w:lang w:val="en-US"/>
        </w:rPr>
      </w:pPr>
      <w:r w:rsidRPr="00296DCB">
        <w:rPr>
          <w:rFonts w:ascii="Times New Roman" w:hAnsi="Times New Roman" w:cs="Times New Roman"/>
          <w:lang w:val="en-US"/>
        </w:rPr>
        <w:t xml:space="preserve">Figure 1: SPM repeated measures two-way ANOVA results for A. subtalar joint (STJ) displacement; B. </w:t>
      </w:r>
      <w:proofErr w:type="spellStart"/>
      <w:r w:rsidRPr="00296DCB">
        <w:rPr>
          <w:rFonts w:ascii="Times New Roman" w:hAnsi="Times New Roman" w:cs="Times New Roman"/>
          <w:lang w:val="en-US"/>
        </w:rPr>
        <w:t>normlaised</w:t>
      </w:r>
      <w:proofErr w:type="spellEnd"/>
      <w:r w:rsidRPr="00296DCB">
        <w:rPr>
          <w:rFonts w:ascii="Times New Roman" w:hAnsi="Times New Roman" w:cs="Times New Roman"/>
          <w:lang w:val="en-US"/>
        </w:rPr>
        <w:t xml:space="preserve"> STJ moments; C. </w:t>
      </w:r>
      <w:proofErr w:type="spellStart"/>
      <w:r w:rsidRPr="00296DCB">
        <w:rPr>
          <w:rFonts w:ascii="Times New Roman" w:hAnsi="Times New Roman" w:cs="Times New Roman"/>
          <w:lang w:val="en-US"/>
        </w:rPr>
        <w:t>normlaised</w:t>
      </w:r>
      <w:proofErr w:type="spellEnd"/>
      <w:r w:rsidRPr="00296DCB">
        <w:rPr>
          <w:rFonts w:ascii="Times New Roman" w:hAnsi="Times New Roman" w:cs="Times New Roman"/>
          <w:lang w:val="en-US"/>
        </w:rPr>
        <w:t xml:space="preserve"> STJ powers; D. </w:t>
      </w:r>
      <w:proofErr w:type="spellStart"/>
      <w:r w:rsidRPr="00296DCB">
        <w:rPr>
          <w:rFonts w:ascii="Times New Roman" w:hAnsi="Times New Roman" w:cs="Times New Roman"/>
          <w:lang w:val="en-US"/>
        </w:rPr>
        <w:t>normlaised</w:t>
      </w:r>
      <w:proofErr w:type="spellEnd"/>
      <w:r w:rsidRPr="00296DCB">
        <w:rPr>
          <w:rFonts w:ascii="Times New Roman" w:hAnsi="Times New Roman" w:cs="Times New Roman"/>
          <w:lang w:val="en-US"/>
        </w:rPr>
        <w:t xml:space="preserve"> tibialis posterior electromyography. Plots illustrate the main effects of support condition (left), velocity (middle), and interactions between support condition and velocity (right).  Grey shaded areas indicate significant difference during the proportion of the gait cycle. Red dotted horizontal lines depict the critical random fields theory threshold at α = 0.05.</w:t>
      </w:r>
    </w:p>
    <w:sectPr w:rsidR="00296DCB" w:rsidRPr="00296DCB" w:rsidSect="009B367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CB"/>
    <w:rsid w:val="00296DCB"/>
    <w:rsid w:val="003C2667"/>
    <w:rsid w:val="009B3676"/>
    <w:rsid w:val="00D671D9"/>
    <w:rsid w:val="00E540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FAB58F9"/>
  <w15:chartTrackingRefBased/>
  <w15:docId w15:val="{E2CC97B2-D173-EC47-B2BE-2A1B5333D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83</Words>
  <Characters>475</Characters>
  <Application>Microsoft Office Word</Application>
  <DocSecurity>0</DocSecurity>
  <Lines>3</Lines>
  <Paragraphs>1</Paragraphs>
  <ScaleCrop>false</ScaleCrop>
  <Company/>
  <LinksUpToDate>false</LinksUpToDate>
  <CharactersWithSpaces>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Jayishni Maharaj</dc:creator>
  <cp:keywords/>
  <dc:description/>
  <cp:lastModifiedBy>Jayishni Maharaj</cp:lastModifiedBy>
  <cp:revision>1</cp:revision>
  <dcterms:created xsi:type="dcterms:W3CDTF">2018-02-06T01:54:00Z</dcterms:created>
  <dcterms:modified xsi:type="dcterms:W3CDTF">2018-02-06T01:56:00Z</dcterms:modified>
</cp:coreProperties>
</file>