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77" w:rsidRPr="00AC5282" w:rsidRDefault="00EF2477" w:rsidP="00EF2477">
      <w:pPr>
        <w:tabs>
          <w:tab w:val="left" w:pos="774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Supplemental file 4</w:t>
      </w:r>
      <w:r w:rsidRPr="00AC528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. </w:t>
      </w:r>
      <w:r w:rsidRPr="00AC5282">
        <w:rPr>
          <w:rFonts w:ascii="Times New Roman" w:hAnsi="Times New Roman" w:cs="Times New Roman"/>
          <w:sz w:val="24"/>
          <w:lang w:val="en-US"/>
        </w:rPr>
        <w:t>Bone mineral content (BMC) and density (BMD) from the whole-body, femoral and lumbar scans in the McArdle patients by sex.</w:t>
      </w:r>
    </w:p>
    <w:p w:rsidR="004615D6" w:rsidRDefault="004615D6"/>
    <w:tbl>
      <w:tblPr>
        <w:tblStyle w:val="TableGrid"/>
        <w:tblpPr w:leftFromText="141" w:rightFromText="141" w:vertAnchor="text" w:horzAnchor="page" w:tblpX="778" w:tblpY="924"/>
        <w:tblW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839"/>
        <w:gridCol w:w="425"/>
        <w:gridCol w:w="609"/>
        <w:gridCol w:w="850"/>
        <w:gridCol w:w="525"/>
        <w:gridCol w:w="1034"/>
        <w:gridCol w:w="242"/>
        <w:gridCol w:w="709"/>
        <w:gridCol w:w="425"/>
        <w:gridCol w:w="609"/>
        <w:gridCol w:w="667"/>
        <w:gridCol w:w="425"/>
        <w:gridCol w:w="1005"/>
      </w:tblGrid>
      <w:tr w:rsidR="00EF2477" w:rsidRPr="00FE141F" w:rsidTr="00242D64">
        <w:trPr>
          <w:trHeight w:val="459"/>
        </w:trPr>
        <w:tc>
          <w:tcPr>
            <w:tcW w:w="2560" w:type="dxa"/>
            <w:tcBorders>
              <w:top w:val="single" w:sz="12" w:space="0" w:color="auto"/>
            </w:tcBorders>
            <w:vAlign w:val="center"/>
          </w:tcPr>
          <w:p w:rsidR="00EF2477" w:rsidRPr="00FE141F" w:rsidRDefault="00EF2477" w:rsidP="00242D64">
            <w:pPr>
              <w:tabs>
                <w:tab w:val="left" w:pos="1575"/>
              </w:tabs>
              <w:spacing w:line="48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82" w:type="dxa"/>
            <w:gridSpan w:val="6"/>
            <w:tcBorders>
              <w:top w:val="single" w:sz="12" w:space="0" w:color="auto"/>
            </w:tcBorders>
            <w:vAlign w:val="center"/>
          </w:tcPr>
          <w:p w:rsidR="00EF2477" w:rsidRPr="00FE141F" w:rsidRDefault="00EF2477" w:rsidP="00242D64">
            <w:pPr>
              <w:tabs>
                <w:tab w:val="left" w:pos="1575"/>
              </w:tabs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FE141F">
              <w:rPr>
                <w:rFonts w:cs="Times New Roman"/>
                <w:color w:val="000000" w:themeColor="text1"/>
                <w:lang w:val="en-US"/>
              </w:rPr>
              <w:t>BMC (g)</w:t>
            </w:r>
          </w:p>
        </w:tc>
        <w:tc>
          <w:tcPr>
            <w:tcW w:w="242" w:type="dxa"/>
            <w:tcBorders>
              <w:top w:val="single" w:sz="12" w:space="0" w:color="auto"/>
              <w:left w:val="nil"/>
            </w:tcBorders>
            <w:vAlign w:val="center"/>
          </w:tcPr>
          <w:p w:rsidR="00EF2477" w:rsidRPr="00FE141F" w:rsidRDefault="00EF2477" w:rsidP="00242D64">
            <w:pPr>
              <w:tabs>
                <w:tab w:val="left" w:pos="1575"/>
              </w:tabs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3840" w:type="dxa"/>
            <w:gridSpan w:val="6"/>
            <w:tcBorders>
              <w:top w:val="single" w:sz="12" w:space="0" w:color="auto"/>
            </w:tcBorders>
            <w:vAlign w:val="center"/>
          </w:tcPr>
          <w:p w:rsidR="00EF2477" w:rsidRPr="00FE141F" w:rsidRDefault="00EF2477" w:rsidP="00242D64">
            <w:pPr>
              <w:tabs>
                <w:tab w:val="left" w:pos="1575"/>
              </w:tabs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FE141F">
              <w:rPr>
                <w:rFonts w:cs="Times New Roman"/>
                <w:color w:val="000000" w:themeColor="text1"/>
                <w:lang w:val="en-US"/>
              </w:rPr>
              <w:t>BMD (g·cm</w:t>
            </w:r>
            <w:r w:rsidRPr="00FE141F">
              <w:rPr>
                <w:rFonts w:cs="Times New Roman"/>
                <w:color w:val="000000" w:themeColor="text1"/>
                <w:vertAlign w:val="superscript"/>
                <w:lang w:val="en-US"/>
              </w:rPr>
              <w:t>-2</w:t>
            </w:r>
            <w:r w:rsidRPr="00FE141F">
              <w:rPr>
                <w:rFonts w:cs="Times New Roman"/>
                <w:color w:val="000000" w:themeColor="text1"/>
                <w:lang w:val="en-US"/>
              </w:rPr>
              <w:t>)</w:t>
            </w:r>
          </w:p>
        </w:tc>
      </w:tr>
      <w:tr w:rsidR="00EF2477" w:rsidRPr="00FE141F" w:rsidTr="00242D64">
        <w:trPr>
          <w:trHeight w:val="458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EF2477" w:rsidRPr="00FE141F" w:rsidRDefault="00EF2477" w:rsidP="00242D64">
            <w:pPr>
              <w:tabs>
                <w:tab w:val="left" w:pos="1575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477" w:rsidRPr="008B7091" w:rsidRDefault="00EF2477" w:rsidP="00242D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B7091">
              <w:rPr>
                <w:rFonts w:ascii="Times New Roman" w:hAnsi="Times New Roman" w:cs="Times New Roman"/>
                <w:color w:val="000000" w:themeColor="text1"/>
              </w:rPr>
              <w:t>Men</w:t>
            </w:r>
            <w:proofErr w:type="spellEnd"/>
          </w:p>
          <w:p w:rsidR="00EF2477" w:rsidRPr="008B7091" w:rsidRDefault="00EF2477" w:rsidP="00242D64">
            <w:pPr>
              <w:pStyle w:val="NoSpacing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(n=17)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477" w:rsidRPr="008B7091" w:rsidRDefault="00EF2477" w:rsidP="00242D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B7091">
              <w:rPr>
                <w:rFonts w:ascii="Times New Roman" w:hAnsi="Times New Roman" w:cs="Times New Roman"/>
                <w:color w:val="000000" w:themeColor="text1"/>
              </w:rPr>
              <w:t>Women</w:t>
            </w:r>
            <w:proofErr w:type="spellEnd"/>
          </w:p>
          <w:p w:rsidR="00EF2477" w:rsidRPr="008B7091" w:rsidRDefault="00EF2477" w:rsidP="00242D64">
            <w:pPr>
              <w:tabs>
                <w:tab w:val="left" w:pos="1575"/>
              </w:tabs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(n=19)</w:t>
            </w:r>
          </w:p>
        </w:tc>
        <w:tc>
          <w:tcPr>
            <w:tcW w:w="242" w:type="dxa"/>
            <w:tcBorders>
              <w:left w:val="nil"/>
            </w:tcBorders>
            <w:vAlign w:val="center"/>
          </w:tcPr>
          <w:p w:rsidR="00EF2477" w:rsidRPr="008B7091" w:rsidRDefault="00EF2477" w:rsidP="00242D64">
            <w:pPr>
              <w:pStyle w:val="NoSpacing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477" w:rsidRPr="008B7091" w:rsidRDefault="00EF2477" w:rsidP="00242D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B7091">
              <w:rPr>
                <w:rFonts w:ascii="Times New Roman" w:hAnsi="Times New Roman" w:cs="Times New Roman"/>
                <w:color w:val="000000" w:themeColor="text1"/>
              </w:rPr>
              <w:t>Men</w:t>
            </w:r>
            <w:proofErr w:type="spellEnd"/>
          </w:p>
          <w:p w:rsidR="00EF2477" w:rsidRPr="008B7091" w:rsidRDefault="00EF2477" w:rsidP="00242D64">
            <w:pPr>
              <w:tabs>
                <w:tab w:val="left" w:pos="1575"/>
              </w:tabs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(n=17)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477" w:rsidRPr="008B7091" w:rsidRDefault="00EF2477" w:rsidP="00242D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B7091">
              <w:rPr>
                <w:rFonts w:ascii="Times New Roman" w:hAnsi="Times New Roman" w:cs="Times New Roman"/>
                <w:color w:val="000000" w:themeColor="text1"/>
              </w:rPr>
              <w:t>Women</w:t>
            </w:r>
            <w:proofErr w:type="spellEnd"/>
          </w:p>
          <w:p w:rsidR="00EF2477" w:rsidRPr="008B7091" w:rsidRDefault="00EF2477" w:rsidP="00242D64">
            <w:pPr>
              <w:tabs>
                <w:tab w:val="left" w:pos="1575"/>
              </w:tabs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(n=19)</w:t>
            </w:r>
          </w:p>
        </w:tc>
      </w:tr>
      <w:tr w:rsidR="00EF2477" w:rsidRPr="00FE141F" w:rsidTr="00242D64">
        <w:trPr>
          <w:trHeight w:val="232"/>
        </w:trPr>
        <w:tc>
          <w:tcPr>
            <w:tcW w:w="2560" w:type="dxa"/>
            <w:tcBorders>
              <w:top w:val="single" w:sz="4" w:space="0" w:color="auto"/>
            </w:tcBorders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Whole Scan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409" w:type="dxa"/>
            <w:gridSpan w:val="3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EF2477" w:rsidRPr="00FE141F" w:rsidTr="00242D64">
        <w:trPr>
          <w:trHeight w:val="256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2169.3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53.7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2147.1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50.1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88"/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0.02</w:t>
            </w:r>
          </w:p>
        </w:tc>
      </w:tr>
      <w:tr w:rsidR="00EF2477" w:rsidRPr="00FE141F" w:rsidTr="00242D64">
        <w:trPr>
          <w:trHeight w:val="273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Head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473.8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19.9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515.0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Pr="008B709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p=0.06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0.07</w:t>
            </w:r>
          </w:p>
        </w:tc>
      </w:tr>
      <w:tr w:rsidR="00EF2477" w:rsidRPr="00FE141F" w:rsidTr="00242D64">
        <w:trPr>
          <w:trHeight w:val="227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Pelvi</w:t>
            </w:r>
            <w:r>
              <w:rPr>
                <w:rFonts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220.8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12.7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233.4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11.8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†</w:t>
            </w:r>
          </w:p>
        </w:tc>
      </w:tr>
      <w:tr w:rsidR="00EF2477" w:rsidRPr="00FE141F" w:rsidTr="00242D64">
        <w:trPr>
          <w:trHeight w:val="241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Arms (mean)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152.5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134.3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4.2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0.01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†</w:t>
            </w:r>
          </w:p>
        </w:tc>
      </w:tr>
      <w:tr w:rsidR="00EF2477" w:rsidRPr="00FE141F" w:rsidTr="00242D64">
        <w:trPr>
          <w:trHeight w:val="227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Legs (mean)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414.6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392.0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8.9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0.02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†</w:t>
            </w:r>
          </w:p>
        </w:tc>
      </w:tr>
      <w:tr w:rsidR="00EF2477" w:rsidRPr="00FE141F" w:rsidTr="00242D64">
        <w:trPr>
          <w:trHeight w:val="317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 xml:space="preserve">Spine 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</w:tr>
      <w:tr w:rsidR="00EF2477" w:rsidRPr="00FE141F" w:rsidTr="00242D64">
        <w:trPr>
          <w:trHeight w:val="227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Lumbar (mean L</w:t>
            </w:r>
            <w:r w:rsidRPr="00FE141F">
              <w:rPr>
                <w:rFonts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FE141F">
              <w:rPr>
                <w:rFonts w:cs="Times New Roman"/>
                <w:sz w:val="20"/>
                <w:szCs w:val="20"/>
                <w:lang w:val="en-US"/>
              </w:rPr>
              <w:t>–L</w:t>
            </w:r>
            <w:r w:rsidRPr="00FE141F">
              <w:rPr>
                <w:rFonts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FE141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14.2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15.1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0.6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†</w:t>
            </w:r>
          </w:p>
        </w:tc>
      </w:tr>
      <w:tr w:rsidR="00EF2477" w:rsidRPr="00FE141F" w:rsidTr="00242D64">
        <w:trPr>
          <w:trHeight w:val="227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Femoral Regions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</w:tr>
      <w:tr w:rsidR="00EF2477" w:rsidRPr="00FE141F" w:rsidTr="00242D64">
        <w:trPr>
          <w:trHeight w:val="227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Proximal femur (mean)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41.9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1.8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  <w:r w:rsidRPr="008B7091">
              <w:rPr>
                <w:rFonts w:ascii="Times New Roman" w:hAnsi="Times New Roman" w:cs="Times New Roman"/>
                <w:vertAlign w:val="superscript"/>
              </w:rPr>
              <w:t>p=0.08</w:t>
            </w:r>
          </w:p>
        </w:tc>
      </w:tr>
      <w:tr w:rsidR="00EF2477" w:rsidRPr="00FE141F" w:rsidTr="00242D64">
        <w:trPr>
          <w:trHeight w:val="227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Femoral neck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0.3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†</w:t>
            </w:r>
          </w:p>
        </w:tc>
      </w:tr>
      <w:tr w:rsidR="00EF2477" w:rsidRPr="00FE141F" w:rsidTr="00242D64">
        <w:trPr>
          <w:trHeight w:val="227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Trochanter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0.3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0.02</w:t>
            </w:r>
          </w:p>
        </w:tc>
      </w:tr>
      <w:tr w:rsidR="00EF2477" w:rsidRPr="00FE141F" w:rsidTr="00242D64">
        <w:trPr>
          <w:trHeight w:val="116"/>
        </w:trPr>
        <w:tc>
          <w:tcPr>
            <w:tcW w:w="2560" w:type="dxa"/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Intertrochanteric zone</w:t>
            </w:r>
          </w:p>
        </w:tc>
        <w:tc>
          <w:tcPr>
            <w:tcW w:w="83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29.4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850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26.2</w:t>
            </w:r>
          </w:p>
        </w:tc>
        <w:tc>
          <w:tcPr>
            <w:tcW w:w="5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1.5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7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2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†</w:t>
            </w:r>
          </w:p>
        </w:tc>
      </w:tr>
      <w:tr w:rsidR="00EF2477" w:rsidRPr="00FE141F" w:rsidTr="00242D64">
        <w:trPr>
          <w:trHeight w:val="227"/>
        </w:trPr>
        <w:tc>
          <w:tcPr>
            <w:tcW w:w="2560" w:type="dxa"/>
            <w:tcBorders>
              <w:bottom w:val="single" w:sz="4" w:space="0" w:color="auto"/>
            </w:tcBorders>
          </w:tcPr>
          <w:p w:rsidR="00EF2477" w:rsidRPr="00FE141F" w:rsidRDefault="00EF2477" w:rsidP="00242D64">
            <w:pPr>
              <w:tabs>
                <w:tab w:val="left" w:pos="1575"/>
              </w:tabs>
              <w:spacing w:line="276" w:lineRule="auto"/>
              <w:ind w:left="317"/>
              <w:rPr>
                <w:rFonts w:cs="Times New Roman"/>
                <w:sz w:val="20"/>
                <w:szCs w:val="20"/>
                <w:lang w:val="en-US"/>
              </w:rPr>
            </w:pPr>
            <w:r w:rsidRPr="00FE141F">
              <w:rPr>
                <w:rFonts w:cs="Times New Roman"/>
                <w:sz w:val="20"/>
                <w:szCs w:val="20"/>
                <w:lang w:val="en-US"/>
              </w:rPr>
              <w:t>Ward’s triangle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0.8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  <w:lang w:val="en-US"/>
              </w:rPr>
              <w:t>±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*</w: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right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  <w:lang w:val="en-US"/>
              </w:rPr>
              <w:t>±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F2477" w:rsidRPr="008B7091" w:rsidRDefault="00EF2477" w:rsidP="00242D64">
            <w:pPr>
              <w:tabs>
                <w:tab w:val="left" w:pos="1575"/>
              </w:tabs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8B7091">
              <w:rPr>
                <w:rFonts w:ascii="Times New Roman" w:hAnsi="Times New Roman" w:cs="Times New Roman"/>
              </w:rPr>
              <w:t>0.03</w:t>
            </w:r>
            <w:r w:rsidRPr="008B7091">
              <w:rPr>
                <w:rFonts w:ascii="Times New Roman" w:hAnsi="Times New Roman" w:cs="Times New Roman"/>
                <w:color w:val="000000" w:themeColor="text1"/>
                <w:lang w:val="en-US" w:eastAsia="es-ES_tradnl"/>
              </w:rPr>
              <w:t>†</w:t>
            </w:r>
          </w:p>
        </w:tc>
      </w:tr>
    </w:tbl>
    <w:p w:rsidR="00EF2477" w:rsidRDefault="00EF2477" w:rsidP="00EF2477">
      <w:r>
        <w:t xml:space="preserve">*  p&lt;0.05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vs. </w:t>
      </w:r>
      <w:proofErr w:type="spellStart"/>
      <w:r>
        <w:t>women</w:t>
      </w:r>
      <w:proofErr w:type="spellEnd"/>
      <w:r>
        <w:t xml:space="preserve"> in BMC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ANCOVA test (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, </w:t>
      </w:r>
      <w:proofErr w:type="spellStart"/>
      <w:r>
        <w:t>height</w:t>
      </w:r>
      <w:proofErr w:type="spellEnd"/>
      <w:r>
        <w:t xml:space="preserve"> and </w:t>
      </w:r>
      <w:proofErr w:type="spellStart"/>
      <w:r>
        <w:t>age</w:t>
      </w:r>
      <w:proofErr w:type="spellEnd"/>
      <w:r>
        <w:t>)</w:t>
      </w:r>
    </w:p>
    <w:p w:rsidR="00EF2477" w:rsidRDefault="00EF2477" w:rsidP="00EF2477">
      <w:r>
        <w:t xml:space="preserve">† p&lt;0.05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vs. </w:t>
      </w:r>
      <w:proofErr w:type="spellStart"/>
      <w:r>
        <w:t>women</w:t>
      </w:r>
      <w:proofErr w:type="spellEnd"/>
      <w:r>
        <w:t xml:space="preserve"> in BMD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ANCOVA test (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, </w:t>
      </w:r>
      <w:proofErr w:type="spellStart"/>
      <w:r>
        <w:t>height</w:t>
      </w:r>
      <w:proofErr w:type="spellEnd"/>
      <w:r>
        <w:t xml:space="preserve"> and </w:t>
      </w:r>
      <w:proofErr w:type="spellStart"/>
      <w:r>
        <w:t>age</w:t>
      </w:r>
      <w:proofErr w:type="spellEnd"/>
      <w:r>
        <w:t>)</w:t>
      </w:r>
      <w:bookmarkStart w:id="0" w:name="_GoBack"/>
      <w:bookmarkEnd w:id="0"/>
    </w:p>
    <w:sectPr w:rsidR="00EF2477" w:rsidSect="00942F27">
      <w:pgSz w:w="12240" w:h="15840" w:code="1"/>
      <w:pgMar w:top="1440" w:right="1440" w:bottom="1440" w:left="1440" w:header="706" w:footer="706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77"/>
    <w:rsid w:val="004615D6"/>
    <w:rsid w:val="008371CF"/>
    <w:rsid w:val="00942F27"/>
    <w:rsid w:val="00E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5E22"/>
  <w15:chartTrackingRefBased/>
  <w15:docId w15:val="{77731924-8AD3-44A6-B5D7-BC5F319E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77"/>
    <w:pPr>
      <w:spacing w:after="160" w:line="259" w:lineRule="auto"/>
    </w:pPr>
    <w:rPr>
      <w:rFonts w:asciiTheme="minorHAnsi" w:hAnsiTheme="minorHAnsi" w:cstheme="minorBid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F2477"/>
  </w:style>
  <w:style w:type="table" w:styleId="TableGrid">
    <w:name w:val="Table Grid"/>
    <w:basedOn w:val="TableNormal"/>
    <w:uiPriority w:val="39"/>
    <w:rsid w:val="00EF2477"/>
    <w:pPr>
      <w:spacing w:after="0" w:line="240" w:lineRule="auto"/>
    </w:pPr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2477"/>
    <w:pPr>
      <w:spacing w:after="0" w:line="240" w:lineRule="auto"/>
    </w:pPr>
    <w:rPr>
      <w:rFonts w:ascii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2017-08-23T12:22:00Z</dcterms:created>
  <dcterms:modified xsi:type="dcterms:W3CDTF">2017-08-23T12:24:00Z</dcterms:modified>
</cp:coreProperties>
</file>