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3F" w:rsidRPr="0052760E" w:rsidRDefault="00BF5F3F" w:rsidP="00BF5F3F">
      <w:pPr>
        <w:rPr>
          <w:rFonts w:ascii="Arial" w:hAnsi="Arial" w:cs="Arial"/>
          <w:b/>
          <w:sz w:val="24"/>
        </w:rPr>
      </w:pPr>
      <w:r w:rsidRPr="0052760E">
        <w:rPr>
          <w:rFonts w:ascii="Arial" w:hAnsi="Arial" w:cs="Arial"/>
          <w:b/>
          <w:sz w:val="24"/>
        </w:rPr>
        <w:t>Supplemental 1.  Key Data Sources for Evaluation Activities</w:t>
      </w:r>
    </w:p>
    <w:tbl>
      <w:tblPr>
        <w:tblStyle w:val="LightList-Accent3"/>
        <w:tblW w:w="9864" w:type="dxa"/>
        <w:tblLook w:val="0420" w:firstRow="1" w:lastRow="0" w:firstColumn="0" w:lastColumn="0" w:noHBand="0" w:noVBand="1"/>
      </w:tblPr>
      <w:tblGrid>
        <w:gridCol w:w="2448"/>
        <w:gridCol w:w="4590"/>
        <w:gridCol w:w="2826"/>
      </w:tblGrid>
      <w:tr w:rsidR="00BF5F3F" w:rsidRPr="005057AE" w:rsidTr="00E57B50">
        <w:trPr>
          <w:cnfStyle w:val="100000000000" w:firstRow="1" w:lastRow="0" w:firstColumn="0" w:lastColumn="0" w:oddVBand="0" w:evenVBand="0" w:oddHBand="0" w:evenHBand="0" w:firstRowFirstColumn="0" w:firstRowLastColumn="0" w:lastRowFirstColumn="0" w:lastRowLastColumn="0"/>
        </w:trPr>
        <w:tc>
          <w:tcPr>
            <w:tcW w:w="2448" w:type="dxa"/>
          </w:tcPr>
          <w:p w:rsidR="00BF5F3F" w:rsidRPr="001F5EE0" w:rsidRDefault="00BF5F3F" w:rsidP="00E57B50">
            <w:pPr>
              <w:rPr>
                <w:rFonts w:ascii="Arial" w:hAnsi="Arial"/>
              </w:rPr>
            </w:pPr>
            <w:r w:rsidRPr="001F5EE0">
              <w:rPr>
                <w:rFonts w:ascii="Arial" w:hAnsi="Arial"/>
              </w:rPr>
              <w:t>Evaluation Component</w:t>
            </w:r>
          </w:p>
        </w:tc>
        <w:tc>
          <w:tcPr>
            <w:tcW w:w="4590" w:type="dxa"/>
          </w:tcPr>
          <w:p w:rsidR="00BF5F3F" w:rsidRPr="001F5EE0" w:rsidRDefault="00BF5F3F" w:rsidP="00E57B50">
            <w:pPr>
              <w:rPr>
                <w:rFonts w:ascii="Arial" w:hAnsi="Arial"/>
              </w:rPr>
            </w:pPr>
            <w:r w:rsidRPr="001F5EE0">
              <w:rPr>
                <w:rFonts w:ascii="Arial" w:hAnsi="Arial"/>
              </w:rPr>
              <w:t>Evaluation Activities</w:t>
            </w:r>
          </w:p>
        </w:tc>
        <w:tc>
          <w:tcPr>
            <w:tcW w:w="2826" w:type="dxa"/>
          </w:tcPr>
          <w:p w:rsidR="00BF5F3F" w:rsidRPr="001F5EE0" w:rsidRDefault="00BF5F3F" w:rsidP="00E57B50">
            <w:pPr>
              <w:rPr>
                <w:rFonts w:ascii="Arial" w:hAnsi="Arial"/>
              </w:rPr>
            </w:pPr>
            <w:r w:rsidRPr="001F5EE0">
              <w:rPr>
                <w:rFonts w:ascii="Arial" w:hAnsi="Arial"/>
              </w:rPr>
              <w:t xml:space="preserve">Logic Model Component </w:t>
            </w:r>
          </w:p>
        </w:tc>
      </w:tr>
      <w:tr w:rsidR="00BF5F3F" w:rsidRPr="005057AE" w:rsidTr="00E57B50">
        <w:trPr>
          <w:cnfStyle w:val="000000100000" w:firstRow="0" w:lastRow="0" w:firstColumn="0" w:lastColumn="0" w:oddVBand="0" w:evenVBand="0" w:oddHBand="1" w:evenHBand="0" w:firstRowFirstColumn="0" w:firstRowLastColumn="0" w:lastRowFirstColumn="0" w:lastRowLastColumn="0"/>
        </w:trPr>
        <w:tc>
          <w:tcPr>
            <w:tcW w:w="2448" w:type="dxa"/>
          </w:tcPr>
          <w:p w:rsidR="00BF5F3F" w:rsidRPr="001F5EE0" w:rsidRDefault="00BF5F3F" w:rsidP="00E57B50">
            <w:pPr>
              <w:rPr>
                <w:rFonts w:ascii="Arial" w:hAnsi="Arial"/>
              </w:rPr>
            </w:pPr>
            <w:r w:rsidRPr="001F5EE0">
              <w:rPr>
                <w:rFonts w:ascii="Arial" w:hAnsi="Arial"/>
              </w:rPr>
              <w:t>Job Description Analysis (JOB)</w:t>
            </w:r>
          </w:p>
        </w:tc>
        <w:tc>
          <w:tcPr>
            <w:tcW w:w="4590" w:type="dxa"/>
          </w:tcPr>
          <w:p w:rsidR="00BF5F3F" w:rsidRPr="001F5EE0" w:rsidRDefault="00BF5F3F" w:rsidP="00E57B50">
            <w:pPr>
              <w:rPr>
                <w:rFonts w:ascii="Arial" w:hAnsi="Arial"/>
              </w:rPr>
            </w:pPr>
            <w:r w:rsidRPr="001F5EE0">
              <w:rPr>
                <w:rFonts w:ascii="Arial" w:hAnsi="Arial"/>
              </w:rPr>
              <w:t>Identify CNL job postings from USA.gov  Match job description with fundamental aspects of CNL practice (AACN, 2013)</w:t>
            </w:r>
          </w:p>
        </w:tc>
        <w:tc>
          <w:tcPr>
            <w:tcW w:w="2826" w:type="dxa"/>
          </w:tcPr>
          <w:p w:rsidR="00BF5F3F" w:rsidRPr="001F5EE0" w:rsidRDefault="00BF5F3F" w:rsidP="00E57B50">
            <w:pPr>
              <w:rPr>
                <w:rFonts w:ascii="Arial" w:hAnsi="Arial"/>
              </w:rPr>
            </w:pPr>
            <w:r w:rsidRPr="001F5EE0">
              <w:rPr>
                <w:rFonts w:ascii="Arial" w:hAnsi="Arial"/>
              </w:rPr>
              <w:t>VHA Activities</w:t>
            </w:r>
          </w:p>
          <w:p w:rsidR="00BF5F3F" w:rsidRPr="001F5EE0" w:rsidRDefault="00BF5F3F" w:rsidP="00E57B50">
            <w:pPr>
              <w:rPr>
                <w:rFonts w:ascii="Arial" w:hAnsi="Arial"/>
              </w:rPr>
            </w:pPr>
            <w:r w:rsidRPr="001F5EE0">
              <w:rPr>
                <w:rFonts w:ascii="Arial" w:hAnsi="Arial"/>
              </w:rPr>
              <w:t>Facility Activities</w:t>
            </w:r>
          </w:p>
        </w:tc>
      </w:tr>
      <w:tr w:rsidR="00BF5F3F" w:rsidRPr="005057AE" w:rsidTr="00E57B50">
        <w:tc>
          <w:tcPr>
            <w:tcW w:w="2448" w:type="dxa"/>
          </w:tcPr>
          <w:p w:rsidR="00BF5F3F" w:rsidRPr="001F5EE0" w:rsidRDefault="00BF5F3F" w:rsidP="00E57B50">
            <w:pPr>
              <w:rPr>
                <w:rFonts w:ascii="Arial" w:hAnsi="Arial"/>
              </w:rPr>
            </w:pPr>
            <w:r w:rsidRPr="001F5EE0">
              <w:rPr>
                <w:rFonts w:ascii="Arial" w:hAnsi="Arial"/>
              </w:rPr>
              <w:t>Facility Gap Analysis 2014 (GAP)</w:t>
            </w:r>
          </w:p>
        </w:tc>
        <w:tc>
          <w:tcPr>
            <w:tcW w:w="4590" w:type="dxa"/>
          </w:tcPr>
          <w:p w:rsidR="00BF5F3F" w:rsidRPr="001F5EE0" w:rsidRDefault="00BF5F3F" w:rsidP="00E57B50">
            <w:pPr>
              <w:rPr>
                <w:rFonts w:ascii="Arial" w:hAnsi="Arial"/>
              </w:rPr>
            </w:pPr>
            <w:r w:rsidRPr="001F5EE0">
              <w:rPr>
                <w:rFonts w:ascii="Arial" w:hAnsi="Arial"/>
              </w:rPr>
              <w:t>Repeat Facility Gap Analysis. Compare with 2012 results.</w:t>
            </w:r>
          </w:p>
        </w:tc>
        <w:tc>
          <w:tcPr>
            <w:tcW w:w="2826" w:type="dxa"/>
          </w:tcPr>
          <w:p w:rsidR="00BF5F3F" w:rsidRPr="001F5EE0" w:rsidRDefault="00BF5F3F" w:rsidP="00E57B50">
            <w:pPr>
              <w:rPr>
                <w:rFonts w:ascii="Arial" w:hAnsi="Arial"/>
              </w:rPr>
            </w:pPr>
            <w:r w:rsidRPr="001F5EE0">
              <w:rPr>
                <w:rFonts w:ascii="Arial" w:hAnsi="Arial"/>
              </w:rPr>
              <w:t>Facility Inputs</w:t>
            </w:r>
          </w:p>
          <w:p w:rsidR="00BF5F3F" w:rsidRPr="001F5EE0" w:rsidRDefault="00BF5F3F" w:rsidP="00E57B50">
            <w:pPr>
              <w:rPr>
                <w:rFonts w:ascii="Arial" w:hAnsi="Arial"/>
              </w:rPr>
            </w:pPr>
            <w:r w:rsidRPr="001F5EE0">
              <w:rPr>
                <w:rFonts w:ascii="Arial" w:hAnsi="Arial"/>
              </w:rPr>
              <w:t>Facility Activities</w:t>
            </w:r>
          </w:p>
          <w:p w:rsidR="00BF5F3F" w:rsidRPr="001F5EE0" w:rsidRDefault="00BF5F3F" w:rsidP="00E57B50">
            <w:pPr>
              <w:rPr>
                <w:rFonts w:ascii="Arial" w:hAnsi="Arial"/>
              </w:rPr>
            </w:pPr>
            <w:r w:rsidRPr="001F5EE0">
              <w:rPr>
                <w:rFonts w:ascii="Arial" w:hAnsi="Arial"/>
              </w:rPr>
              <w:t>Facility Outcomes</w:t>
            </w:r>
          </w:p>
        </w:tc>
      </w:tr>
      <w:tr w:rsidR="00BF5F3F" w:rsidRPr="005057AE" w:rsidTr="00E57B50">
        <w:trPr>
          <w:cnfStyle w:val="000000100000" w:firstRow="0" w:lastRow="0" w:firstColumn="0" w:lastColumn="0" w:oddVBand="0" w:evenVBand="0" w:oddHBand="1" w:evenHBand="0" w:firstRowFirstColumn="0" w:firstRowLastColumn="0" w:lastRowFirstColumn="0" w:lastRowLastColumn="0"/>
        </w:trPr>
        <w:tc>
          <w:tcPr>
            <w:tcW w:w="2448" w:type="dxa"/>
          </w:tcPr>
          <w:p w:rsidR="00BF5F3F" w:rsidRPr="001F5EE0" w:rsidRDefault="00BF5F3F" w:rsidP="00E57B50">
            <w:pPr>
              <w:rPr>
                <w:rFonts w:ascii="Arial" w:hAnsi="Arial"/>
              </w:rPr>
            </w:pPr>
            <w:r w:rsidRPr="001F5EE0">
              <w:rPr>
                <w:rFonts w:ascii="Arial" w:hAnsi="Arial"/>
              </w:rPr>
              <w:t>CNL Survey (CNL SUR)</w:t>
            </w:r>
          </w:p>
        </w:tc>
        <w:tc>
          <w:tcPr>
            <w:tcW w:w="4590" w:type="dxa"/>
          </w:tcPr>
          <w:p w:rsidR="00BF5F3F" w:rsidRPr="001F5EE0" w:rsidRDefault="00BF5F3F" w:rsidP="00E57B50">
            <w:pPr>
              <w:rPr>
                <w:rFonts w:ascii="Arial" w:hAnsi="Arial"/>
              </w:rPr>
            </w:pPr>
            <w:r w:rsidRPr="001F5EE0">
              <w:rPr>
                <w:rFonts w:ascii="Arial" w:hAnsi="Arial"/>
              </w:rPr>
              <w:t>Field survey to all VHA nurses with CNL education and/or certification.</w:t>
            </w:r>
          </w:p>
          <w:p w:rsidR="00BF5F3F" w:rsidRPr="001F5EE0" w:rsidRDefault="00BF5F3F" w:rsidP="00E57B50">
            <w:pPr>
              <w:rPr>
                <w:rFonts w:ascii="Arial" w:hAnsi="Arial"/>
              </w:rPr>
            </w:pPr>
            <w:r w:rsidRPr="001F5EE0">
              <w:rPr>
                <w:rFonts w:ascii="Arial" w:hAnsi="Arial"/>
              </w:rPr>
              <w:t>Descriptive analysis and multivariate analyses with nurse sensitive indicator data as appropriate.</w:t>
            </w:r>
          </w:p>
        </w:tc>
        <w:tc>
          <w:tcPr>
            <w:tcW w:w="2826" w:type="dxa"/>
          </w:tcPr>
          <w:p w:rsidR="00BF5F3F" w:rsidRPr="001F5EE0" w:rsidRDefault="00BF5F3F" w:rsidP="00E57B50">
            <w:pPr>
              <w:rPr>
                <w:rFonts w:ascii="Arial" w:hAnsi="Arial"/>
              </w:rPr>
            </w:pPr>
            <w:r w:rsidRPr="001F5EE0">
              <w:rPr>
                <w:rFonts w:ascii="Arial" w:hAnsi="Arial"/>
              </w:rPr>
              <w:t>Unit Inputs</w:t>
            </w:r>
          </w:p>
          <w:p w:rsidR="00BF5F3F" w:rsidRPr="001F5EE0" w:rsidRDefault="00BF5F3F" w:rsidP="00E57B50">
            <w:pPr>
              <w:rPr>
                <w:rFonts w:ascii="Arial" w:hAnsi="Arial"/>
              </w:rPr>
            </w:pPr>
            <w:r w:rsidRPr="001F5EE0">
              <w:rPr>
                <w:rFonts w:ascii="Arial" w:hAnsi="Arial"/>
              </w:rPr>
              <w:t>Unit Activities</w:t>
            </w:r>
          </w:p>
          <w:p w:rsidR="00BF5F3F" w:rsidRPr="001F5EE0" w:rsidRDefault="00BF5F3F" w:rsidP="00E57B50">
            <w:pPr>
              <w:rPr>
                <w:rFonts w:ascii="Arial" w:hAnsi="Arial"/>
              </w:rPr>
            </w:pPr>
            <w:r w:rsidRPr="001F5EE0">
              <w:rPr>
                <w:rFonts w:ascii="Arial" w:hAnsi="Arial"/>
              </w:rPr>
              <w:t>Unit Outcomes</w:t>
            </w:r>
          </w:p>
        </w:tc>
      </w:tr>
      <w:tr w:rsidR="00BF5F3F" w:rsidRPr="005057AE" w:rsidTr="00E57B50">
        <w:tc>
          <w:tcPr>
            <w:tcW w:w="2448" w:type="dxa"/>
          </w:tcPr>
          <w:p w:rsidR="00BF5F3F" w:rsidRPr="001F5EE0" w:rsidRDefault="00BF5F3F" w:rsidP="00E57B50">
            <w:pPr>
              <w:rPr>
                <w:rFonts w:ascii="Arial" w:hAnsi="Arial"/>
              </w:rPr>
            </w:pPr>
            <w:r w:rsidRPr="001F5EE0">
              <w:rPr>
                <w:rFonts w:ascii="Arial" w:hAnsi="Arial"/>
              </w:rPr>
              <w:t>Nurse sensitive indicator analyses (NSIND)</w:t>
            </w:r>
          </w:p>
        </w:tc>
        <w:tc>
          <w:tcPr>
            <w:tcW w:w="4590" w:type="dxa"/>
          </w:tcPr>
          <w:p w:rsidR="00BF5F3F" w:rsidRPr="001F5EE0" w:rsidRDefault="00BF5F3F" w:rsidP="00E57B50">
            <w:pPr>
              <w:rPr>
                <w:rFonts w:ascii="Arial" w:hAnsi="Arial"/>
              </w:rPr>
            </w:pPr>
            <w:r w:rsidRPr="001F5EE0">
              <w:rPr>
                <w:rFonts w:ascii="Arial" w:hAnsi="Arial"/>
              </w:rPr>
              <w:t>Facility and unit level data including nurse satisfaction, patient experience, pressure ulcer process and outcomes measures, falls, hospital acquired conditions, and personnel data (turnover, injuries) will be obtained and linked to facilities/units with CNL utilization.</w:t>
            </w:r>
          </w:p>
        </w:tc>
        <w:tc>
          <w:tcPr>
            <w:tcW w:w="2826" w:type="dxa"/>
          </w:tcPr>
          <w:p w:rsidR="00BF5F3F" w:rsidRPr="001F5EE0" w:rsidRDefault="00BF5F3F" w:rsidP="00E57B50">
            <w:pPr>
              <w:rPr>
                <w:rFonts w:ascii="Arial" w:hAnsi="Arial"/>
              </w:rPr>
            </w:pPr>
            <w:r w:rsidRPr="001F5EE0">
              <w:rPr>
                <w:rFonts w:ascii="Arial" w:hAnsi="Arial"/>
              </w:rPr>
              <w:t>VHA Outcomes</w:t>
            </w:r>
          </w:p>
          <w:p w:rsidR="00BF5F3F" w:rsidRPr="001F5EE0" w:rsidRDefault="00BF5F3F" w:rsidP="00E57B50">
            <w:pPr>
              <w:rPr>
                <w:rFonts w:ascii="Arial" w:hAnsi="Arial"/>
              </w:rPr>
            </w:pPr>
            <w:r w:rsidRPr="001F5EE0">
              <w:rPr>
                <w:rFonts w:ascii="Arial" w:hAnsi="Arial"/>
              </w:rPr>
              <w:t>Facility Outcomes</w:t>
            </w:r>
          </w:p>
          <w:p w:rsidR="00BF5F3F" w:rsidRPr="001F5EE0" w:rsidRDefault="00BF5F3F" w:rsidP="00E57B50">
            <w:pPr>
              <w:rPr>
                <w:rFonts w:ascii="Arial" w:hAnsi="Arial"/>
              </w:rPr>
            </w:pPr>
            <w:r w:rsidRPr="001F5EE0">
              <w:rPr>
                <w:rFonts w:ascii="Arial" w:hAnsi="Arial"/>
              </w:rPr>
              <w:t>Unit Outcomes</w:t>
            </w:r>
          </w:p>
        </w:tc>
      </w:tr>
      <w:tr w:rsidR="00BF5F3F" w:rsidRPr="005057AE" w:rsidTr="00E57B50">
        <w:trPr>
          <w:cnfStyle w:val="000000100000" w:firstRow="0" w:lastRow="0" w:firstColumn="0" w:lastColumn="0" w:oddVBand="0" w:evenVBand="0" w:oddHBand="1" w:evenHBand="0" w:firstRowFirstColumn="0" w:firstRowLastColumn="0" w:lastRowFirstColumn="0" w:lastRowLastColumn="0"/>
        </w:trPr>
        <w:tc>
          <w:tcPr>
            <w:tcW w:w="2448" w:type="dxa"/>
          </w:tcPr>
          <w:p w:rsidR="00BF5F3F" w:rsidRPr="001F5EE0" w:rsidRDefault="00BF5F3F" w:rsidP="00E57B50">
            <w:pPr>
              <w:rPr>
                <w:rFonts w:ascii="Arial" w:hAnsi="Arial"/>
              </w:rPr>
            </w:pPr>
            <w:r w:rsidRPr="001F5EE0">
              <w:rPr>
                <w:rFonts w:ascii="Arial" w:hAnsi="Arial"/>
              </w:rPr>
              <w:t>Semi-structured interviews CNL (INT-CNL)</w:t>
            </w:r>
          </w:p>
        </w:tc>
        <w:tc>
          <w:tcPr>
            <w:tcW w:w="4590" w:type="dxa"/>
          </w:tcPr>
          <w:p w:rsidR="00BF5F3F" w:rsidRPr="001F5EE0" w:rsidRDefault="00BF5F3F" w:rsidP="00E57B50">
            <w:pPr>
              <w:rPr>
                <w:rFonts w:ascii="Arial" w:hAnsi="Arial"/>
              </w:rPr>
            </w:pPr>
            <w:r w:rsidRPr="001F5EE0">
              <w:rPr>
                <w:rFonts w:ascii="Arial" w:hAnsi="Arial"/>
              </w:rPr>
              <w:t>Current and past CNLs in VHA and outside of VHA.  Qualitative data analyzed by conventional content analysis to preserve the intended meanings of the comments. Will combine with quantitative survey data and indicator data as appropriate.</w:t>
            </w:r>
          </w:p>
        </w:tc>
        <w:tc>
          <w:tcPr>
            <w:tcW w:w="2826" w:type="dxa"/>
          </w:tcPr>
          <w:p w:rsidR="00BF5F3F" w:rsidRPr="001F5EE0" w:rsidRDefault="00BF5F3F" w:rsidP="00E57B50">
            <w:pPr>
              <w:rPr>
                <w:rFonts w:ascii="Arial" w:hAnsi="Arial"/>
              </w:rPr>
            </w:pPr>
            <w:r w:rsidRPr="001F5EE0">
              <w:rPr>
                <w:rFonts w:ascii="Arial" w:hAnsi="Arial"/>
              </w:rPr>
              <w:t>Unit Inputs</w:t>
            </w:r>
          </w:p>
          <w:p w:rsidR="00BF5F3F" w:rsidRPr="001F5EE0" w:rsidRDefault="00BF5F3F" w:rsidP="00E57B50">
            <w:pPr>
              <w:rPr>
                <w:rFonts w:ascii="Arial" w:hAnsi="Arial"/>
              </w:rPr>
            </w:pPr>
            <w:r w:rsidRPr="001F5EE0">
              <w:rPr>
                <w:rFonts w:ascii="Arial" w:hAnsi="Arial"/>
              </w:rPr>
              <w:t>Unit Activities</w:t>
            </w:r>
          </w:p>
          <w:p w:rsidR="00BF5F3F" w:rsidRPr="001F5EE0" w:rsidRDefault="00BF5F3F" w:rsidP="00E57B50">
            <w:pPr>
              <w:rPr>
                <w:rFonts w:ascii="Arial" w:hAnsi="Arial"/>
              </w:rPr>
            </w:pPr>
            <w:r w:rsidRPr="001F5EE0">
              <w:rPr>
                <w:rFonts w:ascii="Arial" w:hAnsi="Arial"/>
              </w:rPr>
              <w:t>Unit Outcomes</w:t>
            </w:r>
          </w:p>
        </w:tc>
      </w:tr>
      <w:tr w:rsidR="00BF5F3F" w:rsidRPr="005057AE" w:rsidTr="00E57B50">
        <w:tc>
          <w:tcPr>
            <w:tcW w:w="2448" w:type="dxa"/>
          </w:tcPr>
          <w:p w:rsidR="00BF5F3F" w:rsidRPr="001F5EE0" w:rsidRDefault="00BF5F3F" w:rsidP="00E57B50">
            <w:pPr>
              <w:rPr>
                <w:rFonts w:ascii="Arial" w:hAnsi="Arial"/>
              </w:rPr>
            </w:pPr>
            <w:r w:rsidRPr="001F5EE0">
              <w:rPr>
                <w:rFonts w:ascii="Arial" w:hAnsi="Arial"/>
              </w:rPr>
              <w:t>Semi-structured interviews facility leadership (INT-FAC)</w:t>
            </w:r>
          </w:p>
        </w:tc>
        <w:tc>
          <w:tcPr>
            <w:tcW w:w="4590" w:type="dxa"/>
          </w:tcPr>
          <w:p w:rsidR="00BF5F3F" w:rsidRPr="001F5EE0" w:rsidRDefault="00BF5F3F" w:rsidP="00E57B50">
            <w:pPr>
              <w:rPr>
                <w:rFonts w:ascii="Arial" w:hAnsi="Arial"/>
              </w:rPr>
            </w:pPr>
            <w:r w:rsidRPr="001F5EE0">
              <w:rPr>
                <w:rFonts w:ascii="Arial" w:hAnsi="Arial"/>
              </w:rPr>
              <w:t>ADPCS, Chief Nurses, Nurse Managers, Charge Nurses, other facility leaders.  Qualitative data analyzed by conventional content analysis to preserve the intended meanings of the comments.  Will combine with quantitative survey data and indicator data as appropriate.</w:t>
            </w:r>
          </w:p>
        </w:tc>
        <w:tc>
          <w:tcPr>
            <w:tcW w:w="2826" w:type="dxa"/>
          </w:tcPr>
          <w:p w:rsidR="00BF5F3F" w:rsidRPr="001F5EE0" w:rsidRDefault="00BF5F3F" w:rsidP="00E57B50">
            <w:pPr>
              <w:rPr>
                <w:rFonts w:ascii="Arial" w:hAnsi="Arial"/>
              </w:rPr>
            </w:pPr>
            <w:r w:rsidRPr="001F5EE0">
              <w:rPr>
                <w:rFonts w:ascii="Arial" w:hAnsi="Arial"/>
              </w:rPr>
              <w:t>Facility Inputs</w:t>
            </w:r>
          </w:p>
          <w:p w:rsidR="00BF5F3F" w:rsidRPr="001F5EE0" w:rsidRDefault="00BF5F3F" w:rsidP="00E57B50">
            <w:pPr>
              <w:rPr>
                <w:rFonts w:ascii="Arial" w:hAnsi="Arial"/>
              </w:rPr>
            </w:pPr>
            <w:r w:rsidRPr="001F5EE0">
              <w:rPr>
                <w:rFonts w:ascii="Arial" w:hAnsi="Arial"/>
              </w:rPr>
              <w:t>Facility Activities</w:t>
            </w:r>
          </w:p>
          <w:p w:rsidR="00BF5F3F" w:rsidRPr="001F5EE0" w:rsidRDefault="00BF5F3F" w:rsidP="00E57B50">
            <w:pPr>
              <w:rPr>
                <w:rFonts w:ascii="Arial" w:hAnsi="Arial"/>
              </w:rPr>
            </w:pPr>
            <w:r w:rsidRPr="001F5EE0">
              <w:rPr>
                <w:rFonts w:ascii="Arial" w:hAnsi="Arial"/>
              </w:rPr>
              <w:t>Facility Outcomes</w:t>
            </w:r>
          </w:p>
        </w:tc>
      </w:tr>
      <w:tr w:rsidR="00BF5F3F" w:rsidRPr="005057AE" w:rsidTr="00E57B50">
        <w:trPr>
          <w:cnfStyle w:val="000000100000" w:firstRow="0" w:lastRow="0" w:firstColumn="0" w:lastColumn="0" w:oddVBand="0" w:evenVBand="0" w:oddHBand="1" w:evenHBand="0" w:firstRowFirstColumn="0" w:firstRowLastColumn="0" w:lastRowFirstColumn="0" w:lastRowLastColumn="0"/>
        </w:trPr>
        <w:tc>
          <w:tcPr>
            <w:tcW w:w="2448" w:type="dxa"/>
          </w:tcPr>
          <w:p w:rsidR="00BF5F3F" w:rsidRPr="001F5EE0" w:rsidRDefault="00BF5F3F" w:rsidP="00E57B50">
            <w:pPr>
              <w:rPr>
                <w:rFonts w:ascii="Arial" w:hAnsi="Arial"/>
              </w:rPr>
            </w:pPr>
            <w:r w:rsidRPr="001F5EE0">
              <w:rPr>
                <w:rFonts w:ascii="Arial" w:hAnsi="Arial"/>
              </w:rPr>
              <w:t>Semi-structured interviews VHA leaders/nonfederal leaders (INT-VHA)</w:t>
            </w:r>
          </w:p>
        </w:tc>
        <w:tc>
          <w:tcPr>
            <w:tcW w:w="4590" w:type="dxa"/>
          </w:tcPr>
          <w:p w:rsidR="00BF5F3F" w:rsidRPr="001F5EE0" w:rsidRDefault="00BF5F3F" w:rsidP="00E57B50">
            <w:pPr>
              <w:rPr>
                <w:rFonts w:ascii="Arial" w:hAnsi="Arial"/>
              </w:rPr>
            </w:pPr>
            <w:r w:rsidRPr="001F5EE0">
              <w:rPr>
                <w:rFonts w:ascii="Arial" w:hAnsi="Arial"/>
              </w:rPr>
              <w:t>Key past and present VHA leaders, AACN leaders, and other CNL national leaders.  Qualitative data analyzed by conventional content analysis to preserve the intended meanings of the comments.</w:t>
            </w:r>
          </w:p>
        </w:tc>
        <w:tc>
          <w:tcPr>
            <w:tcW w:w="2826" w:type="dxa"/>
          </w:tcPr>
          <w:p w:rsidR="00BF5F3F" w:rsidRPr="001F5EE0" w:rsidRDefault="00BF5F3F" w:rsidP="00E57B50">
            <w:pPr>
              <w:rPr>
                <w:rFonts w:ascii="Arial" w:hAnsi="Arial"/>
              </w:rPr>
            </w:pPr>
            <w:r w:rsidRPr="001F5EE0">
              <w:rPr>
                <w:rFonts w:ascii="Arial" w:hAnsi="Arial"/>
              </w:rPr>
              <w:t>VHA Inputs</w:t>
            </w:r>
          </w:p>
          <w:p w:rsidR="00BF5F3F" w:rsidRPr="001F5EE0" w:rsidRDefault="00BF5F3F" w:rsidP="00E57B50">
            <w:pPr>
              <w:rPr>
                <w:rFonts w:ascii="Arial" w:hAnsi="Arial"/>
              </w:rPr>
            </w:pPr>
            <w:r w:rsidRPr="001F5EE0">
              <w:rPr>
                <w:rFonts w:ascii="Arial" w:hAnsi="Arial"/>
              </w:rPr>
              <w:t>VHA Activities</w:t>
            </w:r>
          </w:p>
          <w:p w:rsidR="00BF5F3F" w:rsidRPr="001F5EE0" w:rsidRDefault="00BF5F3F" w:rsidP="00E57B50">
            <w:pPr>
              <w:rPr>
                <w:rFonts w:ascii="Arial" w:hAnsi="Arial"/>
              </w:rPr>
            </w:pPr>
            <w:r w:rsidRPr="001F5EE0">
              <w:rPr>
                <w:rFonts w:ascii="Arial" w:hAnsi="Arial"/>
              </w:rPr>
              <w:t>VHA Outcomes</w:t>
            </w:r>
          </w:p>
        </w:tc>
      </w:tr>
      <w:tr w:rsidR="00BF5F3F" w:rsidRPr="005057AE" w:rsidTr="00E57B50">
        <w:tc>
          <w:tcPr>
            <w:tcW w:w="2448" w:type="dxa"/>
          </w:tcPr>
          <w:p w:rsidR="00BF5F3F" w:rsidRPr="001F5EE0" w:rsidRDefault="00BF5F3F" w:rsidP="00E57B50">
            <w:pPr>
              <w:rPr>
                <w:rFonts w:ascii="Arial" w:hAnsi="Arial"/>
              </w:rPr>
            </w:pPr>
            <w:r w:rsidRPr="001F5EE0">
              <w:rPr>
                <w:rFonts w:ascii="Arial" w:hAnsi="Arial"/>
              </w:rPr>
              <w:t>Content analysis of list serve email traffic (CA-LIST)</w:t>
            </w:r>
          </w:p>
        </w:tc>
        <w:tc>
          <w:tcPr>
            <w:tcW w:w="4590" w:type="dxa"/>
          </w:tcPr>
          <w:p w:rsidR="00BF5F3F" w:rsidRPr="001F5EE0" w:rsidRDefault="00BF5F3F" w:rsidP="00E57B50">
            <w:pPr>
              <w:rPr>
                <w:rFonts w:ascii="Arial" w:hAnsi="Arial"/>
              </w:rPr>
            </w:pPr>
            <w:r w:rsidRPr="001F5EE0">
              <w:rPr>
                <w:rFonts w:ascii="Arial" w:hAnsi="Arial"/>
              </w:rPr>
              <w:t xml:space="preserve">Identification of key issues discussed in the </w:t>
            </w:r>
            <w:proofErr w:type="spellStart"/>
            <w:r w:rsidRPr="001F5EE0">
              <w:rPr>
                <w:rFonts w:ascii="Arial" w:hAnsi="Arial"/>
              </w:rPr>
              <w:t>the</w:t>
            </w:r>
            <w:proofErr w:type="spellEnd"/>
            <w:r w:rsidRPr="001F5EE0">
              <w:rPr>
                <w:rFonts w:ascii="Arial" w:hAnsi="Arial"/>
              </w:rPr>
              <w:t xml:space="preserve"> VHA CNL community.</w:t>
            </w:r>
          </w:p>
        </w:tc>
        <w:tc>
          <w:tcPr>
            <w:tcW w:w="2826" w:type="dxa"/>
          </w:tcPr>
          <w:p w:rsidR="00BF5F3F" w:rsidRPr="001F5EE0" w:rsidRDefault="00BF5F3F" w:rsidP="00E57B50">
            <w:pPr>
              <w:rPr>
                <w:rFonts w:ascii="Arial" w:hAnsi="Arial"/>
              </w:rPr>
            </w:pPr>
            <w:r w:rsidRPr="001F5EE0">
              <w:rPr>
                <w:rFonts w:ascii="Arial" w:hAnsi="Arial"/>
              </w:rPr>
              <w:t>Facility Activities</w:t>
            </w:r>
          </w:p>
          <w:p w:rsidR="00BF5F3F" w:rsidRPr="001F5EE0" w:rsidRDefault="00BF5F3F" w:rsidP="00E57B50">
            <w:pPr>
              <w:rPr>
                <w:rFonts w:ascii="Arial" w:hAnsi="Arial"/>
              </w:rPr>
            </w:pPr>
            <w:r w:rsidRPr="001F5EE0">
              <w:rPr>
                <w:rFonts w:ascii="Arial" w:hAnsi="Arial"/>
              </w:rPr>
              <w:t>Unit Activities</w:t>
            </w:r>
          </w:p>
        </w:tc>
      </w:tr>
      <w:tr w:rsidR="00BF5F3F" w:rsidRPr="005057AE" w:rsidTr="00E57B50">
        <w:trPr>
          <w:cnfStyle w:val="000000100000" w:firstRow="0" w:lastRow="0" w:firstColumn="0" w:lastColumn="0" w:oddVBand="0" w:evenVBand="0" w:oddHBand="1" w:evenHBand="0" w:firstRowFirstColumn="0" w:firstRowLastColumn="0" w:lastRowFirstColumn="0" w:lastRowLastColumn="0"/>
        </w:trPr>
        <w:tc>
          <w:tcPr>
            <w:tcW w:w="2448" w:type="dxa"/>
          </w:tcPr>
          <w:p w:rsidR="00BF5F3F" w:rsidRPr="001F5EE0" w:rsidRDefault="00BF5F3F" w:rsidP="00E57B50">
            <w:pPr>
              <w:rPr>
                <w:rFonts w:ascii="Arial" w:hAnsi="Arial"/>
              </w:rPr>
            </w:pPr>
            <w:r w:rsidRPr="001F5EE0">
              <w:rPr>
                <w:rFonts w:ascii="Arial" w:hAnsi="Arial"/>
              </w:rPr>
              <w:t>VANEEP CNL</w:t>
            </w:r>
          </w:p>
        </w:tc>
        <w:tc>
          <w:tcPr>
            <w:tcW w:w="4590" w:type="dxa"/>
          </w:tcPr>
          <w:p w:rsidR="00BF5F3F" w:rsidRPr="001F5EE0" w:rsidRDefault="00BF5F3F" w:rsidP="00E57B50">
            <w:pPr>
              <w:rPr>
                <w:rFonts w:ascii="Arial" w:hAnsi="Arial"/>
              </w:rPr>
            </w:pPr>
            <w:r w:rsidRPr="001F5EE0">
              <w:rPr>
                <w:rFonts w:ascii="Arial" w:hAnsi="Arial"/>
              </w:rPr>
              <w:t>VHA data will be obtained and linked with CNL implementation at the facility level.</w:t>
            </w:r>
          </w:p>
        </w:tc>
        <w:tc>
          <w:tcPr>
            <w:tcW w:w="2826" w:type="dxa"/>
          </w:tcPr>
          <w:p w:rsidR="00BF5F3F" w:rsidRPr="001F5EE0" w:rsidRDefault="00BF5F3F" w:rsidP="00E57B50">
            <w:pPr>
              <w:rPr>
                <w:rFonts w:ascii="Arial" w:hAnsi="Arial"/>
              </w:rPr>
            </w:pPr>
            <w:r w:rsidRPr="001F5EE0">
              <w:rPr>
                <w:rFonts w:ascii="Arial" w:hAnsi="Arial"/>
              </w:rPr>
              <w:t>VHA Inputs</w:t>
            </w:r>
          </w:p>
        </w:tc>
      </w:tr>
      <w:tr w:rsidR="00BF5F3F" w:rsidRPr="005057AE" w:rsidTr="00E57B50">
        <w:tc>
          <w:tcPr>
            <w:tcW w:w="2448" w:type="dxa"/>
          </w:tcPr>
          <w:p w:rsidR="00BF5F3F" w:rsidRPr="001F5EE0" w:rsidRDefault="00BF5F3F" w:rsidP="00E57B50">
            <w:pPr>
              <w:rPr>
                <w:rFonts w:ascii="Arial" w:hAnsi="Arial"/>
              </w:rPr>
            </w:pPr>
            <w:r w:rsidRPr="001F5EE0">
              <w:rPr>
                <w:rFonts w:ascii="Arial" w:hAnsi="Arial"/>
              </w:rPr>
              <w:t>Comparative Case Studies (CASE)</w:t>
            </w:r>
          </w:p>
        </w:tc>
        <w:tc>
          <w:tcPr>
            <w:tcW w:w="4590" w:type="dxa"/>
          </w:tcPr>
          <w:p w:rsidR="00BF5F3F" w:rsidRPr="001F5EE0" w:rsidRDefault="00BF5F3F" w:rsidP="00E57B50">
            <w:pPr>
              <w:rPr>
                <w:rFonts w:ascii="Arial" w:hAnsi="Arial"/>
              </w:rPr>
            </w:pPr>
            <w:r w:rsidRPr="001F5EE0">
              <w:rPr>
                <w:rFonts w:ascii="Arial" w:hAnsi="Arial"/>
              </w:rPr>
              <w:t xml:space="preserve">Site visits of 6 to 8 facilities using comparative case study methods including interviews of key personnel, clinical observations, and local project and data review. </w:t>
            </w:r>
          </w:p>
        </w:tc>
        <w:tc>
          <w:tcPr>
            <w:tcW w:w="2826" w:type="dxa"/>
          </w:tcPr>
          <w:p w:rsidR="00BF5F3F" w:rsidRPr="001F5EE0" w:rsidRDefault="00BF5F3F" w:rsidP="00E57B50">
            <w:pPr>
              <w:rPr>
                <w:rFonts w:ascii="Arial" w:hAnsi="Arial"/>
              </w:rPr>
            </w:pPr>
            <w:r w:rsidRPr="001F5EE0">
              <w:rPr>
                <w:rFonts w:ascii="Arial" w:hAnsi="Arial"/>
              </w:rPr>
              <w:t>Facility Inputs</w:t>
            </w:r>
          </w:p>
          <w:p w:rsidR="00BF5F3F" w:rsidRPr="001F5EE0" w:rsidRDefault="00BF5F3F" w:rsidP="00E57B50">
            <w:pPr>
              <w:rPr>
                <w:rFonts w:ascii="Arial" w:hAnsi="Arial"/>
              </w:rPr>
            </w:pPr>
            <w:r w:rsidRPr="001F5EE0">
              <w:rPr>
                <w:rFonts w:ascii="Arial" w:hAnsi="Arial"/>
              </w:rPr>
              <w:t>Facility Activities</w:t>
            </w:r>
          </w:p>
          <w:p w:rsidR="00BF5F3F" w:rsidRPr="001F5EE0" w:rsidRDefault="00BF5F3F" w:rsidP="00E57B50">
            <w:pPr>
              <w:rPr>
                <w:rFonts w:ascii="Arial" w:hAnsi="Arial"/>
              </w:rPr>
            </w:pPr>
            <w:r w:rsidRPr="001F5EE0">
              <w:rPr>
                <w:rFonts w:ascii="Arial" w:hAnsi="Arial"/>
              </w:rPr>
              <w:t>Unit Inputs</w:t>
            </w:r>
          </w:p>
          <w:p w:rsidR="00BF5F3F" w:rsidRPr="001F5EE0" w:rsidRDefault="00BF5F3F" w:rsidP="00E57B50">
            <w:pPr>
              <w:rPr>
                <w:rFonts w:ascii="Arial" w:hAnsi="Arial"/>
              </w:rPr>
            </w:pPr>
            <w:r w:rsidRPr="001F5EE0">
              <w:rPr>
                <w:rFonts w:ascii="Arial" w:hAnsi="Arial"/>
              </w:rPr>
              <w:t>Unit Activities</w:t>
            </w:r>
          </w:p>
        </w:tc>
      </w:tr>
    </w:tbl>
    <w:p w:rsidR="00BB4C7E" w:rsidRDefault="00BB4C7E">
      <w:bookmarkStart w:id="0" w:name="_GoBack"/>
      <w:bookmarkEnd w:id="0"/>
    </w:p>
    <w:sectPr w:rsidR="00BB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6FB2"/>
    <w:multiLevelType w:val="hybridMultilevel"/>
    <w:tmpl w:val="8C3C5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3F"/>
    <w:rsid w:val="0052760E"/>
    <w:rsid w:val="009C03E0"/>
    <w:rsid w:val="00B60FC7"/>
    <w:rsid w:val="00BB4C7E"/>
    <w:rsid w:val="00B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6161"/>
  <w15:docId w15:val="{D0AC577E-867A-4FC3-83B6-296790B1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F3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3F"/>
    <w:pPr>
      <w:ind w:left="720"/>
      <w:contextualSpacing/>
    </w:pPr>
  </w:style>
  <w:style w:type="table" w:styleId="LightList-Accent3">
    <w:name w:val="Light List Accent 3"/>
    <w:basedOn w:val="TableNormal"/>
    <w:uiPriority w:val="61"/>
    <w:rsid w:val="00BF5F3F"/>
    <w:pPr>
      <w:spacing w:after="0" w:line="240" w:lineRule="auto"/>
    </w:pPr>
    <w:rPr>
      <w:rFonts w:cs="Arial"/>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miltner</dc:creator>
  <cp:lastModifiedBy>Hagan, Marianna</cp:lastModifiedBy>
  <cp:revision>3</cp:revision>
  <dcterms:created xsi:type="dcterms:W3CDTF">2020-04-02T15:49:00Z</dcterms:created>
  <dcterms:modified xsi:type="dcterms:W3CDTF">2020-04-02T15:51:00Z</dcterms:modified>
</cp:coreProperties>
</file>